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7C6" w:rsidRDefault="004327C6" w:rsidP="004327C6">
      <w:pPr>
        <w:jc w:val="center"/>
        <w:rPr>
          <w:b/>
          <w:sz w:val="52"/>
          <w:szCs w:val="52"/>
        </w:rPr>
      </w:pPr>
    </w:p>
    <w:p w:rsidR="004327C6" w:rsidRDefault="004327C6" w:rsidP="004327C6">
      <w:pPr>
        <w:jc w:val="center"/>
        <w:rPr>
          <w:b/>
          <w:sz w:val="52"/>
          <w:szCs w:val="52"/>
        </w:rPr>
      </w:pPr>
    </w:p>
    <w:p w:rsidR="004327C6" w:rsidRDefault="004327C6" w:rsidP="004327C6">
      <w:pPr>
        <w:jc w:val="center"/>
        <w:rPr>
          <w:b/>
          <w:sz w:val="52"/>
          <w:szCs w:val="52"/>
        </w:rPr>
      </w:pPr>
    </w:p>
    <w:p w:rsidR="004327C6" w:rsidRDefault="004327C6" w:rsidP="004327C6">
      <w:pPr>
        <w:jc w:val="center"/>
        <w:rPr>
          <w:b/>
          <w:sz w:val="52"/>
          <w:szCs w:val="52"/>
        </w:rPr>
      </w:pPr>
    </w:p>
    <w:p w:rsidR="004327C6" w:rsidRDefault="004327C6" w:rsidP="004327C6">
      <w:pPr>
        <w:jc w:val="center"/>
        <w:rPr>
          <w:b/>
          <w:sz w:val="52"/>
          <w:szCs w:val="52"/>
        </w:rPr>
      </w:pPr>
    </w:p>
    <w:p w:rsidR="004327C6" w:rsidRDefault="004327C6" w:rsidP="004327C6">
      <w:pPr>
        <w:jc w:val="center"/>
        <w:rPr>
          <w:b/>
          <w:sz w:val="52"/>
          <w:szCs w:val="52"/>
        </w:rPr>
      </w:pPr>
      <w:r>
        <w:rPr>
          <w:b/>
          <w:sz w:val="52"/>
          <w:szCs w:val="52"/>
        </w:rPr>
        <w:t>SZCZEGÓŁOWE SPECYFIKACJE TECHNICZNE</w:t>
      </w:r>
    </w:p>
    <w:p w:rsidR="004327C6" w:rsidRDefault="004327C6" w:rsidP="004327C6">
      <w:pPr>
        <w:rPr>
          <w:b/>
          <w:sz w:val="44"/>
          <w:szCs w:val="44"/>
        </w:rPr>
      </w:pPr>
    </w:p>
    <w:p w:rsidR="004327C6" w:rsidRDefault="004327C6" w:rsidP="004327C6">
      <w:pPr>
        <w:jc w:val="center"/>
        <w:rPr>
          <w:b/>
          <w:sz w:val="40"/>
        </w:rPr>
      </w:pPr>
    </w:p>
    <w:p w:rsidR="004327C6" w:rsidRDefault="004327C6" w:rsidP="004327C6">
      <w:pPr>
        <w:jc w:val="center"/>
        <w:rPr>
          <w:b/>
          <w:sz w:val="44"/>
          <w:szCs w:val="44"/>
        </w:rPr>
      </w:pPr>
    </w:p>
    <w:p w:rsidR="004327C6" w:rsidRDefault="004327C6" w:rsidP="004327C6">
      <w:pPr>
        <w:jc w:val="center"/>
        <w:rPr>
          <w:b/>
          <w:sz w:val="44"/>
          <w:szCs w:val="44"/>
        </w:rPr>
      </w:pPr>
    </w:p>
    <w:p w:rsidR="004327C6" w:rsidRDefault="004327C6" w:rsidP="004327C6">
      <w:pPr>
        <w:jc w:val="center"/>
        <w:rPr>
          <w:b/>
          <w:sz w:val="44"/>
          <w:szCs w:val="44"/>
        </w:rPr>
      </w:pPr>
    </w:p>
    <w:p w:rsidR="004327C6" w:rsidRDefault="004327C6" w:rsidP="004327C6">
      <w:pPr>
        <w:jc w:val="center"/>
        <w:rPr>
          <w:b/>
          <w:sz w:val="44"/>
          <w:szCs w:val="44"/>
        </w:rPr>
      </w:pPr>
    </w:p>
    <w:p w:rsidR="004327C6" w:rsidRDefault="004327C6" w:rsidP="004327C6">
      <w:pPr>
        <w:jc w:val="center"/>
        <w:rPr>
          <w:b/>
          <w:sz w:val="44"/>
          <w:szCs w:val="44"/>
        </w:rPr>
      </w:pPr>
    </w:p>
    <w:p w:rsidR="004327C6" w:rsidRDefault="004327C6" w:rsidP="004327C6">
      <w:pPr>
        <w:rPr>
          <w:b/>
          <w:sz w:val="28"/>
          <w:szCs w:val="28"/>
        </w:rPr>
      </w:pPr>
      <w:r>
        <w:rPr>
          <w:b/>
          <w:sz w:val="28"/>
          <w:szCs w:val="28"/>
        </w:rPr>
        <w:t>Opracował: Bohdan Nieciecki</w:t>
      </w:r>
    </w:p>
    <w:p w:rsidR="004327C6" w:rsidRDefault="004327C6" w:rsidP="004327C6">
      <w:pPr>
        <w:rPr>
          <w:b/>
          <w:sz w:val="28"/>
          <w:szCs w:val="28"/>
        </w:rPr>
      </w:pPr>
      <w:r>
        <w:rPr>
          <w:b/>
          <w:sz w:val="28"/>
          <w:szCs w:val="28"/>
        </w:rPr>
        <w:t xml:space="preserve">                     </w:t>
      </w:r>
      <w:proofErr w:type="spellStart"/>
      <w:r>
        <w:rPr>
          <w:b/>
          <w:sz w:val="28"/>
          <w:szCs w:val="28"/>
        </w:rPr>
        <w:t>Upr</w:t>
      </w:r>
      <w:proofErr w:type="spellEnd"/>
      <w:r>
        <w:rPr>
          <w:b/>
          <w:sz w:val="28"/>
          <w:szCs w:val="28"/>
        </w:rPr>
        <w:t>. Nr 171/91/OL</w:t>
      </w:r>
    </w:p>
    <w:p w:rsidR="004327C6" w:rsidRDefault="004327C6" w:rsidP="004327C6">
      <w:pPr>
        <w:rPr>
          <w:b/>
          <w:sz w:val="28"/>
          <w:szCs w:val="28"/>
        </w:rPr>
      </w:pPr>
    </w:p>
    <w:p w:rsidR="004327C6" w:rsidRDefault="004327C6" w:rsidP="004327C6">
      <w:pPr>
        <w:jc w:val="center"/>
        <w:rPr>
          <w:b/>
          <w:sz w:val="44"/>
          <w:szCs w:val="44"/>
        </w:rPr>
      </w:pPr>
    </w:p>
    <w:p w:rsidR="004327C6" w:rsidRDefault="004327C6" w:rsidP="004327C6">
      <w:pPr>
        <w:rPr>
          <w:b/>
          <w:sz w:val="28"/>
          <w:szCs w:val="28"/>
        </w:rPr>
      </w:pPr>
      <w:r>
        <w:rPr>
          <w:b/>
          <w:sz w:val="28"/>
          <w:szCs w:val="28"/>
        </w:rPr>
        <w:t>Projektowała: Agnieszka Nieciecka</w:t>
      </w:r>
    </w:p>
    <w:p w:rsidR="004327C6" w:rsidRDefault="004327C6" w:rsidP="004327C6">
      <w:pPr>
        <w:rPr>
          <w:b/>
          <w:sz w:val="28"/>
          <w:szCs w:val="28"/>
        </w:rPr>
      </w:pPr>
      <w:r>
        <w:rPr>
          <w:b/>
          <w:sz w:val="28"/>
          <w:szCs w:val="28"/>
        </w:rPr>
        <w:t xml:space="preserve">                     </w:t>
      </w:r>
      <w:proofErr w:type="spellStart"/>
      <w:r>
        <w:rPr>
          <w:b/>
          <w:sz w:val="28"/>
          <w:szCs w:val="28"/>
        </w:rPr>
        <w:t>Upr</w:t>
      </w:r>
      <w:proofErr w:type="spellEnd"/>
      <w:r>
        <w:rPr>
          <w:b/>
          <w:sz w:val="28"/>
          <w:szCs w:val="28"/>
        </w:rPr>
        <w:t>. WAM/0139/POOD/11</w:t>
      </w:r>
    </w:p>
    <w:p w:rsidR="004327C6" w:rsidRDefault="004327C6" w:rsidP="004327C6">
      <w:pPr>
        <w:rPr>
          <w:b/>
          <w:sz w:val="44"/>
          <w:szCs w:val="44"/>
        </w:rPr>
      </w:pPr>
    </w:p>
    <w:p w:rsidR="00896AAE" w:rsidRDefault="00896AAE"/>
    <w:p w:rsidR="00E52B27" w:rsidRDefault="00E52B27"/>
    <w:p w:rsidR="00E52B27" w:rsidRDefault="00E52B27"/>
    <w:p w:rsidR="00E52B27" w:rsidRDefault="00E52B27"/>
    <w:p w:rsidR="00E52B27" w:rsidRDefault="00E52B27"/>
    <w:p w:rsidR="00E52B27" w:rsidRDefault="00E52B27"/>
    <w:p w:rsidR="00E52B27" w:rsidRDefault="00E52B27"/>
    <w:p w:rsidR="00E52B27" w:rsidRDefault="00E52B27"/>
    <w:p w:rsidR="00E52B27" w:rsidRDefault="00E52B27"/>
    <w:p w:rsidR="00E52B27" w:rsidRDefault="00E52B27"/>
    <w:p w:rsidR="00E52B27" w:rsidRDefault="00E52B27"/>
    <w:p w:rsidR="00E52B27" w:rsidRDefault="00E52B27"/>
    <w:p w:rsidR="00E52B27" w:rsidRDefault="00E52B27"/>
    <w:p w:rsidR="00B718AA" w:rsidRDefault="00B718AA"/>
    <w:p w:rsidR="00B718AA" w:rsidRDefault="00B718AA"/>
    <w:p w:rsidR="00B718AA" w:rsidRDefault="00B718AA"/>
    <w:p w:rsidR="00B718AA" w:rsidRDefault="00B718AA" w:rsidP="00B718AA">
      <w:pPr>
        <w:rPr>
          <w:b/>
          <w:sz w:val="28"/>
        </w:rPr>
      </w:pPr>
      <w:r>
        <w:rPr>
          <w:b/>
          <w:sz w:val="28"/>
        </w:rPr>
        <w:lastRenderedPageBreak/>
        <w:t>D-00.00.00  WYMAGANIA OGÓLNE.</w:t>
      </w:r>
    </w:p>
    <w:p w:rsidR="00B718AA" w:rsidRDefault="00B718AA" w:rsidP="00B718AA">
      <w:pPr>
        <w:pStyle w:val="Standardowytekst"/>
        <w:jc w:val="left"/>
        <w:rPr>
          <w:b/>
          <w:sz w:val="28"/>
        </w:rPr>
      </w:pPr>
      <w:r>
        <w:rPr>
          <w:b/>
          <w:sz w:val="28"/>
        </w:rPr>
        <w:t xml:space="preserve">D-01.01.01  ODTWORZENIE  TRASY I  PUNKTÓW   </w:t>
      </w:r>
    </w:p>
    <w:p w:rsidR="00B718AA" w:rsidRDefault="00B718AA" w:rsidP="00B718AA">
      <w:pPr>
        <w:pStyle w:val="Standardowytekst"/>
        <w:jc w:val="left"/>
        <w:rPr>
          <w:b/>
          <w:sz w:val="28"/>
        </w:rPr>
      </w:pPr>
      <w:r>
        <w:rPr>
          <w:b/>
          <w:sz w:val="28"/>
        </w:rPr>
        <w:t xml:space="preserve">                     WYSOKOŚCIOWYCH.</w:t>
      </w:r>
    </w:p>
    <w:p w:rsidR="00B718AA" w:rsidRDefault="00B718AA" w:rsidP="00B718AA">
      <w:pPr>
        <w:pStyle w:val="Standardowytekst"/>
        <w:rPr>
          <w:b/>
          <w:sz w:val="28"/>
        </w:rPr>
      </w:pPr>
      <w:r>
        <w:rPr>
          <w:b/>
          <w:sz w:val="28"/>
        </w:rPr>
        <w:t>D-01.02.01  USUNIĘCIE DRZEW I KRZAKÓW</w:t>
      </w:r>
    </w:p>
    <w:p w:rsidR="00B718AA" w:rsidRDefault="00B718AA" w:rsidP="00B718AA">
      <w:pPr>
        <w:pStyle w:val="Standardowytekst"/>
        <w:rPr>
          <w:b/>
          <w:sz w:val="28"/>
        </w:rPr>
      </w:pPr>
      <w:r>
        <w:rPr>
          <w:b/>
          <w:sz w:val="28"/>
        </w:rPr>
        <w:t>D-01.02.04  ROZBIÓRKA ELEMENTÓW DRÓG</w:t>
      </w:r>
    </w:p>
    <w:p w:rsidR="00B718AA" w:rsidRDefault="00B718AA" w:rsidP="00B718AA">
      <w:pPr>
        <w:pStyle w:val="Standardowytekst"/>
        <w:rPr>
          <w:b/>
          <w:sz w:val="28"/>
        </w:rPr>
      </w:pPr>
      <w:r>
        <w:rPr>
          <w:b/>
          <w:sz w:val="28"/>
        </w:rPr>
        <w:t>D-04.01.01  KORYTO  WRAZ  Z  PROFILOWANIEM</w:t>
      </w:r>
    </w:p>
    <w:p w:rsidR="00B718AA" w:rsidRDefault="00B718AA" w:rsidP="00B718AA">
      <w:pPr>
        <w:pStyle w:val="Standardowytekst"/>
        <w:rPr>
          <w:b/>
          <w:sz w:val="28"/>
        </w:rPr>
      </w:pPr>
      <w:r>
        <w:rPr>
          <w:b/>
          <w:sz w:val="28"/>
        </w:rPr>
        <w:t xml:space="preserve">                        I  ZAGĘSZCZANIEM  PODŁOŻA</w:t>
      </w:r>
    </w:p>
    <w:p w:rsidR="00B718AA" w:rsidRPr="008857E5" w:rsidRDefault="00B718AA" w:rsidP="00B718AA">
      <w:pPr>
        <w:pStyle w:val="Nagwek1"/>
        <w:rPr>
          <w:rFonts w:ascii="Verdana" w:hAnsi="Verdana"/>
          <w:bCs/>
          <w:caps w:val="0"/>
        </w:rPr>
      </w:pPr>
      <w:r w:rsidRPr="005E49B3">
        <w:rPr>
          <w:caps w:val="0"/>
          <w:kern w:val="0"/>
          <w:sz w:val="28"/>
        </w:rPr>
        <w:t>D-04.04.02</w:t>
      </w:r>
      <w:r w:rsidRPr="008857E5">
        <w:rPr>
          <w:rFonts w:ascii="Verdana" w:hAnsi="Verdana"/>
          <w:bCs/>
        </w:rPr>
        <w:t xml:space="preserve"> </w:t>
      </w:r>
      <w:r w:rsidR="005E49B3">
        <w:rPr>
          <w:rFonts w:ascii="Verdana" w:hAnsi="Verdana"/>
          <w:bCs/>
        </w:rPr>
        <w:t xml:space="preserve"> </w:t>
      </w:r>
      <w:r w:rsidRPr="005E49B3">
        <w:rPr>
          <w:caps w:val="0"/>
          <w:kern w:val="0"/>
          <w:sz w:val="28"/>
        </w:rPr>
        <w:t>PODBUDOWA Z MIESZANKI NIEZWIĄZANEJ KŁSM 0/31,5 mm</w:t>
      </w:r>
    </w:p>
    <w:p w:rsidR="00B718AA" w:rsidRDefault="00B718AA" w:rsidP="00B718AA">
      <w:pPr>
        <w:pStyle w:val="Standardowytekst"/>
        <w:rPr>
          <w:b/>
          <w:sz w:val="28"/>
        </w:rPr>
      </w:pPr>
      <w:r>
        <w:rPr>
          <w:b/>
          <w:sz w:val="28"/>
        </w:rPr>
        <w:t xml:space="preserve">D-04.02.01 WARSTWY  ODSĄCZAJĄCE  </w:t>
      </w:r>
    </w:p>
    <w:p w:rsidR="00B718AA" w:rsidRDefault="00B718AA" w:rsidP="00B718AA">
      <w:pPr>
        <w:pStyle w:val="Standardowytekst"/>
        <w:jc w:val="left"/>
        <w:rPr>
          <w:b/>
          <w:sz w:val="28"/>
        </w:rPr>
      </w:pPr>
      <w:r>
        <w:rPr>
          <w:b/>
          <w:sz w:val="28"/>
        </w:rPr>
        <w:t>D-04.05.00</w:t>
      </w:r>
      <w:r w:rsidR="005E49B3">
        <w:rPr>
          <w:b/>
          <w:sz w:val="28"/>
        </w:rPr>
        <w:t xml:space="preserve">  </w:t>
      </w:r>
      <w:r>
        <w:rPr>
          <w:b/>
          <w:sz w:val="28"/>
        </w:rPr>
        <w:t xml:space="preserve">PODBUDOWA  I  ULEPSZONE  PODŁOŻE Z  GRUNTÓW    </w:t>
      </w:r>
    </w:p>
    <w:p w:rsidR="00B718AA" w:rsidRDefault="00B718AA" w:rsidP="00B718AA">
      <w:pPr>
        <w:pStyle w:val="Standardowytekst"/>
        <w:jc w:val="left"/>
        <w:rPr>
          <w:b/>
          <w:sz w:val="28"/>
        </w:rPr>
      </w:pPr>
      <w:r>
        <w:rPr>
          <w:b/>
          <w:sz w:val="28"/>
        </w:rPr>
        <w:t xml:space="preserve">                    LUB  KRUSZYW  STABILIZOWANYCH  SPOIWAMI       </w:t>
      </w:r>
    </w:p>
    <w:p w:rsidR="00B718AA" w:rsidRDefault="00B718AA" w:rsidP="00B718AA">
      <w:pPr>
        <w:pStyle w:val="Standardowytekst"/>
        <w:jc w:val="left"/>
        <w:rPr>
          <w:b/>
          <w:sz w:val="28"/>
        </w:rPr>
      </w:pPr>
      <w:r>
        <w:rPr>
          <w:b/>
          <w:sz w:val="28"/>
        </w:rPr>
        <w:t xml:space="preserve">                    HYDRAULICZNYMI. WYMAGANIA  OGÓLNE</w:t>
      </w:r>
    </w:p>
    <w:p w:rsidR="00B718AA" w:rsidRPr="005E49B3" w:rsidRDefault="00B718AA" w:rsidP="00B718AA">
      <w:pPr>
        <w:keepNext/>
        <w:widowControl w:val="0"/>
        <w:ind w:left="1701" w:hanging="1701"/>
        <w:outlineLvl w:val="0"/>
        <w:rPr>
          <w:b/>
          <w:sz w:val="28"/>
        </w:rPr>
      </w:pPr>
      <w:r w:rsidRPr="005E49B3">
        <w:rPr>
          <w:b/>
          <w:sz w:val="28"/>
        </w:rPr>
        <w:t>D-04.07.01-1 NAWIERZCHNIA Z BETONU ASFALTOWEGO – WARSTWA PODBUDOWY AC 22 P KR 3÷4</w:t>
      </w:r>
    </w:p>
    <w:p w:rsidR="00B718AA" w:rsidRPr="005E49B3" w:rsidRDefault="00B718AA" w:rsidP="00B718AA">
      <w:pPr>
        <w:keepNext/>
        <w:widowControl w:val="0"/>
        <w:ind w:left="1701" w:hanging="1701"/>
        <w:outlineLvl w:val="0"/>
        <w:rPr>
          <w:b/>
          <w:sz w:val="28"/>
        </w:rPr>
      </w:pPr>
      <w:r w:rsidRPr="005E49B3">
        <w:rPr>
          <w:b/>
          <w:sz w:val="28"/>
        </w:rPr>
        <w:t>D-05.03.05B-1 NAWIERZCHNIA Z BETONU ASFALTOWEGO – WARSTWA WIĄŻĄCA AC 16 W KR 3÷4</w:t>
      </w:r>
    </w:p>
    <w:p w:rsidR="00B718AA" w:rsidRPr="005E49B3" w:rsidRDefault="00B718AA" w:rsidP="005E49B3">
      <w:pPr>
        <w:keepNext/>
        <w:widowControl w:val="0"/>
        <w:ind w:left="1701" w:hanging="1701"/>
        <w:outlineLvl w:val="0"/>
        <w:rPr>
          <w:b/>
          <w:sz w:val="28"/>
        </w:rPr>
      </w:pPr>
      <w:r w:rsidRPr="005E49B3">
        <w:rPr>
          <w:b/>
          <w:sz w:val="28"/>
        </w:rPr>
        <w:t>D-05.03.05A-1  NAWIERZCHNIA Z BETONU ASFALTOWEGO – WARSTWA ŚCIERALNA AC 11 S  KR 3÷4</w:t>
      </w:r>
    </w:p>
    <w:p w:rsidR="00B718AA" w:rsidRPr="001005E9" w:rsidRDefault="00B718AA" w:rsidP="005E49B3">
      <w:pPr>
        <w:ind w:left="-142" w:firstLine="142"/>
        <w:outlineLvl w:val="0"/>
        <w:rPr>
          <w:b/>
          <w:sz w:val="28"/>
        </w:rPr>
      </w:pPr>
      <w:r>
        <w:rPr>
          <w:b/>
          <w:sz w:val="28"/>
        </w:rPr>
        <w:t>D-08.01.01   KRAWĘŻNIKI  BETONOWE</w:t>
      </w:r>
    </w:p>
    <w:p w:rsidR="00B718AA" w:rsidRPr="002F7899" w:rsidRDefault="00B718AA" w:rsidP="00B718AA">
      <w:pPr>
        <w:rPr>
          <w:b/>
          <w:sz w:val="28"/>
        </w:rPr>
      </w:pPr>
      <w:r>
        <w:rPr>
          <w:b/>
          <w:sz w:val="28"/>
        </w:rPr>
        <w:t>D-08.03.01 BETONOWE  OBRZEŻA  CHODNIKOWE</w:t>
      </w:r>
    </w:p>
    <w:p w:rsidR="00B718AA" w:rsidRPr="00E84485" w:rsidRDefault="00B718AA" w:rsidP="00B718AA">
      <w:pPr>
        <w:rPr>
          <w:b/>
          <w:color w:val="000000" w:themeColor="text1"/>
          <w:sz w:val="28"/>
        </w:rPr>
      </w:pPr>
      <w:r w:rsidRPr="00E84485">
        <w:rPr>
          <w:b/>
          <w:color w:val="000000" w:themeColor="text1"/>
          <w:sz w:val="28"/>
        </w:rPr>
        <w:t>D-04.06.01   PODBUDOWA  Z  CHUDEGO  BETONU</w:t>
      </w:r>
    </w:p>
    <w:p w:rsidR="00B718AA" w:rsidRPr="002B136E" w:rsidRDefault="00B718AA" w:rsidP="005E49B3">
      <w:pPr>
        <w:ind w:left="1416" w:hanging="1416"/>
        <w:rPr>
          <w:b/>
          <w:sz w:val="28"/>
        </w:rPr>
      </w:pPr>
      <w:r>
        <w:rPr>
          <w:b/>
          <w:sz w:val="28"/>
        </w:rPr>
        <w:t xml:space="preserve">D-05.03.23a   NAWIERZCHNIA  </w:t>
      </w:r>
      <w:r>
        <w:rPr>
          <w:b/>
          <w:sz w:val="27"/>
        </w:rPr>
        <w:t>Z  BETONOWEJ  KOSTKI BRUKOWEJ  DLA DRÓG I ULIC ORAZ PLACÓW</w:t>
      </w:r>
      <w:r w:rsidR="005E49B3">
        <w:rPr>
          <w:b/>
          <w:sz w:val="27"/>
        </w:rPr>
        <w:t xml:space="preserve"> </w:t>
      </w:r>
      <w:r>
        <w:rPr>
          <w:b/>
          <w:sz w:val="27"/>
        </w:rPr>
        <w:t>I CHODNIKÓW</w:t>
      </w:r>
    </w:p>
    <w:p w:rsidR="00B718AA" w:rsidRPr="00920F47" w:rsidRDefault="00B718AA" w:rsidP="00B718AA">
      <w:pPr>
        <w:keepNext/>
        <w:widowControl w:val="0"/>
        <w:ind w:left="1701" w:hanging="1701"/>
        <w:outlineLvl w:val="0"/>
        <w:rPr>
          <w:rFonts w:ascii="Verdana" w:hAnsi="Verdana" w:cs="Arial"/>
          <w:b/>
          <w:snapToGrid w:val="0"/>
          <w:sz w:val="22"/>
          <w:szCs w:val="22"/>
        </w:rPr>
      </w:pPr>
      <w:r>
        <w:rPr>
          <w:b/>
          <w:sz w:val="28"/>
        </w:rPr>
        <w:t xml:space="preserve">D-08.02.01 CHODNIK Z PŁYT </w:t>
      </w:r>
      <w:r>
        <w:rPr>
          <w:b/>
          <w:sz w:val="27"/>
        </w:rPr>
        <w:t>CHODNIKOWYCH BETONOWYCH</w:t>
      </w:r>
    </w:p>
    <w:p w:rsidR="00B718AA" w:rsidRPr="005E49B3" w:rsidRDefault="00B718AA" w:rsidP="00A36FDB">
      <w:pPr>
        <w:pStyle w:val="Nagwek1"/>
        <w:spacing w:before="38"/>
        <w:ind w:left="1416" w:right="682" w:hanging="1416"/>
        <w:rPr>
          <w:caps w:val="0"/>
          <w:kern w:val="0"/>
          <w:sz w:val="28"/>
        </w:rPr>
      </w:pPr>
      <w:r w:rsidRPr="00D36192">
        <w:rPr>
          <w:spacing w:val="-1"/>
          <w:sz w:val="28"/>
          <w:szCs w:val="28"/>
        </w:rPr>
        <w:t>SST</w:t>
      </w:r>
      <w:r w:rsidRPr="00D36192">
        <w:rPr>
          <w:sz w:val="28"/>
          <w:szCs w:val="28"/>
        </w:rPr>
        <w:t>-03.02.01a</w:t>
      </w:r>
      <w:r w:rsidR="00A36FDB">
        <w:rPr>
          <w:sz w:val="28"/>
          <w:szCs w:val="28"/>
        </w:rPr>
        <w:t xml:space="preserve"> </w:t>
      </w:r>
      <w:r w:rsidRPr="005E49B3">
        <w:rPr>
          <w:caps w:val="0"/>
          <w:kern w:val="0"/>
          <w:sz w:val="28"/>
        </w:rPr>
        <w:t xml:space="preserve">REGULACJA PIONOWA STUDZIENEK </w:t>
      </w:r>
      <w:r w:rsidR="00A36FDB">
        <w:rPr>
          <w:caps w:val="0"/>
          <w:kern w:val="0"/>
          <w:sz w:val="28"/>
        </w:rPr>
        <w:t>K</w:t>
      </w:r>
      <w:r w:rsidRPr="005E49B3">
        <w:rPr>
          <w:caps w:val="0"/>
          <w:kern w:val="0"/>
          <w:sz w:val="28"/>
        </w:rPr>
        <w:t>ANALIZACYJNYCH</w:t>
      </w:r>
    </w:p>
    <w:p w:rsidR="00B718AA" w:rsidRDefault="00B718AA" w:rsidP="00A36FDB">
      <w:pPr>
        <w:ind w:left="708" w:hanging="708"/>
        <w:jc w:val="both"/>
        <w:rPr>
          <w:b/>
          <w:sz w:val="28"/>
        </w:rPr>
      </w:pPr>
      <w:r>
        <w:rPr>
          <w:b/>
          <w:sz w:val="28"/>
        </w:rPr>
        <w:t>D-01.03.04 PRZEBUDOW</w:t>
      </w:r>
      <w:r w:rsidR="005E49B3">
        <w:rPr>
          <w:b/>
          <w:sz w:val="28"/>
        </w:rPr>
        <w:t>A KABLOWYCH LINI TELEKOMUNIKA</w:t>
      </w:r>
      <w:r>
        <w:rPr>
          <w:b/>
          <w:sz w:val="28"/>
        </w:rPr>
        <w:t>CYJNYCH  PRZY  PRZEBUDOWIE I BUDOWIE DRÓG</w:t>
      </w:r>
    </w:p>
    <w:p w:rsidR="00B718AA" w:rsidRPr="00CF50DB" w:rsidRDefault="00B718AA" w:rsidP="00B718AA">
      <w:pPr>
        <w:rPr>
          <w:b/>
          <w:sz w:val="28"/>
        </w:rPr>
      </w:pPr>
      <w:r>
        <w:rPr>
          <w:b/>
          <w:sz w:val="28"/>
        </w:rPr>
        <w:t>D-07.01.01  OZNAKOWANIE  POZIOME</w:t>
      </w:r>
    </w:p>
    <w:p w:rsidR="00B718AA" w:rsidRDefault="00B718AA" w:rsidP="00B718AA">
      <w:pPr>
        <w:rPr>
          <w:b/>
          <w:sz w:val="28"/>
        </w:rPr>
      </w:pPr>
      <w:r>
        <w:rPr>
          <w:b/>
          <w:sz w:val="28"/>
        </w:rPr>
        <w:t>D</w:t>
      </w:r>
      <w:r w:rsidR="00A36FDB">
        <w:rPr>
          <w:b/>
          <w:sz w:val="28"/>
        </w:rPr>
        <w:t>-</w:t>
      </w:r>
      <w:r>
        <w:rPr>
          <w:b/>
          <w:sz w:val="28"/>
        </w:rPr>
        <w:t>07.02.01   OZNAKOWANIE  PIONOWE</w:t>
      </w:r>
    </w:p>
    <w:p w:rsidR="00B718AA" w:rsidRDefault="00B718AA" w:rsidP="00B718AA">
      <w:pPr>
        <w:rPr>
          <w:b/>
          <w:sz w:val="28"/>
        </w:rPr>
      </w:pPr>
      <w:r>
        <w:rPr>
          <w:b/>
          <w:sz w:val="28"/>
        </w:rPr>
        <w:t xml:space="preserve">D-06.01.01. UMOCNIENIE  POWIERZCHNIOWE  SKARP,  </w:t>
      </w:r>
    </w:p>
    <w:p w:rsidR="00B718AA" w:rsidRDefault="00B718AA" w:rsidP="00B718AA">
      <w:pPr>
        <w:jc w:val="center"/>
        <w:rPr>
          <w:b/>
          <w:sz w:val="27"/>
        </w:rPr>
      </w:pPr>
      <w:r>
        <w:rPr>
          <w:b/>
          <w:sz w:val="28"/>
        </w:rPr>
        <w:t>ROWÓW  I  ŚCIEKÓW</w:t>
      </w:r>
    </w:p>
    <w:p w:rsidR="00B718AA" w:rsidRDefault="00B718AA" w:rsidP="00B718AA">
      <w:pPr>
        <w:rPr>
          <w:b/>
          <w:sz w:val="28"/>
        </w:rPr>
      </w:pPr>
      <w:r>
        <w:rPr>
          <w:b/>
          <w:sz w:val="28"/>
        </w:rPr>
        <w:t xml:space="preserve">D-06.04.01   ROWY  </w:t>
      </w:r>
      <w:r>
        <w:rPr>
          <w:b/>
          <w:sz w:val="22"/>
        </w:rPr>
        <w:t>(W przypadku robót remontowych i utrzymaniowych)</w:t>
      </w:r>
    </w:p>
    <w:p w:rsidR="00B718AA" w:rsidRDefault="00B718AA" w:rsidP="00B718AA">
      <w:pPr>
        <w:rPr>
          <w:b/>
          <w:sz w:val="28"/>
        </w:rPr>
      </w:pPr>
      <w:r>
        <w:rPr>
          <w:b/>
          <w:sz w:val="28"/>
        </w:rPr>
        <w:t>D-03.02.01    KANALIZACJA  DESZCZOWA</w:t>
      </w:r>
    </w:p>
    <w:p w:rsidR="00B718AA" w:rsidRDefault="00B718AA" w:rsidP="00B718AA"/>
    <w:p w:rsidR="00B718AA" w:rsidRDefault="00B718AA"/>
    <w:p w:rsidR="00B718AA" w:rsidRDefault="00B718AA"/>
    <w:p w:rsidR="00B718AA" w:rsidRDefault="00B718AA"/>
    <w:p w:rsidR="00B718AA" w:rsidRDefault="00B718AA"/>
    <w:p w:rsidR="00B718AA" w:rsidRDefault="00B718AA"/>
    <w:p w:rsidR="00B718AA" w:rsidRDefault="00B718AA"/>
    <w:p w:rsidR="00ED0C0A" w:rsidRDefault="00ED0C0A"/>
    <w:p w:rsidR="00ED0C0A" w:rsidRDefault="00ED0C0A"/>
    <w:p w:rsidR="00ED0C0A" w:rsidRDefault="00ED0C0A"/>
    <w:p w:rsidR="00E52B27" w:rsidRDefault="00E52B27"/>
    <w:p w:rsidR="00E52B27" w:rsidRDefault="00E52B27"/>
    <w:p w:rsidR="00E52B27" w:rsidRDefault="00E52B27" w:rsidP="00E52B27">
      <w:pPr>
        <w:rPr>
          <w:b/>
          <w:sz w:val="28"/>
        </w:rPr>
      </w:pPr>
      <w:bookmarkStart w:id="0" w:name="_Hlk15764962"/>
      <w:r>
        <w:rPr>
          <w:b/>
          <w:sz w:val="28"/>
        </w:rPr>
        <w:t>D - 00.00.00  WYMAGANIA OGÓLNE.</w:t>
      </w:r>
    </w:p>
    <w:bookmarkEnd w:id="0"/>
    <w:p w:rsidR="00E52B27" w:rsidRDefault="00E52B27" w:rsidP="00E52B27">
      <w:pPr>
        <w:tabs>
          <w:tab w:val="left" w:pos="2811"/>
        </w:tabs>
        <w:jc w:val="both"/>
        <w:rPr>
          <w:sz w:val="19"/>
        </w:rPr>
      </w:pPr>
      <w:r>
        <w:rPr>
          <w:sz w:val="19"/>
        </w:rPr>
        <w:tab/>
      </w:r>
    </w:p>
    <w:p w:rsidR="00E52B27" w:rsidRDefault="00E52B27" w:rsidP="00E52B27">
      <w:pPr>
        <w:jc w:val="both"/>
        <w:rPr>
          <w:sz w:val="19"/>
        </w:rPr>
      </w:pPr>
    </w:p>
    <w:p w:rsidR="00E52B27" w:rsidRDefault="00E52B27" w:rsidP="00E52B27">
      <w:pPr>
        <w:pStyle w:val="Nagwek1"/>
      </w:pPr>
      <w:bookmarkStart w:id="1" w:name="_Toc404150096"/>
      <w:bookmarkStart w:id="2" w:name="_Toc416830698"/>
      <w:bookmarkStart w:id="3" w:name="_Toc6881279"/>
      <w:bookmarkStart w:id="4" w:name="_Toc6882152"/>
      <w:r>
        <w:t>1. WSTĘP</w:t>
      </w:r>
      <w:bookmarkEnd w:id="1"/>
      <w:bookmarkEnd w:id="2"/>
      <w:bookmarkEnd w:id="3"/>
      <w:bookmarkEnd w:id="4"/>
    </w:p>
    <w:p w:rsidR="00E52B27" w:rsidRDefault="00E52B27" w:rsidP="00E52B27">
      <w:pPr>
        <w:pStyle w:val="Nagwek2"/>
      </w:pPr>
      <w:r>
        <w:t>1.1. Przedmiot SST</w:t>
      </w:r>
    </w:p>
    <w:p w:rsidR="00E52B27" w:rsidRDefault="00E52B27" w:rsidP="00E52B27">
      <w:pPr>
        <w:ind w:left="426"/>
        <w:jc w:val="both"/>
        <w:rPr>
          <w:sz w:val="24"/>
          <w:szCs w:val="24"/>
        </w:rPr>
      </w:pPr>
      <w:r>
        <w:tab/>
        <w:t xml:space="preserve">Przedmiotem niniejszej szczegółowej specyfikacji technicznej (SST) są wymagania ogólne dotyczące wykonania i odbioru robót drogowych </w:t>
      </w:r>
    </w:p>
    <w:p w:rsidR="00E52B27" w:rsidRDefault="00E52B27" w:rsidP="00E52B27">
      <w:pPr>
        <w:pStyle w:val="tekstost"/>
      </w:pPr>
      <w:r>
        <w:t>.</w:t>
      </w:r>
    </w:p>
    <w:p w:rsidR="00E52B27" w:rsidRDefault="00E52B27" w:rsidP="00E52B27">
      <w:pPr>
        <w:pStyle w:val="Nagwek2"/>
      </w:pPr>
      <w:r>
        <w:t>1.2. Zakres stosowania SST</w:t>
      </w:r>
    </w:p>
    <w:p w:rsidR="00E52B27" w:rsidRDefault="00E52B27" w:rsidP="00E52B27">
      <w:pPr>
        <w:jc w:val="both"/>
      </w:pPr>
      <w:r>
        <w:tab/>
        <w:t>Szczegółowa specyfikacja techniczna stanowi jako dokument przetargowy i kontraktowy przy zlecaniu i realizacji robót na drogach.</w:t>
      </w:r>
    </w:p>
    <w:p w:rsidR="00E52B27" w:rsidRDefault="00E52B27" w:rsidP="00E52B27">
      <w:pPr>
        <w:pStyle w:val="Nagwek2"/>
      </w:pPr>
      <w:r>
        <w:t>1.3. Zakres robót objętych SST</w:t>
      </w:r>
    </w:p>
    <w:p w:rsidR="00E52B27" w:rsidRDefault="00E52B27" w:rsidP="00E52B27">
      <w:pPr>
        <w:jc w:val="both"/>
      </w:pPr>
      <w:r>
        <w:tab/>
        <w:t xml:space="preserve">Ustalenia zawarte w niniejszej specyfikacji obejmują wymagania ogólne, wspólne dla robót objętych ogólnymi specyfikacjami technicznymi, dla poszczególnych asortymentów robót drogowych. </w:t>
      </w:r>
    </w:p>
    <w:p w:rsidR="00E52B27" w:rsidRDefault="00E52B27" w:rsidP="00E52B27">
      <w:pPr>
        <w:pStyle w:val="Nagwek2"/>
      </w:pPr>
      <w:r>
        <w:t>1.4. Określenia podstawowe</w:t>
      </w:r>
    </w:p>
    <w:p w:rsidR="00E52B27" w:rsidRDefault="00E52B27" w:rsidP="00E52B27">
      <w:pPr>
        <w:pStyle w:val="tekstost"/>
        <w:spacing w:after="60"/>
      </w:pPr>
      <w:r>
        <w:tab/>
        <w:t>Użyte w SST wymienione poniżej określenia należy rozumieć w każdym przypadku następująco:</w:t>
      </w:r>
    </w:p>
    <w:p w:rsidR="00E52B27" w:rsidRDefault="00E52B27" w:rsidP="00E52B27">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E52B27" w:rsidRDefault="00E52B27" w:rsidP="00E52B27">
      <w:pPr>
        <w:pStyle w:val="tekstost"/>
        <w:tabs>
          <w:tab w:val="left" w:pos="567"/>
        </w:tabs>
        <w:spacing w:before="60" w:after="60"/>
      </w:pPr>
      <w:r>
        <w:rPr>
          <w:b/>
        </w:rPr>
        <w:t>1.4.2</w:t>
      </w:r>
      <w:r>
        <w:t>.</w:t>
      </w:r>
      <w:r>
        <w:tab/>
        <w:t>Chodnik - wyznaczony pas terenu przy jezdni lub odsunięty od jezdni, przeznaczony do ruchu pieszych.</w:t>
      </w:r>
    </w:p>
    <w:p w:rsidR="00E52B27" w:rsidRDefault="00E52B27" w:rsidP="00E52B27">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E52B27" w:rsidRDefault="00E52B27" w:rsidP="00E52B27">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E52B27" w:rsidRDefault="00E52B27" w:rsidP="00E52B27">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E52B27" w:rsidRDefault="00E52B27" w:rsidP="00E52B27">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rsidR="00E52B27" w:rsidRDefault="00E52B27" w:rsidP="00E52B27">
      <w:pPr>
        <w:pStyle w:val="tekstost"/>
        <w:tabs>
          <w:tab w:val="left" w:pos="624"/>
        </w:tabs>
        <w:spacing w:before="60" w:after="60"/>
      </w:pPr>
      <w:r>
        <w:rPr>
          <w:b/>
        </w:rPr>
        <w:t>1.4.9.</w:t>
      </w:r>
      <w:r>
        <w:tab/>
        <w:t>Jezdnia - część korony drogi przeznaczona do ruchu pojazdów.</w:t>
      </w:r>
    </w:p>
    <w:p w:rsidR="00E52B27" w:rsidRDefault="00E52B27" w:rsidP="00E52B27">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E52B27" w:rsidRDefault="00E52B27" w:rsidP="00E52B27">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E52B27" w:rsidRDefault="00E52B27" w:rsidP="00E52B27">
      <w:pPr>
        <w:pStyle w:val="tekstost"/>
        <w:tabs>
          <w:tab w:val="left" w:pos="624"/>
        </w:tabs>
        <w:spacing w:before="60" w:after="60"/>
      </w:pPr>
      <w:r>
        <w:rPr>
          <w:b/>
        </w:rPr>
        <w:t>1.4.12.</w:t>
      </w:r>
      <w:r>
        <w:tab/>
        <w:t>Konstrukcja nawierzchni - układ warstw nawierzchni wraz ze sposobem ich połączenia.</w:t>
      </w:r>
    </w:p>
    <w:p w:rsidR="00E52B27" w:rsidRDefault="00E52B27" w:rsidP="00E52B27">
      <w:pPr>
        <w:pStyle w:val="tekstost"/>
        <w:tabs>
          <w:tab w:val="left" w:pos="624"/>
        </w:tabs>
        <w:spacing w:before="60" w:after="60"/>
      </w:pPr>
      <w:r>
        <w:rPr>
          <w:b/>
        </w:rPr>
        <w:t>1.4.14.</w:t>
      </w:r>
      <w:r>
        <w:tab/>
        <w:t>Korpus drogowy - nasyp lub ta część wykopu, która jest ograniczona koroną drogi i skarpami rowów.</w:t>
      </w:r>
    </w:p>
    <w:p w:rsidR="00E52B27" w:rsidRDefault="00E52B27" w:rsidP="00E52B27">
      <w:pPr>
        <w:pStyle w:val="tekstost"/>
        <w:tabs>
          <w:tab w:val="left" w:pos="624"/>
        </w:tabs>
        <w:spacing w:before="60" w:after="60"/>
      </w:pPr>
      <w:r>
        <w:rPr>
          <w:b/>
        </w:rPr>
        <w:t>1.4.15.</w:t>
      </w:r>
      <w:r>
        <w:tab/>
        <w:t>Koryto - element uformowany w korpusie drogowym w celu ułożenia w nim konstrukcji nawierzchni.</w:t>
      </w:r>
    </w:p>
    <w:p w:rsidR="00E52B27" w:rsidRDefault="00E52B27" w:rsidP="00E52B27">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E52B27" w:rsidRDefault="00E52B27" w:rsidP="00E52B27">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E52B27" w:rsidRDefault="00E52B27" w:rsidP="00E52B27">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rsidR="00E52B27" w:rsidRDefault="00E52B27" w:rsidP="00E52B27">
      <w:pPr>
        <w:pStyle w:val="tekstost"/>
        <w:tabs>
          <w:tab w:val="left" w:pos="624"/>
        </w:tabs>
        <w:spacing w:before="60"/>
      </w:pPr>
      <w:r>
        <w:rPr>
          <w:b/>
        </w:rPr>
        <w:lastRenderedPageBreak/>
        <w:t>1.4.20.</w:t>
      </w:r>
      <w:r>
        <w:t xml:space="preserve"> Nawierzchnia - warstwa lub zespół warstw służących do przejmowania i rozkładania obciążeń od ruchu na podłoże gruntowe i zapewniających dogodne warunki dla ruchu.</w:t>
      </w:r>
    </w:p>
    <w:p w:rsidR="00E52B27" w:rsidRDefault="00E52B27" w:rsidP="00E52B27">
      <w:pPr>
        <w:numPr>
          <w:ilvl w:val="0"/>
          <w:numId w:val="2"/>
        </w:numPr>
        <w:jc w:val="both"/>
      </w:pPr>
      <w:r>
        <w:t>Warstwa ścieralna - górna warstwa nawierzchni poddana bezpośrednio oddziaływaniu ruchu i czynników atmosferycznych.</w:t>
      </w:r>
    </w:p>
    <w:p w:rsidR="00E52B27" w:rsidRDefault="00E52B27" w:rsidP="00E52B27">
      <w:pPr>
        <w:numPr>
          <w:ilvl w:val="0"/>
          <w:numId w:val="2"/>
        </w:numPr>
        <w:jc w:val="both"/>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rsidR="00E52B27" w:rsidRDefault="00E52B27" w:rsidP="00E52B27">
      <w:pPr>
        <w:numPr>
          <w:ilvl w:val="0"/>
          <w:numId w:val="2"/>
        </w:numPr>
        <w:jc w:val="both"/>
      </w:pPr>
      <w:r>
        <w:t>Podbudowa - dolna część nawierzchni służąca do przenoszenia obciążeń od ruchu na podłoże. Podbudowa może składać się z podbudowy zasadniczej i podbudowy pomocniczej.</w:t>
      </w:r>
    </w:p>
    <w:p w:rsidR="00E52B27" w:rsidRDefault="00E52B27" w:rsidP="00E52B27">
      <w:pPr>
        <w:numPr>
          <w:ilvl w:val="0"/>
          <w:numId w:val="2"/>
        </w:numPr>
        <w:jc w:val="both"/>
      </w:pPr>
      <w:r>
        <w:t>Podbudowa zasadnicza - górna część podbudowy spełniająca funkcje nośne w konstrukcji nawierzchni. Może ona składać się z jednej lub dwóch warstw.</w:t>
      </w:r>
    </w:p>
    <w:p w:rsidR="00E52B27" w:rsidRDefault="00E52B27" w:rsidP="00E52B27">
      <w:pPr>
        <w:numPr>
          <w:ilvl w:val="0"/>
          <w:numId w:val="2"/>
        </w:numPr>
        <w:jc w:val="both"/>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E52B27" w:rsidRDefault="00E52B27" w:rsidP="00E52B27">
      <w:pPr>
        <w:numPr>
          <w:ilvl w:val="0"/>
          <w:numId w:val="2"/>
        </w:numPr>
        <w:spacing w:after="60"/>
        <w:ind w:left="288" w:hanging="288"/>
        <w:jc w:val="both"/>
      </w:pPr>
      <w:r>
        <w:t>Warstwa odsączająca - warstwa służąca do odprowadzenia wody przedostającej się do nawierzchni.</w:t>
      </w:r>
    </w:p>
    <w:p w:rsidR="00E52B27" w:rsidRDefault="00E52B27" w:rsidP="00E52B27">
      <w:pPr>
        <w:pStyle w:val="tekstost"/>
        <w:tabs>
          <w:tab w:val="left" w:pos="624"/>
        </w:tabs>
        <w:spacing w:before="60" w:after="60"/>
      </w:pPr>
      <w:r>
        <w:rPr>
          <w:b/>
        </w:rPr>
        <w:t>1.4.21.</w:t>
      </w:r>
      <w:r>
        <w:tab/>
        <w:t>Niweleta - wysokościowe i geometryczne rozwinięcie na płaszczyźnie pionowego przekroju w osi drogi lub obiektu mostowego.</w:t>
      </w:r>
    </w:p>
    <w:p w:rsidR="00E52B27" w:rsidRDefault="00E52B27" w:rsidP="00E52B27">
      <w:pPr>
        <w:pStyle w:val="tekstost"/>
        <w:tabs>
          <w:tab w:val="left" w:pos="624"/>
        </w:tabs>
        <w:spacing w:before="60" w:after="60"/>
      </w:pPr>
      <w:r>
        <w:rPr>
          <w:b/>
        </w:rPr>
        <w:t>1.4.23.</w:t>
      </w:r>
      <w:r>
        <w:tab/>
        <w:t>Objazd tymczasowy - droga specjalnie przygotowana i odpowiednio utrzymana do przeprowadzenia ruchu publicznego na okres budowy.</w:t>
      </w:r>
    </w:p>
    <w:p w:rsidR="00E52B27" w:rsidRDefault="00E52B27" w:rsidP="00E52B27">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E52B27" w:rsidRDefault="00E52B27" w:rsidP="00E52B27">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E52B27" w:rsidRDefault="00E52B27" w:rsidP="00E52B27">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E52B27" w:rsidRDefault="00E52B27" w:rsidP="00E52B27">
      <w:pPr>
        <w:pStyle w:val="tekstost"/>
        <w:tabs>
          <w:tab w:val="left" w:pos="624"/>
        </w:tabs>
        <w:spacing w:before="60" w:after="60"/>
      </w:pPr>
      <w:r>
        <w:rPr>
          <w:b/>
        </w:rPr>
        <w:t>1.4.27.</w:t>
      </w:r>
      <w:r>
        <w:tab/>
        <w:t>Podłoże nawierzchni - grunt rodzimy lub nasypowy, leżący pod nawierzchnią do głębokości przemarzania.</w:t>
      </w:r>
    </w:p>
    <w:p w:rsidR="00E52B27" w:rsidRDefault="00E52B27" w:rsidP="00E52B27">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E52B27" w:rsidRDefault="00E52B27" w:rsidP="00E52B27">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rsidR="00E52B27" w:rsidRDefault="00E52B27" w:rsidP="00E52B27">
      <w:pPr>
        <w:pStyle w:val="tekstost"/>
        <w:tabs>
          <w:tab w:val="left" w:pos="624"/>
        </w:tabs>
        <w:spacing w:before="60" w:after="60"/>
      </w:pPr>
      <w:r>
        <w:rPr>
          <w:b/>
        </w:rPr>
        <w:t>1.4.30.</w:t>
      </w:r>
      <w:r>
        <w:tab/>
        <w:t>Projektant - uprawniona osoba prawna lub fizyczna będąca autorem dokumentacji projektowej.</w:t>
      </w:r>
    </w:p>
    <w:p w:rsidR="00E52B27" w:rsidRDefault="00E52B27" w:rsidP="00E52B27">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E52B27" w:rsidRDefault="00E52B27" w:rsidP="00E52B27">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E52B27" w:rsidRDefault="00E52B27" w:rsidP="00E52B27">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E52B27" w:rsidRDefault="00E52B27" w:rsidP="00E52B27">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E52B27" w:rsidRDefault="00E52B27" w:rsidP="00E52B27">
      <w:pPr>
        <w:pStyle w:val="tekstost"/>
        <w:tabs>
          <w:tab w:val="left" w:pos="624"/>
        </w:tabs>
        <w:spacing w:before="60" w:after="60"/>
      </w:pPr>
      <w:r>
        <w:rPr>
          <w:b/>
        </w:rPr>
        <w:t>1.4.41.</w:t>
      </w:r>
      <w:r>
        <w:tab/>
        <w:t>Ślepy kosztorys - wykaz robót z podaniem ich ilości (przedmiarem) w kolejności technologicznej ich wykonania.</w:t>
      </w:r>
    </w:p>
    <w:p w:rsidR="00E52B27" w:rsidRDefault="00E52B27" w:rsidP="00E52B27">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E52B27" w:rsidRDefault="00E52B27" w:rsidP="00E52B27">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52B27" w:rsidRDefault="00E52B27" w:rsidP="00E52B27">
      <w:pPr>
        <w:pStyle w:val="Nagwek2"/>
      </w:pPr>
      <w:r>
        <w:t>1.5. Ogólne wymagania dotyczące robót</w:t>
      </w:r>
    </w:p>
    <w:p w:rsidR="00E52B27" w:rsidRDefault="00E52B27" w:rsidP="00E52B27">
      <w:pPr>
        <w:spacing w:after="60"/>
        <w:jc w:val="both"/>
      </w:pPr>
      <w:r>
        <w:tab/>
        <w:t>Wykonawca jest odpowiedzialny za jakość wykonanych robót, bezpieczeństwo wszelkich czynności na terenie budowy, metody użyte przy budowie oraz za ich zgodność z dokumentacją projektową, SST i poleceniami Inżyniera/Kierownika projektu.</w:t>
      </w:r>
    </w:p>
    <w:p w:rsidR="00E52B27" w:rsidRDefault="00E52B27" w:rsidP="00E52B27">
      <w:pPr>
        <w:pStyle w:val="Nagwek3"/>
      </w:pPr>
      <w:r>
        <w:rPr>
          <w:b/>
        </w:rPr>
        <w:lastRenderedPageBreak/>
        <w:t>1.5.1.</w:t>
      </w:r>
      <w:r>
        <w:t xml:space="preserve"> Przekazanie terenu budowy</w:t>
      </w:r>
    </w:p>
    <w:p w:rsidR="00E52B27" w:rsidRDefault="00E52B27" w:rsidP="00E52B27">
      <w:pPr>
        <w:spacing w:before="60"/>
        <w:jc w:val="both"/>
      </w:pPr>
      <w: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E52B27" w:rsidRDefault="00E52B27" w:rsidP="00E52B27">
      <w:pPr>
        <w:spacing w:after="60"/>
        <w:jc w:val="both"/>
      </w:pPr>
      <w:r>
        <w:tab/>
        <w:t>Na Wykonawcy spoczywa odpowiedzialność za ochronę przekazanych mu punktów pomiarowych do chwili odbioru ostatecznego robót. Uszkodzone lub zniszczone znaki geodezyjne Wykonawca odtworzy i utrwali na własny koszt.</w:t>
      </w:r>
    </w:p>
    <w:p w:rsidR="00E52B27" w:rsidRDefault="00E52B27" w:rsidP="00E52B27">
      <w:pPr>
        <w:pStyle w:val="Nagwek3"/>
      </w:pPr>
      <w:r>
        <w:rPr>
          <w:b/>
        </w:rPr>
        <w:t>1.5.2.</w:t>
      </w:r>
      <w:r>
        <w:t xml:space="preserve"> Dokumentacja projektowa</w:t>
      </w:r>
    </w:p>
    <w:p w:rsidR="00E52B27" w:rsidRDefault="00E52B27" w:rsidP="00E52B27">
      <w:pPr>
        <w:spacing w:before="60"/>
        <w:jc w:val="both"/>
      </w:pPr>
      <w:r>
        <w:tab/>
        <w:t>Dokumentacja projektowa będzie zawierać rysunki, obliczenia i dokumenty, zgodne z wykazem podanym w szczegółowych warunkach umowy, uwzględniającym podział na dokumentację projektową:</w:t>
      </w:r>
    </w:p>
    <w:p w:rsidR="00E52B27" w:rsidRDefault="00E52B27" w:rsidP="00E52B27">
      <w:pPr>
        <w:numPr>
          <w:ilvl w:val="0"/>
          <w:numId w:val="1"/>
        </w:numPr>
        <w:jc w:val="both"/>
      </w:pPr>
      <w:r>
        <w:t>Zamawiającego; wykaz pozycji, które stanowią przetargową dokumentację projektową oraz projektową dokumentację wykonawczą (techniczną) i zostaną przekazane Wykonawcy,</w:t>
      </w:r>
    </w:p>
    <w:p w:rsidR="00E52B27" w:rsidRDefault="00E52B27" w:rsidP="00E52B27">
      <w:pPr>
        <w:numPr>
          <w:ilvl w:val="0"/>
          <w:numId w:val="1"/>
        </w:numPr>
        <w:spacing w:after="60"/>
        <w:ind w:left="288" w:hanging="288"/>
        <w:jc w:val="both"/>
      </w:pPr>
      <w:r>
        <w:t>Wykonawcy; wykaz zawierający spis dokumentacji projektowej, którą Wykonawca opracuje w ramach ceny kontraktowej.</w:t>
      </w:r>
    </w:p>
    <w:p w:rsidR="00E52B27" w:rsidRDefault="00E52B27" w:rsidP="00E52B27">
      <w:pPr>
        <w:pStyle w:val="Nagwek3"/>
      </w:pPr>
      <w:r>
        <w:rPr>
          <w:b/>
        </w:rPr>
        <w:t>1.5.3.</w:t>
      </w:r>
      <w:r>
        <w:t xml:space="preserve"> Zgodność robót z dokumentacją projektową i SST</w:t>
      </w:r>
    </w:p>
    <w:p w:rsidR="00E52B27" w:rsidRDefault="00E52B27" w:rsidP="00E52B27">
      <w:pPr>
        <w:spacing w:before="60"/>
        <w:jc w:val="both"/>
      </w:pPr>
      <w: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E52B27" w:rsidRDefault="00E52B27" w:rsidP="00E52B27">
      <w:pPr>
        <w:jc w:val="both"/>
      </w:pPr>
      <w:r>
        <w:tab/>
        <w:t>W przypadku rozbieżności w ustaleniach poszczególnych dokumentów obowiązuje kolejność ich ważności wymieniona w „Kontraktowych warunkach ogólnych” („Ogólnych warunkach umowy”).</w:t>
      </w:r>
    </w:p>
    <w:p w:rsidR="00E52B27" w:rsidRDefault="00E52B27" w:rsidP="00E52B27">
      <w:pPr>
        <w:jc w:val="both"/>
      </w:pPr>
      <w:r>
        <w:tab/>
        <w:t xml:space="preserve">Wykonawca nie może wykorzystywać błędów lub </w:t>
      </w:r>
      <w:proofErr w:type="spellStart"/>
      <w:r>
        <w:t>opuszczeń</w:t>
      </w:r>
      <w:proofErr w:type="spellEnd"/>
      <w:r>
        <w:t xml:space="preserve"> w dokumentach kontraktowych, a o ich wykryciu winien natychmiast powiadomić Inżyniera/Kierownika projektu, który podejmie decyzję o wprowadzeniu odpowiednich zmian i poprawek.</w:t>
      </w:r>
    </w:p>
    <w:p w:rsidR="00E52B27" w:rsidRDefault="00E52B27" w:rsidP="00E52B27">
      <w:pPr>
        <w:jc w:val="both"/>
      </w:pPr>
      <w:r>
        <w:tab/>
        <w:t>W przypadku rozbieżności, wymiary podane na piśmie są ważniejsze od wymiarów określonych na podstawie odczytu ze skali rysunku.</w:t>
      </w:r>
    </w:p>
    <w:p w:rsidR="00E52B27" w:rsidRDefault="00E52B27" w:rsidP="00E52B27">
      <w:pPr>
        <w:jc w:val="both"/>
      </w:pPr>
      <w:r>
        <w:tab/>
        <w:t>Wszystkie wykonane roboty i dostarczone materiały będą zgodne z dokumentacją projektową i SST.</w:t>
      </w:r>
    </w:p>
    <w:p w:rsidR="00E52B27" w:rsidRDefault="00E52B27" w:rsidP="00E52B27">
      <w:pPr>
        <w:jc w:val="both"/>
      </w:pPr>
      <w: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E52B27" w:rsidRDefault="00E52B27" w:rsidP="00E52B27">
      <w:pPr>
        <w:spacing w:after="60"/>
        <w:jc w:val="both"/>
      </w:pPr>
      <w: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E52B27" w:rsidRDefault="00E52B27" w:rsidP="00E52B27">
      <w:pPr>
        <w:pStyle w:val="Nagwek3"/>
      </w:pPr>
      <w:r>
        <w:rPr>
          <w:b/>
        </w:rPr>
        <w:t>1.5.4.</w:t>
      </w:r>
      <w:r>
        <w:t xml:space="preserve"> Zabezpieczenie terenu budowy</w:t>
      </w:r>
    </w:p>
    <w:p w:rsidR="00E52B27" w:rsidRDefault="00E52B27" w:rsidP="00E52B27">
      <w:pPr>
        <w:keepNext/>
        <w:numPr>
          <w:ilvl w:val="0"/>
          <w:numId w:val="3"/>
        </w:numPr>
        <w:spacing w:before="60" w:after="60"/>
        <w:ind w:left="288" w:hanging="288"/>
        <w:jc w:val="both"/>
      </w:pPr>
      <w:r>
        <w:t>Roboty modernizacyjne/ przebudowa i remontowe („pod   ruchem”)</w:t>
      </w:r>
    </w:p>
    <w:p w:rsidR="00E52B27" w:rsidRDefault="00E52B27" w:rsidP="00E52B27">
      <w:pPr>
        <w:jc w:val="both"/>
      </w:pPr>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E52B27" w:rsidRDefault="00E52B27" w:rsidP="00E52B27">
      <w:pPr>
        <w:jc w:val="both"/>
      </w:pPr>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E52B27" w:rsidRDefault="00E52B27" w:rsidP="00E52B27">
      <w:pPr>
        <w:jc w:val="both"/>
      </w:pPr>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E52B27" w:rsidRDefault="00E52B27" w:rsidP="00E52B27">
      <w:pPr>
        <w:jc w:val="both"/>
      </w:pPr>
      <w:r>
        <w:tab/>
        <w:t>Wykonawca zapewni stałe warunki widoczności w dzień i w nocy tych zapór i znaków, dla których jest to nieodzowne ze względów bezpieczeństwa.</w:t>
      </w:r>
    </w:p>
    <w:p w:rsidR="00E52B27" w:rsidRDefault="00E52B27" w:rsidP="00E52B27">
      <w:pPr>
        <w:jc w:val="both"/>
      </w:pPr>
      <w:r>
        <w:tab/>
        <w:t>Wszystkie znaki, zapory i inne urządzenia zabezpieczające będą akceptowane przez Inżyniera/Kierownika projektu.</w:t>
      </w:r>
    </w:p>
    <w:p w:rsidR="00E52B27" w:rsidRDefault="00E52B27" w:rsidP="00E52B27">
      <w:pPr>
        <w:jc w:val="both"/>
      </w:pPr>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E52B27" w:rsidRDefault="00E52B27" w:rsidP="00E52B27">
      <w:pPr>
        <w:jc w:val="both"/>
      </w:pPr>
      <w:r>
        <w:tab/>
        <w:t>Koszt zabezpieczenia terenu budowy nie podlega odrębnej zapłacie i przyjmuje się, że jest włączony w cenę kontraktową.</w:t>
      </w:r>
    </w:p>
    <w:p w:rsidR="00E52B27" w:rsidRDefault="00E52B27" w:rsidP="00E52B27">
      <w:pPr>
        <w:pStyle w:val="Nagwek3"/>
      </w:pPr>
      <w:r>
        <w:rPr>
          <w:b/>
        </w:rPr>
        <w:lastRenderedPageBreak/>
        <w:t>1.5.5.</w:t>
      </w:r>
      <w:r>
        <w:t xml:space="preserve"> Ochrona środowiska w czasie wykonywania robót</w:t>
      </w:r>
    </w:p>
    <w:p w:rsidR="00E52B27" w:rsidRDefault="00E52B27" w:rsidP="00E52B27">
      <w:pPr>
        <w:spacing w:before="60"/>
        <w:jc w:val="both"/>
      </w:pPr>
      <w:r>
        <w:tab/>
        <w:t>Wykonawca ma obowiązek znać i stosować w czasie prowadzenia robót wszelkie przepisy dotyczące ochrony środowiska naturalnego.</w:t>
      </w:r>
    </w:p>
    <w:p w:rsidR="00E52B27" w:rsidRDefault="00E52B27" w:rsidP="00E52B27">
      <w:pPr>
        <w:jc w:val="both"/>
      </w:pPr>
      <w:r>
        <w:tab/>
        <w:t>W okresie trwania budowy i wykańczania robót Wykonawca będzie:</w:t>
      </w:r>
    </w:p>
    <w:p w:rsidR="00E52B27" w:rsidRDefault="00E52B27" w:rsidP="00E52B27">
      <w:pPr>
        <w:numPr>
          <w:ilvl w:val="0"/>
          <w:numId w:val="4"/>
        </w:numPr>
        <w:jc w:val="both"/>
      </w:pPr>
      <w:r>
        <w:t>utrzymywać teren budowy i wykopy w stanie bez wody stojącej,</w:t>
      </w:r>
    </w:p>
    <w:p w:rsidR="00E52B27" w:rsidRDefault="00E52B27" w:rsidP="00E52B27">
      <w:pPr>
        <w:numPr>
          <w:ilvl w:val="0"/>
          <w:numId w:val="4"/>
        </w:numPr>
        <w:jc w:val="both"/>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E52B27" w:rsidRDefault="00E52B27" w:rsidP="00E52B27">
      <w:pPr>
        <w:ind w:left="283" w:firstLine="426"/>
        <w:jc w:val="both"/>
      </w:pPr>
      <w:r>
        <w:t>Stosując się do tych wymagań będzie miał szczególny wzgląd na:</w:t>
      </w:r>
    </w:p>
    <w:p w:rsidR="00E52B27" w:rsidRDefault="00E52B27" w:rsidP="00E52B27">
      <w:pPr>
        <w:numPr>
          <w:ilvl w:val="0"/>
          <w:numId w:val="5"/>
        </w:numPr>
        <w:jc w:val="both"/>
      </w:pPr>
      <w:r>
        <w:t>lokalizację baz, warsztatów, magazynów, składowisk, ukopów i dróg dojazdowych,</w:t>
      </w:r>
    </w:p>
    <w:p w:rsidR="00E52B27" w:rsidRDefault="00E52B27" w:rsidP="00E52B27">
      <w:pPr>
        <w:numPr>
          <w:ilvl w:val="0"/>
          <w:numId w:val="5"/>
        </w:numPr>
        <w:jc w:val="both"/>
      </w:pPr>
      <w:r>
        <w:t>środki ostrożności i zabezpieczenia przed:</w:t>
      </w:r>
    </w:p>
    <w:p w:rsidR="00E52B27" w:rsidRDefault="00E52B27" w:rsidP="00E52B27">
      <w:pPr>
        <w:numPr>
          <w:ilvl w:val="0"/>
          <w:numId w:val="6"/>
        </w:numPr>
        <w:jc w:val="both"/>
      </w:pPr>
      <w:r>
        <w:t>zanieczyszczeniem zbiorników i cieków wodnych pyłami lub substancjami toksycznymi,</w:t>
      </w:r>
    </w:p>
    <w:p w:rsidR="00E52B27" w:rsidRDefault="00E52B27" w:rsidP="00E52B27">
      <w:pPr>
        <w:numPr>
          <w:ilvl w:val="0"/>
          <w:numId w:val="6"/>
        </w:numPr>
        <w:jc w:val="both"/>
      </w:pPr>
      <w:r>
        <w:t>zanieczyszczeniem powietrza pyłami i gazami,</w:t>
      </w:r>
    </w:p>
    <w:p w:rsidR="00E52B27" w:rsidRDefault="00E52B27" w:rsidP="00E52B27">
      <w:pPr>
        <w:numPr>
          <w:ilvl w:val="0"/>
          <w:numId w:val="6"/>
        </w:numPr>
        <w:spacing w:after="60"/>
        <w:ind w:left="568" w:hanging="284"/>
        <w:jc w:val="both"/>
      </w:pPr>
      <w:r>
        <w:t>możliwością powstania pożaru.</w:t>
      </w:r>
    </w:p>
    <w:p w:rsidR="00E52B27" w:rsidRDefault="00E52B27" w:rsidP="00E52B27">
      <w:pPr>
        <w:pStyle w:val="Nagwek3"/>
      </w:pPr>
      <w:r>
        <w:rPr>
          <w:b/>
        </w:rPr>
        <w:t>1.5.6.</w:t>
      </w:r>
      <w:r>
        <w:t xml:space="preserve"> Ochrona przeciwpożarowa</w:t>
      </w:r>
    </w:p>
    <w:p w:rsidR="00E52B27" w:rsidRDefault="00E52B27" w:rsidP="00E52B27">
      <w:pPr>
        <w:spacing w:before="60"/>
        <w:jc w:val="both"/>
      </w:pPr>
      <w:r>
        <w:tab/>
        <w:t>Wykonawca będzie przestrzegać przepisy ochrony przeciwpożarowej.</w:t>
      </w:r>
    </w:p>
    <w:p w:rsidR="00E52B27" w:rsidRDefault="00E52B27" w:rsidP="00E52B27">
      <w:pPr>
        <w:jc w:val="both"/>
      </w:pPr>
      <w:r>
        <w:tab/>
        <w:t>Wykonawca będzie utrzymywać, wymagany na podstawie odpowiednich przepisów sprawny sprzęt przeciwpożarowy, na terenie baz produkcyjnych, w pomieszczeniach biurowych, mieszkalnych, magazynach oraz w maszynach i pojazdach.</w:t>
      </w:r>
    </w:p>
    <w:p w:rsidR="00E52B27" w:rsidRDefault="00E52B27" w:rsidP="00E52B27">
      <w:pPr>
        <w:jc w:val="both"/>
      </w:pPr>
      <w:r>
        <w:tab/>
        <w:t>Materiały łatwopalne będą składowane w sposób zgodny z odpowiednimi przepisami i zabezpieczone przed dostępem osób trzecich.</w:t>
      </w:r>
    </w:p>
    <w:p w:rsidR="00E52B27" w:rsidRDefault="00E52B27" w:rsidP="00E52B27">
      <w:pPr>
        <w:spacing w:after="60"/>
        <w:jc w:val="both"/>
      </w:pPr>
      <w:r>
        <w:tab/>
        <w:t>Wykonawca będzie odpowiedzialny za wszelkie straty spowodowane pożarem wywołanym jako rezultat realizacji robót albo przez personel Wykonawcy.</w:t>
      </w:r>
    </w:p>
    <w:p w:rsidR="00E52B27" w:rsidRDefault="00E52B27" w:rsidP="00E52B27">
      <w:pPr>
        <w:pStyle w:val="Nagwek3"/>
      </w:pPr>
      <w:r>
        <w:rPr>
          <w:b/>
        </w:rPr>
        <w:t>1.5.7.</w:t>
      </w:r>
      <w:r>
        <w:t xml:space="preserve"> Materiały szkodliwe dla otoczenia</w:t>
      </w:r>
    </w:p>
    <w:p w:rsidR="00E52B27" w:rsidRDefault="00E52B27" w:rsidP="00E52B27">
      <w:pPr>
        <w:spacing w:before="60"/>
        <w:jc w:val="both"/>
      </w:pPr>
      <w:r>
        <w:tab/>
        <w:t>Materiały, które w sposób trwały są szkodliwe dla otoczenia, nie będą dopuszczone do użycia.</w:t>
      </w:r>
    </w:p>
    <w:p w:rsidR="00E52B27" w:rsidRDefault="00E52B27" w:rsidP="00E52B27">
      <w:pPr>
        <w:jc w:val="both"/>
      </w:pPr>
      <w:r>
        <w:tab/>
        <w:t>Nie dopuszcza się użycia materiałów wywołujących szkodliwe promieniowanie o stężeniu większym od dopuszczalnego, określonego odpowiednimi przepisami.</w:t>
      </w:r>
    </w:p>
    <w:p w:rsidR="00E52B27" w:rsidRDefault="00E52B27" w:rsidP="00E52B27">
      <w:pPr>
        <w:jc w:val="both"/>
      </w:pPr>
      <w:r>
        <w:tab/>
        <w:t>Wszelkie materiały odpadowe użyte do robót będą miały aprobatę techniczną wydaną przez uprawnioną jednostkę, jednoznacznie określającą brak szkodliwego oddziaływania tych materiałów na środowisko.</w:t>
      </w:r>
    </w:p>
    <w:p w:rsidR="00E52B27" w:rsidRDefault="00E52B27" w:rsidP="00E52B27">
      <w:pPr>
        <w:jc w:val="both"/>
      </w:pPr>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E52B27" w:rsidRDefault="00E52B27" w:rsidP="00E52B27">
      <w:pPr>
        <w:spacing w:after="60"/>
        <w:jc w:val="both"/>
      </w:pPr>
      <w:r>
        <w:tab/>
        <w:t>Jeżeli Wykonawca użył materiałów szkodliwych dla otoczenia zgodnie ze specyfikacjami, a ich użycie spowodowało jakiekolwiek zagrożenie środowiska, to konsekwencje tego poniesie Zamawiający.</w:t>
      </w:r>
    </w:p>
    <w:p w:rsidR="00E52B27" w:rsidRDefault="00E52B27" w:rsidP="00E52B27">
      <w:pPr>
        <w:pStyle w:val="Nagwek3"/>
      </w:pPr>
      <w:r>
        <w:rPr>
          <w:b/>
        </w:rPr>
        <w:t>1.5.8.</w:t>
      </w:r>
      <w:r>
        <w:t xml:space="preserve"> Ochrona własności publicznej i prywatnej</w:t>
      </w:r>
    </w:p>
    <w:p w:rsidR="00E52B27" w:rsidRDefault="00E52B27" w:rsidP="00E52B27">
      <w:pPr>
        <w:spacing w:before="60"/>
        <w:jc w:val="both"/>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E52B27" w:rsidRDefault="00E52B27" w:rsidP="00E52B27">
      <w:pPr>
        <w:spacing w:after="60"/>
        <w:jc w:val="both"/>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E52B27" w:rsidRDefault="00E52B27" w:rsidP="00E52B27">
      <w:pPr>
        <w:spacing w:after="60"/>
        <w:jc w:val="both"/>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E52B27" w:rsidRDefault="00E52B27" w:rsidP="00E52B27">
      <w:pPr>
        <w:spacing w:after="60"/>
        <w:jc w:val="both"/>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E52B27" w:rsidRDefault="00E52B27" w:rsidP="00E52B27">
      <w:pPr>
        <w:pStyle w:val="Nagwek3"/>
      </w:pPr>
      <w:r>
        <w:rPr>
          <w:b/>
        </w:rPr>
        <w:t>1.5.9.</w:t>
      </w:r>
      <w:r>
        <w:t xml:space="preserve"> Ograniczenie obciążeń osi pojazdów</w:t>
      </w:r>
    </w:p>
    <w:p w:rsidR="00E52B27" w:rsidRDefault="00E52B27" w:rsidP="00E52B27">
      <w:pPr>
        <w:spacing w:before="60" w:after="60"/>
        <w:jc w:val="both"/>
      </w:pPr>
      <w:r>
        <w:tab/>
        <w:t xml:space="preserve">Wykonawca będzie stosować się do ustawowych ograniczeń nacisków osi na drogach publicznych przy transporcie materiałów i wyposażenia na i z terenu robót. Wykonawca uzyska wszelkie niezbędne zezwolenia i </w:t>
      </w:r>
      <w:r>
        <w:lastRenderedPageBreak/>
        <w:t>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E52B27" w:rsidRDefault="00E52B27" w:rsidP="00E52B27">
      <w:pPr>
        <w:pStyle w:val="Nagwek3"/>
      </w:pPr>
      <w:r>
        <w:rPr>
          <w:b/>
        </w:rPr>
        <w:t>1.5.10.</w:t>
      </w:r>
      <w:r>
        <w:t xml:space="preserve"> Bezpieczeństwo i higiena pracy</w:t>
      </w:r>
    </w:p>
    <w:p w:rsidR="00E52B27" w:rsidRDefault="00E52B27" w:rsidP="00E52B27">
      <w:pPr>
        <w:spacing w:before="60"/>
        <w:jc w:val="both"/>
      </w:pPr>
      <w:r>
        <w:tab/>
        <w:t>Podczas realizacji robót Wykonawca będzie przestrzegać przepisów dotyczących bezpieczeństwa i higieny pracy.</w:t>
      </w:r>
    </w:p>
    <w:p w:rsidR="00E52B27" w:rsidRDefault="00E52B27" w:rsidP="00E52B27">
      <w:pPr>
        <w:jc w:val="both"/>
      </w:pPr>
      <w:r>
        <w:tab/>
        <w:t>W szczególności Wykonawca ma obowiązek zadbać, aby personel nie wykonywał pracy w warunkach niebezpiecznych, szkodliwych dla zdrowia oraz nie spełniających odpowiednich wymagań sanitarnych.</w:t>
      </w:r>
    </w:p>
    <w:p w:rsidR="00E52B27" w:rsidRDefault="00E52B27" w:rsidP="00E52B27">
      <w:pPr>
        <w:jc w:val="both"/>
      </w:pPr>
      <w:r>
        <w:tab/>
        <w:t>Wykonawca zapewni i będzie utrzymywał wszelkie urządzenia zabezpieczające, socjalne oraz sprzęt i odpowiednią odzież dla ochrony życia i zdrowia osób zatrudnionych na budowie oraz dla zapewnienia bezpieczeństwa publicznego.</w:t>
      </w:r>
    </w:p>
    <w:p w:rsidR="00E52B27" w:rsidRDefault="00E52B27" w:rsidP="00E52B27">
      <w:pPr>
        <w:spacing w:after="60"/>
        <w:jc w:val="both"/>
      </w:pPr>
      <w:r>
        <w:tab/>
        <w:t>Uznaje się, że wszelkie koszty związane z wypełnieniem wymagań określonych powyżej nie podlegają odrębnej zapłacie i są uwzględnione w cenie kontraktowej.</w:t>
      </w:r>
    </w:p>
    <w:p w:rsidR="00E52B27" w:rsidRDefault="00E52B27" w:rsidP="00E52B27">
      <w:pPr>
        <w:pStyle w:val="Nagwek3"/>
      </w:pPr>
      <w:r>
        <w:rPr>
          <w:b/>
        </w:rPr>
        <w:t>1.5.11.</w:t>
      </w:r>
      <w:r>
        <w:t xml:space="preserve"> Ochrona i utrzymanie robót</w:t>
      </w:r>
    </w:p>
    <w:p w:rsidR="00E52B27" w:rsidRDefault="00E52B27" w:rsidP="00E52B27">
      <w:pPr>
        <w:pStyle w:val="Nagwek3"/>
        <w:spacing w:after="0"/>
      </w:pPr>
      <w:r>
        <w:tab/>
      </w:r>
      <w:bookmarkStart w:id="5" w:name="_Toc412518567"/>
      <w:r>
        <w:t>Wykonawca będzie odpowiadał za ochronę robót i za wszelkie materiały i urządzenia używane do robót od daty rozpoczęcia do daty wydania potwierdzenia zakończenia robót przez Inżyniera/Kierownika projektu.</w:t>
      </w:r>
      <w:bookmarkEnd w:id="5"/>
    </w:p>
    <w:p w:rsidR="00E52B27" w:rsidRDefault="00E52B27" w:rsidP="00E52B27">
      <w:pPr>
        <w:jc w:val="both"/>
      </w:pPr>
      <w:r>
        <w:tab/>
        <w:t>Wykonawca będzie utrzymywać roboty do czasu odbioru ostatecznego. Utrzymanie powinno być prowadzone w taki sposób, aby budowla drogowa lub jej elementy były w zadowalającym stanie przez cały czas, do momentu odbioru ostatecznego.</w:t>
      </w:r>
    </w:p>
    <w:p w:rsidR="00E52B27" w:rsidRDefault="00E52B27" w:rsidP="00E52B27">
      <w:pPr>
        <w:spacing w:after="60"/>
        <w:jc w:val="both"/>
      </w:pPr>
      <w:r>
        <w:tab/>
        <w:t>Jeśli Wykonawca w jakimkolwiek czasie zaniedba utrzymanie, to na polecenie Inżyniera/Kierownika projektu powinien rozpocząć roboty utrzymaniowe nie później niż w 24 godziny po otrzymaniu tego polecenia.</w:t>
      </w:r>
    </w:p>
    <w:p w:rsidR="00E52B27" w:rsidRDefault="00E52B27" w:rsidP="00E52B27">
      <w:pPr>
        <w:pStyle w:val="Nagwek3"/>
      </w:pPr>
      <w:r>
        <w:rPr>
          <w:b/>
        </w:rPr>
        <w:t>1.5.12.</w:t>
      </w:r>
      <w:r>
        <w:t xml:space="preserve"> Stosowanie się do prawa i innych przepisów</w:t>
      </w:r>
    </w:p>
    <w:p w:rsidR="00E52B27" w:rsidRDefault="00E52B27" w:rsidP="00E52B27">
      <w:pPr>
        <w:spacing w:before="60"/>
        <w:jc w:val="both"/>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E52B27" w:rsidRDefault="00E52B27" w:rsidP="00E52B27">
      <w:pPr>
        <w:spacing w:after="120"/>
        <w:jc w:val="both"/>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E52B27" w:rsidRDefault="00E52B27" w:rsidP="00E52B27">
      <w:pPr>
        <w:spacing w:after="120"/>
        <w:jc w:val="both"/>
      </w:pPr>
      <w:r>
        <w:rPr>
          <w:b/>
        </w:rPr>
        <w:t xml:space="preserve">1.5.13. </w:t>
      </w:r>
      <w:r>
        <w:t>Równoważność norm i zbiorów przepisów prawnych</w:t>
      </w:r>
    </w:p>
    <w:p w:rsidR="00E52B27" w:rsidRDefault="00E52B27" w:rsidP="00E52B27">
      <w:pPr>
        <w:spacing w:after="120"/>
        <w:jc w:val="both"/>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E52B27" w:rsidRDefault="00E52B27" w:rsidP="00E52B27">
      <w:pPr>
        <w:spacing w:after="120"/>
        <w:jc w:val="both"/>
      </w:pPr>
      <w:r>
        <w:rPr>
          <w:b/>
        </w:rPr>
        <w:t>1.5.14.</w:t>
      </w:r>
      <w:r>
        <w:t xml:space="preserve"> Wykopaliska</w:t>
      </w:r>
    </w:p>
    <w:p w:rsidR="00E52B27" w:rsidRDefault="00E52B27" w:rsidP="00E52B27">
      <w:pPr>
        <w:spacing w:after="120"/>
        <w:jc w:val="both"/>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E52B27" w:rsidRDefault="00E52B27" w:rsidP="00E52B27">
      <w:pPr>
        <w:spacing w:after="120"/>
        <w:jc w:val="both"/>
        <w:rPr>
          <w:b/>
        </w:rPr>
      </w:pPr>
      <w:r>
        <w:rPr>
          <w:b/>
        </w:rPr>
        <w:t>1.6. Zaplecze Zamawiającego (</w:t>
      </w:r>
      <w:r>
        <w:t>o ile warunki kontraktu przewidują realizację</w:t>
      </w:r>
      <w:r>
        <w:rPr>
          <w:b/>
        </w:rPr>
        <w:t>)</w:t>
      </w:r>
    </w:p>
    <w:p w:rsidR="00E52B27" w:rsidRDefault="00E52B27" w:rsidP="00E52B27">
      <w:pPr>
        <w:spacing w:after="120"/>
        <w:jc w:val="both"/>
      </w:pPr>
      <w:r>
        <w:rPr>
          <w:b/>
        </w:rPr>
        <w:tab/>
      </w:r>
      <w:r>
        <w:t>Wykonawca zobowiązany jest zabezpieczyć Zamawiającemu, pomieszczenia biurowe, sprzęt, transport oraz inne urządzenia towarzyszące, zgodnie z wymaganiami podanymi w D-M-00.00.01 „Zaplecze Zamawiającego”.</w:t>
      </w:r>
    </w:p>
    <w:p w:rsidR="00E52B27" w:rsidRDefault="00E52B27" w:rsidP="00E52B27">
      <w:pPr>
        <w:pStyle w:val="Nagwek1"/>
      </w:pPr>
      <w:bookmarkStart w:id="6" w:name="_Toc416830699"/>
      <w:bookmarkStart w:id="7" w:name="_Toc6881280"/>
      <w:bookmarkStart w:id="8" w:name="_Toc6882153"/>
      <w:r>
        <w:lastRenderedPageBreak/>
        <w:t>2. MATERIAŁY</w:t>
      </w:r>
      <w:bookmarkEnd w:id="6"/>
      <w:bookmarkEnd w:id="7"/>
      <w:bookmarkEnd w:id="8"/>
    </w:p>
    <w:p w:rsidR="00E52B27" w:rsidRDefault="00E52B27" w:rsidP="00E52B27">
      <w:pPr>
        <w:pStyle w:val="Nagwek2"/>
      </w:pPr>
      <w:r>
        <w:t>2.1. Źródła uzyskania materiałów</w:t>
      </w:r>
    </w:p>
    <w:p w:rsidR="00E52B27" w:rsidRDefault="00E52B27" w:rsidP="00E52B27">
      <w:pPr>
        <w:jc w:val="both"/>
      </w:pPr>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E52B27" w:rsidRDefault="00E52B27" w:rsidP="00E52B27">
      <w:pPr>
        <w:jc w:val="both"/>
      </w:pPr>
      <w:r>
        <w:tab/>
        <w:t>Zatwierdzenie partii materiałów z danego źródła nie oznacza automatycznie, że wszelkie materiały z danego źródła uzyskają zatwierdzenie.</w:t>
      </w:r>
    </w:p>
    <w:p w:rsidR="00E52B27" w:rsidRDefault="00E52B27" w:rsidP="00E52B27">
      <w:pPr>
        <w:jc w:val="both"/>
      </w:pPr>
      <w:r>
        <w:tab/>
        <w:t>Wykonawca zobowiązany jest do prowadzenia badań w celu wykazania, że materiały uzyskane z dopuszczonego źródła w sposób ciągły spełniają wymagania SST w czasie realizacji robót.</w:t>
      </w:r>
    </w:p>
    <w:p w:rsidR="00E52B27" w:rsidRDefault="00E52B27" w:rsidP="00E52B27">
      <w:pPr>
        <w:pStyle w:val="Nagwek2"/>
      </w:pPr>
      <w:r>
        <w:t>2.2. Pozyskiwanie materiałów miejscowych</w:t>
      </w:r>
    </w:p>
    <w:p w:rsidR="00E52B27" w:rsidRDefault="00E52B27" w:rsidP="00E52B27">
      <w:pPr>
        <w:jc w:val="both"/>
      </w:pPr>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E52B27" w:rsidRDefault="00E52B27" w:rsidP="00E52B27">
      <w:pPr>
        <w:jc w:val="both"/>
      </w:pPr>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E52B27" w:rsidRDefault="00E52B27" w:rsidP="00E52B27">
      <w:pPr>
        <w:jc w:val="both"/>
      </w:pPr>
      <w:r>
        <w:tab/>
        <w:t>Wykonawca ponosi odpowiedzialność za spełnienie wymagań ilościowych i jakościowych materiałów pochodzących ze źródeł miejscowych.</w:t>
      </w:r>
    </w:p>
    <w:p w:rsidR="00E52B27" w:rsidRDefault="00E52B27" w:rsidP="00E52B27">
      <w:pPr>
        <w:jc w:val="both"/>
      </w:pPr>
      <w:r>
        <w:tab/>
        <w:t>Wykonawca ponosi wszystkie koszty, z tytułu wydobycia materiałów, dzierżawy i inne jakie okażą się potrzebne w związku  z dostarczeniem materiałów do robót.</w:t>
      </w:r>
    </w:p>
    <w:p w:rsidR="00E52B27" w:rsidRDefault="00E52B27" w:rsidP="00E52B27">
      <w:pPr>
        <w:jc w:val="both"/>
      </w:pPr>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E52B27" w:rsidRDefault="00E52B27" w:rsidP="00E52B27">
      <w:pPr>
        <w:jc w:val="both"/>
      </w:pPr>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E52B27" w:rsidRDefault="00E52B27" w:rsidP="00E52B27">
      <w:pPr>
        <w:jc w:val="both"/>
      </w:pPr>
      <w:r>
        <w:tab/>
        <w:t>Wykonawca nie będzie prowadzić żadnych wykopów w obrębie terenu budowy poza tymi, które zostały wyszczególnione w dokumentach umowy, chyba, że uzyska na to pisemną zgodę Inżyniera/Kierownika projektu.</w:t>
      </w:r>
    </w:p>
    <w:p w:rsidR="00E52B27" w:rsidRDefault="00E52B27" w:rsidP="00E52B27">
      <w:pPr>
        <w:jc w:val="both"/>
      </w:pPr>
      <w:r>
        <w:tab/>
        <w:t>Eksploatacja źródeł materiałów będzie zgodna z wszelkimi regulacjami prawnymi obowiązującymi na danym obszarze.</w:t>
      </w:r>
    </w:p>
    <w:p w:rsidR="00E52B27" w:rsidRDefault="00E52B27" w:rsidP="00E52B27">
      <w:pPr>
        <w:pStyle w:val="Nagwek2"/>
      </w:pPr>
      <w:r>
        <w:t>2.3. Materiały nie odpowiadające wymaganiom</w:t>
      </w:r>
    </w:p>
    <w:p w:rsidR="00E52B27" w:rsidRDefault="00E52B27" w:rsidP="00E52B27">
      <w:pPr>
        <w:jc w:val="both"/>
      </w:pPr>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E52B27" w:rsidRDefault="00E52B27" w:rsidP="00E52B27">
      <w:pPr>
        <w:jc w:val="both"/>
      </w:pPr>
      <w:r>
        <w:tab/>
        <w:t>Każdy rodzaj robót, w którym znajdują się nie zbadane i nie zaakceptowane materiały, Wykonawca wykonuje na własne ryzyko, licząc się z jego nieprzyjęciem, usunięciem  i niezapłaceniem</w:t>
      </w:r>
    </w:p>
    <w:p w:rsidR="00E52B27" w:rsidRDefault="00E52B27" w:rsidP="00E52B27">
      <w:pPr>
        <w:pStyle w:val="Nagwek2"/>
      </w:pPr>
      <w:r>
        <w:t>2.4. Wariantowe stosowanie materiałów</w:t>
      </w:r>
    </w:p>
    <w:p w:rsidR="00E52B27" w:rsidRDefault="00E52B27" w:rsidP="00E52B27">
      <w:pPr>
        <w:jc w:val="both"/>
      </w:pPr>
      <w: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E52B27" w:rsidRDefault="00E52B27" w:rsidP="00E52B27">
      <w:pPr>
        <w:pStyle w:val="Nagwek2"/>
      </w:pPr>
      <w:r>
        <w:t>2.5. Przechowywanie i składowanie materiałów</w:t>
      </w:r>
    </w:p>
    <w:p w:rsidR="00E52B27" w:rsidRDefault="00E52B27" w:rsidP="00E52B27">
      <w:pPr>
        <w:jc w:val="both"/>
      </w:pPr>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E52B27" w:rsidRDefault="00E52B27" w:rsidP="00E52B27">
      <w:pPr>
        <w:jc w:val="both"/>
      </w:pPr>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E52B27" w:rsidRDefault="00E52B27" w:rsidP="00E52B27">
      <w:pPr>
        <w:pStyle w:val="Nagwek2"/>
      </w:pPr>
      <w:r>
        <w:t>2.6. Inspekcja wytwórni materiałów</w:t>
      </w:r>
    </w:p>
    <w:p w:rsidR="00E52B27" w:rsidRDefault="00E52B27" w:rsidP="00E52B27">
      <w:pPr>
        <w:jc w:val="both"/>
      </w:pPr>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E52B27" w:rsidRDefault="00E52B27" w:rsidP="00E52B27">
      <w:pPr>
        <w:jc w:val="both"/>
      </w:pPr>
      <w:r>
        <w:lastRenderedPageBreak/>
        <w:tab/>
        <w:t>W przypadku, gdy Inżynier/Kierownik projektu będzie przeprowadzał inspekcję wytwórni, muszą być spełnione następujące warunki:</w:t>
      </w:r>
    </w:p>
    <w:p w:rsidR="00E52B27" w:rsidRDefault="00E52B27" w:rsidP="00E52B27">
      <w:pPr>
        <w:numPr>
          <w:ilvl w:val="0"/>
          <w:numId w:val="7"/>
        </w:numPr>
        <w:jc w:val="both"/>
      </w:pPr>
      <w:r>
        <w:t>Inżynier/Kierownik projektu będzie miał zapewnioną współpracę i pomoc Wykonawcy oraz producenta materiałów w czasie przeprowadzania inspekcji,</w:t>
      </w:r>
    </w:p>
    <w:p w:rsidR="00E52B27" w:rsidRDefault="00E52B27" w:rsidP="00E52B27">
      <w:pPr>
        <w:numPr>
          <w:ilvl w:val="0"/>
          <w:numId w:val="7"/>
        </w:numPr>
        <w:jc w:val="both"/>
      </w:pPr>
      <w:r>
        <w:t>Inżynier/Kierownik projektu będzie miał wolny dostęp, w dowolnym czasie, do tych części wytwórni, gdzie odbywa się produkcja materiałów przeznaczonych do realizacji robót,</w:t>
      </w:r>
    </w:p>
    <w:p w:rsidR="00E52B27" w:rsidRDefault="00E52B27" w:rsidP="00E52B27">
      <w:pPr>
        <w:numPr>
          <w:ilvl w:val="0"/>
          <w:numId w:val="7"/>
        </w:numPr>
        <w:jc w:val="both"/>
      </w:pPr>
      <w:r>
        <w:t>Jeżeli produkcja odbywa się w miejscu nie należącym do Wykonawcy, Wykonawca uzyska dla Inżyniera/Kierownika projektu zezwolenie dla przeprowadzenia inspekcji i badań w tych miejscach.</w:t>
      </w:r>
    </w:p>
    <w:p w:rsidR="00E52B27" w:rsidRDefault="00E52B27" w:rsidP="00E52B27">
      <w:pPr>
        <w:pStyle w:val="Nagwek1"/>
        <w:spacing w:before="240"/>
      </w:pPr>
      <w:bookmarkStart w:id="9" w:name="_Toc416830700"/>
      <w:bookmarkStart w:id="10" w:name="_Toc6881281"/>
      <w:bookmarkStart w:id="11" w:name="_Toc6882154"/>
      <w:r>
        <w:t>3. sprzęt</w:t>
      </w:r>
      <w:bookmarkEnd w:id="9"/>
      <w:bookmarkEnd w:id="10"/>
      <w:bookmarkEnd w:id="11"/>
    </w:p>
    <w:p w:rsidR="00E52B27" w:rsidRDefault="00E52B27" w:rsidP="00E52B27">
      <w:pPr>
        <w:jc w:val="both"/>
      </w:pPr>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E52B27" w:rsidRDefault="00E52B27" w:rsidP="00E52B27">
      <w:pPr>
        <w:jc w:val="both"/>
      </w:pPr>
      <w:r>
        <w:tab/>
        <w:t>Liczba i wydajność sprzętu powinny gwarantować przeprowadzenie robót, zgodnie z zasadami określonymi w dokumentacji projektowej, SST i wskazaniach Inżyniera/ Kierownika projektu.</w:t>
      </w:r>
    </w:p>
    <w:p w:rsidR="00E52B27" w:rsidRDefault="00E52B27" w:rsidP="00E52B27">
      <w:pPr>
        <w:jc w:val="both"/>
      </w:pPr>
      <w:r>
        <w:tab/>
        <w:t>Sprzęt będący własnością Wykonawcy lub wynajęty do wykonania robót ma być utrzymywany w dobrym stanie i gotowości do pracy. Powinien być zgodny z normami ochrony środowiska i przepisami dotyczącymi jego użytkowania.</w:t>
      </w:r>
    </w:p>
    <w:p w:rsidR="00E52B27" w:rsidRDefault="00E52B27" w:rsidP="00E52B27">
      <w:pPr>
        <w:jc w:val="both"/>
      </w:pPr>
      <w:r>
        <w:tab/>
        <w:t>Wykonawca dostarczy Inżynierowi/Kierownikowi projektu kopie dokumentów potwierdzających dopuszczenie sprzętu do użytkowania i badań okresowych, tam gdzie jest to wymagane przepisami.</w:t>
      </w:r>
    </w:p>
    <w:p w:rsidR="00E52B27" w:rsidRDefault="00E52B27" w:rsidP="00E52B27">
      <w:pPr>
        <w:jc w:val="both"/>
      </w:pPr>
      <w:r>
        <w:tab/>
        <w:t>Wykonawca będzie konserwować sprzęt jak również naprawiać lub wymieniać sprzęt niesprawny.</w:t>
      </w:r>
    </w:p>
    <w:p w:rsidR="00E52B27" w:rsidRDefault="00E52B27" w:rsidP="00E52B27">
      <w:pPr>
        <w:jc w:val="both"/>
      </w:pPr>
      <w:r>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E52B27" w:rsidRDefault="00E52B27" w:rsidP="00E52B27">
      <w:pPr>
        <w:spacing w:after="120"/>
        <w:jc w:val="both"/>
      </w:pPr>
      <w:r>
        <w:tab/>
        <w:t>Jakikolwiek sprzęt, maszyny, urządzenia i narzędzia nie gwarantujące zachowania warunków umowy, zostaną przez Inżyniera/Kierownika projektu zdyskwalifikowane i nie dopuszczone do robót.</w:t>
      </w:r>
    </w:p>
    <w:p w:rsidR="00E52B27" w:rsidRDefault="00E52B27" w:rsidP="00E52B27">
      <w:pPr>
        <w:pStyle w:val="Nagwek1"/>
        <w:spacing w:after="240"/>
      </w:pPr>
      <w:bookmarkStart w:id="12" w:name="_Toc416830701"/>
      <w:bookmarkStart w:id="13" w:name="_Toc6881282"/>
      <w:bookmarkStart w:id="14" w:name="_Toc6882155"/>
      <w:r>
        <w:t>4. transport</w:t>
      </w:r>
      <w:bookmarkEnd w:id="12"/>
      <w:bookmarkEnd w:id="13"/>
      <w:bookmarkEnd w:id="14"/>
    </w:p>
    <w:p w:rsidR="00E52B27" w:rsidRDefault="00E52B27" w:rsidP="00E52B27">
      <w:pPr>
        <w:jc w:val="both"/>
      </w:pPr>
      <w:r>
        <w:tab/>
        <w:t>Wykonawca jest zobowiązany do stosowania jedynie takich środków transportu, które nie wpłyną niekorzystnie na jakość wykonywanych robót i właściwości przewożonych materiałów.</w:t>
      </w:r>
    </w:p>
    <w:p w:rsidR="00E52B27" w:rsidRDefault="00E52B27" w:rsidP="00E52B27">
      <w:pPr>
        <w:jc w:val="both"/>
      </w:pPr>
      <w:r>
        <w:tab/>
        <w:t>Liczba środków transportu powinna zapewniać prowadzenie robót zgodnie z zasadami określonymi w dokumentacji projektowej, SST i wskazaniach Inżyniera/ Kierownika projektu, w terminie przewidzianym umową.</w:t>
      </w:r>
    </w:p>
    <w:p w:rsidR="00E52B27" w:rsidRDefault="00E52B27" w:rsidP="00E52B27">
      <w:pPr>
        <w:jc w:val="both"/>
      </w:pPr>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E52B27" w:rsidRDefault="00E52B27" w:rsidP="00E52B27">
      <w:pPr>
        <w:spacing w:after="120"/>
        <w:jc w:val="both"/>
      </w:pPr>
      <w:r>
        <w:tab/>
        <w:t>Wykonawca będzie usuwać na bieżąco, na własny koszt, wszelkie zanieczyszczenia, uszkodzenia spowodowane jego pojazdami na drogach publicznych oraz dojazdach do terenu budowy.</w:t>
      </w:r>
    </w:p>
    <w:p w:rsidR="00E52B27" w:rsidRDefault="00E52B27" w:rsidP="00E52B27">
      <w:pPr>
        <w:pStyle w:val="Nagwek1"/>
        <w:spacing w:after="240"/>
      </w:pPr>
      <w:bookmarkStart w:id="15" w:name="_Toc416830702"/>
      <w:bookmarkStart w:id="16" w:name="_Toc6881283"/>
      <w:bookmarkStart w:id="17" w:name="_Toc6882156"/>
      <w:r>
        <w:t>5. wykonanie robót</w:t>
      </w:r>
      <w:bookmarkEnd w:id="15"/>
      <w:bookmarkEnd w:id="16"/>
      <w:bookmarkEnd w:id="17"/>
    </w:p>
    <w:p w:rsidR="00E52B27" w:rsidRDefault="00E52B27" w:rsidP="00E52B27">
      <w:pPr>
        <w:pStyle w:val="tekstost"/>
      </w:pPr>
      <w: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E52B27" w:rsidRDefault="00E52B27" w:rsidP="00E52B27">
      <w:pPr>
        <w:pStyle w:val="tekstost"/>
      </w:pPr>
      <w:r>
        <w:tab/>
        <w:t>Wykonawca jest odpowiedzialny za stosowane metody wykonywania robót.</w:t>
      </w:r>
    </w:p>
    <w:p w:rsidR="00E52B27" w:rsidRDefault="00E52B27" w:rsidP="00E52B27">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E52B27" w:rsidRDefault="00E52B27" w:rsidP="00E52B27">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E52B27" w:rsidRDefault="00E52B27" w:rsidP="00E52B27">
      <w:pPr>
        <w:pStyle w:val="tekstost"/>
      </w:pPr>
      <w:r>
        <w:tab/>
        <w:t>Sprawdzenie wytyczenia robót lub wyznaczenia wysokości przez Inżyniera/ Kierownika projektu nie zwalnia Wykonawcy od odpowiedzialności za ich dokładność.</w:t>
      </w:r>
    </w:p>
    <w:p w:rsidR="00E52B27" w:rsidRDefault="00E52B27" w:rsidP="00E52B27">
      <w:pPr>
        <w:pStyle w:val="tekstost"/>
      </w:pPr>
      <w:r>
        <w:tab/>
        <w:t xml:space="preserve">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w:t>
      </w:r>
      <w:r>
        <w:lastRenderedPageBreak/>
        <w:t>materiałów i robót, rozrzuty normalnie występujące przy produkcji i przy badaniach materiałów, doświadczenia z przeszłości, wyniki badań naukowych oraz inne czynniki wpływające na rozważaną kwestię.</w:t>
      </w:r>
    </w:p>
    <w:p w:rsidR="00E52B27" w:rsidRDefault="00E52B27" w:rsidP="00E52B27">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rsidR="00E52B27" w:rsidRDefault="00E52B27" w:rsidP="00E52B27">
      <w:pPr>
        <w:pStyle w:val="Nagwek1"/>
      </w:pPr>
      <w:bookmarkStart w:id="18" w:name="_Toc416830703"/>
      <w:bookmarkStart w:id="19" w:name="_Toc6881284"/>
      <w:bookmarkStart w:id="20" w:name="_Toc6882157"/>
      <w:r>
        <w:t>6. kontrola jakości robót</w:t>
      </w:r>
      <w:bookmarkEnd w:id="18"/>
      <w:bookmarkEnd w:id="19"/>
      <w:bookmarkEnd w:id="20"/>
    </w:p>
    <w:p w:rsidR="00E52B27" w:rsidRDefault="00E52B27" w:rsidP="00E52B27">
      <w:pPr>
        <w:pStyle w:val="Nagwek2"/>
      </w:pPr>
      <w:r>
        <w:t xml:space="preserve">6.1. Program zapewnienia jakości </w:t>
      </w:r>
    </w:p>
    <w:p w:rsidR="00E52B27" w:rsidRDefault="00E52B27" w:rsidP="00E52B27">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E52B27" w:rsidRDefault="00E52B27" w:rsidP="00E52B27">
      <w:pPr>
        <w:pStyle w:val="tekstost"/>
      </w:pPr>
      <w:r>
        <w:tab/>
        <w:t>Program zapewnienia jakości powinien zawierać:</w:t>
      </w:r>
    </w:p>
    <w:p w:rsidR="00E52B27" w:rsidRDefault="00E52B27" w:rsidP="00E52B27">
      <w:pPr>
        <w:pStyle w:val="tekstost"/>
      </w:pPr>
      <w:r>
        <w:t>a) część ogólną opisującą:</w:t>
      </w:r>
    </w:p>
    <w:p w:rsidR="00E52B27" w:rsidRDefault="00E52B27" w:rsidP="00E52B27">
      <w:pPr>
        <w:pStyle w:val="tekstost"/>
        <w:numPr>
          <w:ilvl w:val="0"/>
          <w:numId w:val="1"/>
        </w:numPr>
        <w:ind w:left="988"/>
      </w:pPr>
      <w:r>
        <w:t>organizację wykonania robót, w tym terminy i sposób prowadzenia robót,</w:t>
      </w:r>
    </w:p>
    <w:p w:rsidR="00E52B27" w:rsidRDefault="00E52B27" w:rsidP="00E52B27">
      <w:pPr>
        <w:pStyle w:val="tekstost"/>
        <w:numPr>
          <w:ilvl w:val="0"/>
          <w:numId w:val="1"/>
        </w:numPr>
        <w:ind w:left="988"/>
      </w:pPr>
      <w:r>
        <w:t>organizację ruchu na budowie wraz z oznakowaniem robót,</w:t>
      </w:r>
    </w:p>
    <w:p w:rsidR="00E52B27" w:rsidRDefault="00E52B27" w:rsidP="00E52B27">
      <w:pPr>
        <w:pStyle w:val="tekstost"/>
        <w:numPr>
          <w:ilvl w:val="0"/>
          <w:numId w:val="1"/>
        </w:numPr>
        <w:ind w:left="988"/>
      </w:pPr>
      <w:r>
        <w:t>sposób zapewnienia bhp.,</w:t>
      </w:r>
    </w:p>
    <w:p w:rsidR="00E52B27" w:rsidRDefault="00E52B27" w:rsidP="00E52B27">
      <w:pPr>
        <w:pStyle w:val="tekstost"/>
        <w:numPr>
          <w:ilvl w:val="0"/>
          <w:numId w:val="1"/>
        </w:numPr>
        <w:ind w:left="988"/>
      </w:pPr>
      <w:r>
        <w:t>wykaz zespołów roboczych, ich kwalifikacje i przygotowanie praktyczne,</w:t>
      </w:r>
    </w:p>
    <w:p w:rsidR="00E52B27" w:rsidRDefault="00E52B27" w:rsidP="00E52B27">
      <w:pPr>
        <w:pStyle w:val="tekstost"/>
        <w:numPr>
          <w:ilvl w:val="0"/>
          <w:numId w:val="1"/>
        </w:numPr>
        <w:ind w:left="988"/>
      </w:pPr>
      <w:r>
        <w:t>wykaz osób odpowiedzialnych za jakość i terminowość wykonania poszczególnych elementów robót,</w:t>
      </w:r>
    </w:p>
    <w:p w:rsidR="00E52B27" w:rsidRDefault="00E52B27" w:rsidP="00E52B27">
      <w:pPr>
        <w:pStyle w:val="tekstost"/>
        <w:numPr>
          <w:ilvl w:val="0"/>
          <w:numId w:val="1"/>
        </w:numPr>
        <w:ind w:left="988"/>
      </w:pPr>
      <w:r>
        <w:t>system (sposób i procedurę) proponowanej kontroli i sterowania jakością wykonywanych robót,</w:t>
      </w:r>
    </w:p>
    <w:p w:rsidR="00E52B27" w:rsidRDefault="00E52B27" w:rsidP="00E52B27">
      <w:pPr>
        <w:pStyle w:val="tekstost"/>
        <w:numPr>
          <w:ilvl w:val="0"/>
          <w:numId w:val="1"/>
        </w:numPr>
        <w:ind w:left="988"/>
      </w:pPr>
      <w:r>
        <w:t>wyposażenie w sprzęt i urządzenia do pomiarów i kontroli (opis laboratorium własnego lub laboratorium, któremu Wykonawca zamierza zlecić prowadzenie badań),</w:t>
      </w:r>
    </w:p>
    <w:p w:rsidR="00E52B27" w:rsidRDefault="00E52B27" w:rsidP="00E52B27">
      <w:pPr>
        <w:pStyle w:val="tekstost"/>
        <w:numPr>
          <w:ilvl w:val="0"/>
          <w:numId w:val="1"/>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E52B27" w:rsidRDefault="00E52B27" w:rsidP="00E52B27">
      <w:pPr>
        <w:pStyle w:val="tekstost"/>
        <w:numPr>
          <w:ilvl w:val="12"/>
          <w:numId w:val="0"/>
        </w:numPr>
      </w:pPr>
      <w:r>
        <w:t>b) część szczegółową opisującą dla każdego asortymentu robót:</w:t>
      </w:r>
    </w:p>
    <w:p w:rsidR="00E52B27" w:rsidRDefault="00E52B27" w:rsidP="00E52B27">
      <w:pPr>
        <w:pStyle w:val="tekstost"/>
        <w:numPr>
          <w:ilvl w:val="0"/>
          <w:numId w:val="1"/>
        </w:numPr>
        <w:ind w:left="988"/>
      </w:pPr>
      <w:r>
        <w:t>wykaz maszyn i urządzeń stosowanych na budowie z ich parametrami technicznymi oraz wyposażeniem w mechanizmy do sterowania i urządzenia pomiarowo-kontrolne,</w:t>
      </w:r>
    </w:p>
    <w:p w:rsidR="00E52B27" w:rsidRDefault="00E52B27" w:rsidP="00E52B27">
      <w:pPr>
        <w:pStyle w:val="tekstost"/>
        <w:numPr>
          <w:ilvl w:val="0"/>
          <w:numId w:val="1"/>
        </w:numPr>
        <w:ind w:left="988"/>
      </w:pPr>
      <w:r>
        <w:t>rodzaje i ilość środków transportu oraz urządzeń do magazynowania i załadunku materiałów, spoiw, lepiszczy, kruszyw itp.,</w:t>
      </w:r>
    </w:p>
    <w:p w:rsidR="00E52B27" w:rsidRDefault="00E52B27" w:rsidP="00E52B27">
      <w:pPr>
        <w:pStyle w:val="tekstost"/>
        <w:numPr>
          <w:ilvl w:val="0"/>
          <w:numId w:val="1"/>
        </w:numPr>
        <w:ind w:left="988"/>
      </w:pPr>
      <w:r>
        <w:t>sposób zabezpieczenia i ochrony ładunków przed utratą ich właściwości w czasie transportu,</w:t>
      </w:r>
    </w:p>
    <w:p w:rsidR="00E52B27" w:rsidRDefault="00E52B27" w:rsidP="00E52B27">
      <w:pPr>
        <w:pStyle w:val="tekstost"/>
        <w:numPr>
          <w:ilvl w:val="0"/>
          <w:numId w:val="1"/>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E52B27" w:rsidRDefault="00E52B27" w:rsidP="00E52B27">
      <w:pPr>
        <w:pStyle w:val="tekstost"/>
        <w:numPr>
          <w:ilvl w:val="0"/>
          <w:numId w:val="1"/>
        </w:numPr>
        <w:ind w:left="988"/>
      </w:pPr>
      <w:r>
        <w:t>sposób postępowania z materiałami i robotami nie odpowiadającymi wymaganiom.</w:t>
      </w:r>
    </w:p>
    <w:p w:rsidR="00E52B27" w:rsidRDefault="00E52B27" w:rsidP="00E52B27">
      <w:pPr>
        <w:pStyle w:val="Nagwek2"/>
      </w:pPr>
      <w:r>
        <w:t>6.2. Zasady kontroli jakości robót</w:t>
      </w:r>
    </w:p>
    <w:p w:rsidR="00E52B27" w:rsidRDefault="00E52B27" w:rsidP="00E52B27">
      <w:pPr>
        <w:pStyle w:val="tekstost"/>
      </w:pPr>
      <w:r>
        <w:tab/>
        <w:t>Celem kontroli robót będzie takie sterowanie ich przygotowaniem i wykonaniem, aby osiągnąć założoną jakość robót.</w:t>
      </w:r>
    </w:p>
    <w:p w:rsidR="00E52B27" w:rsidRDefault="00E52B27" w:rsidP="00E52B27">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E52B27" w:rsidRDefault="00E52B27" w:rsidP="00E52B27">
      <w:pPr>
        <w:pStyle w:val="tekstost"/>
      </w:pPr>
      <w:r>
        <w:tab/>
        <w:t>Przed zatwierdzeniem systemu kontroli Inżynier/Kierownik projektu może zażądać od Wykonawcy przeprowadzenia badań w celu zademonstrowania, że poziom ich wykonywania jest zadowalający.</w:t>
      </w:r>
    </w:p>
    <w:p w:rsidR="00E52B27" w:rsidRDefault="00E52B27" w:rsidP="00E52B27">
      <w:pPr>
        <w:pStyle w:val="tekstost"/>
      </w:pPr>
      <w:r>
        <w:tab/>
        <w:t>Wykonawca będzie przeprowadzać pomiary i badania materiałów oraz robót z częstotliwością zapewniającą stwierdzenie, że roboty wykonano zgodnie z wymaganiami zawartymi w dokumentacji projektowej i SST</w:t>
      </w:r>
    </w:p>
    <w:p w:rsidR="00E52B27" w:rsidRDefault="00E52B27" w:rsidP="00E52B27">
      <w:pPr>
        <w:pStyle w:val="tekstost"/>
      </w:pPr>
      <w:r>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E52B27" w:rsidRDefault="00E52B27" w:rsidP="00E52B27">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E52B27" w:rsidRDefault="00E52B27" w:rsidP="00E52B27">
      <w:pPr>
        <w:pStyle w:val="tekstost"/>
      </w:pPr>
      <w:r>
        <w:tab/>
        <w:t>Inżynier/Kierownik projektu będzie mieć nieograniczony dostęp do pomieszczeń laboratoryjnych, w celu ich inspekcji.</w:t>
      </w:r>
    </w:p>
    <w:p w:rsidR="00E52B27" w:rsidRDefault="00E52B27" w:rsidP="00E52B27">
      <w:pPr>
        <w:pStyle w:val="tekstost"/>
      </w:pPr>
      <w:r>
        <w:tab/>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w:t>
      </w:r>
      <w:r>
        <w:lastRenderedPageBreak/>
        <w:t>dopiero wtedy, gdy niedociągnięcia w pracy laboratorium Wykonawcy zostaną usunięte i stwierdzona zostanie odpowiednia jakość tych materiałów.</w:t>
      </w:r>
    </w:p>
    <w:p w:rsidR="00E52B27" w:rsidRDefault="00E52B27" w:rsidP="00E52B27">
      <w:pPr>
        <w:pStyle w:val="tekstost"/>
      </w:pPr>
      <w:r>
        <w:tab/>
        <w:t>Wszystkie koszty związane z organizowaniem i prowadzeniem badań materiałów ponosi Wykonawca.</w:t>
      </w:r>
    </w:p>
    <w:p w:rsidR="00E52B27" w:rsidRDefault="00E52B27" w:rsidP="00E52B27">
      <w:pPr>
        <w:pStyle w:val="Nagwek2"/>
      </w:pPr>
      <w:r>
        <w:t>6.3. Pobieranie próbek</w:t>
      </w:r>
    </w:p>
    <w:p w:rsidR="00E52B27" w:rsidRDefault="00E52B27" w:rsidP="00E52B27">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E52B27" w:rsidRDefault="00E52B27" w:rsidP="00E52B27">
      <w:pPr>
        <w:pStyle w:val="tekstost"/>
      </w:pPr>
      <w:r>
        <w:tab/>
        <w:t>Inżynier/Kierownik projektu będzie mieć zapewnioną możliwość udziału w             pobieraniu próbek.</w:t>
      </w:r>
    </w:p>
    <w:p w:rsidR="00E52B27" w:rsidRDefault="00E52B27" w:rsidP="00E52B27">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E52B27" w:rsidRDefault="00E52B27" w:rsidP="00E52B27">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E52B27" w:rsidRDefault="00E52B27" w:rsidP="00E52B27">
      <w:pPr>
        <w:pStyle w:val="Nagwek2"/>
      </w:pPr>
      <w:r>
        <w:t>6.4. Badania i pomiary</w:t>
      </w:r>
    </w:p>
    <w:p w:rsidR="00E52B27" w:rsidRDefault="00E52B27" w:rsidP="00E52B27">
      <w:pPr>
        <w:pStyle w:val="tekstost"/>
      </w:pPr>
      <w:r>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E52B27" w:rsidRDefault="00E52B27" w:rsidP="00E52B27">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E52B27" w:rsidRDefault="00E52B27" w:rsidP="00E52B27">
      <w:pPr>
        <w:pStyle w:val="Nagwek2"/>
      </w:pPr>
      <w:r>
        <w:t>6.5. Raporty z badań</w:t>
      </w:r>
    </w:p>
    <w:p w:rsidR="00E52B27" w:rsidRDefault="00E52B27" w:rsidP="00E52B27">
      <w:pPr>
        <w:pStyle w:val="tekstost"/>
      </w:pPr>
      <w:r>
        <w:tab/>
        <w:t>Wykonawca będzie przekazywać Inżynierowi/Kierownikowi projektu kopie raportów z wynikami badań jak najszybciej, nie później jednak niż w terminie określonym w programie zapewnienia jakości.</w:t>
      </w:r>
    </w:p>
    <w:p w:rsidR="00E52B27" w:rsidRDefault="00E52B27" w:rsidP="00E52B27">
      <w:pPr>
        <w:pStyle w:val="tekstost"/>
      </w:pPr>
      <w:r>
        <w:tab/>
        <w:t>Wyniki badań (kopie) będą przekazywane Inżynierowi/Kierownikowi projektu na formularzach według dostarczonego przez niego wzoru lub innych, przez niego zaaprobowanych.</w:t>
      </w:r>
    </w:p>
    <w:p w:rsidR="00E52B27" w:rsidRDefault="00E52B27" w:rsidP="00E52B27">
      <w:pPr>
        <w:pStyle w:val="Nagwek2"/>
      </w:pPr>
      <w:r>
        <w:t>6.6. Badania prowadzone przez Inżyniera/Kierownika projektu</w:t>
      </w:r>
    </w:p>
    <w:p w:rsidR="00E52B27" w:rsidRDefault="00E52B27" w:rsidP="00E52B27">
      <w:pPr>
        <w:pStyle w:val="tekstost"/>
      </w:pPr>
      <w:r>
        <w:tab/>
        <w:t>Inżynier/Kierownik projektu jest uprawniony do dokonywania kontroli, pobierania próbek i badania materiałów w miejscu ich wytwarzania / pozyskiwania, a Wykonawca i producent materiałów powinien udzielić mu niezbędnej pomocy.</w:t>
      </w:r>
    </w:p>
    <w:p w:rsidR="00E52B27" w:rsidRDefault="00E52B27" w:rsidP="00E52B27">
      <w:pPr>
        <w:pStyle w:val="tekstost"/>
        <w:rPr>
          <w:u w:val="single"/>
        </w:rPr>
      </w:pPr>
      <w: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E52B27" w:rsidRDefault="00E52B27" w:rsidP="00E52B27">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E52B27" w:rsidRDefault="00E52B27" w:rsidP="00E52B27">
      <w:pPr>
        <w:pStyle w:val="Nagwek2"/>
      </w:pPr>
      <w:r>
        <w:t>6.7. Certyfikaty i deklaracje</w:t>
      </w:r>
    </w:p>
    <w:p w:rsidR="00E52B27" w:rsidRDefault="00E52B27" w:rsidP="00E52B27">
      <w:pPr>
        <w:pStyle w:val="tekstost"/>
      </w:pPr>
      <w:r>
        <w:tab/>
        <w:t>Inżynier/Kierownik projektu może dopuścić do użycia tylko te materiały, które posiadają:</w:t>
      </w:r>
    </w:p>
    <w:p w:rsidR="00E52B27" w:rsidRDefault="00E52B27" w:rsidP="00E52B27">
      <w:pPr>
        <w:pStyle w:val="tekstost"/>
        <w:numPr>
          <w:ilvl w:val="0"/>
          <w:numId w:val="8"/>
        </w:numPr>
      </w:pPr>
      <w:r>
        <w:t>certyfikat na znak bezpieczeństwa wykazujący, że zapewniono zgodność z kryteriami technicznymi określonymi na podstawie Polskich Norm, aprobat technicznych oraz właściwych przepisów i dokumentów technicznych,</w:t>
      </w:r>
    </w:p>
    <w:p w:rsidR="00E52B27" w:rsidRDefault="00E52B27" w:rsidP="00E52B27">
      <w:pPr>
        <w:pStyle w:val="tekstost"/>
        <w:numPr>
          <w:ilvl w:val="0"/>
          <w:numId w:val="8"/>
        </w:numPr>
      </w:pPr>
      <w:r>
        <w:t>deklarację zgodności lub certyfikat zgodności z:</w:t>
      </w:r>
    </w:p>
    <w:p w:rsidR="00E52B27" w:rsidRDefault="00E52B27" w:rsidP="00E52B27">
      <w:pPr>
        <w:pStyle w:val="tekstost"/>
        <w:numPr>
          <w:ilvl w:val="0"/>
          <w:numId w:val="1"/>
        </w:numPr>
        <w:ind w:left="988"/>
      </w:pPr>
      <w:r>
        <w:t>Polską Normą lub</w:t>
      </w:r>
    </w:p>
    <w:p w:rsidR="00E52B27" w:rsidRDefault="00E52B27" w:rsidP="00E52B27">
      <w:pPr>
        <w:pStyle w:val="tekstost"/>
        <w:numPr>
          <w:ilvl w:val="0"/>
          <w:numId w:val="1"/>
        </w:numPr>
        <w:ind w:left="988"/>
      </w:pPr>
      <w:r>
        <w:t>aprobatą techniczną, w przypadku wyrobów, dla których nie ustanowiono Polskiej Normy, jeżeli nie są objęte certyfikacją określoną w pkt 1</w:t>
      </w:r>
    </w:p>
    <w:p w:rsidR="00E52B27" w:rsidRDefault="00E52B27" w:rsidP="00E52B27">
      <w:pPr>
        <w:pStyle w:val="tekstost"/>
        <w:numPr>
          <w:ilvl w:val="12"/>
          <w:numId w:val="0"/>
        </w:numPr>
        <w:ind w:left="284"/>
      </w:pPr>
      <w:r>
        <w:t>i które spełniają wymogi SST.</w:t>
      </w:r>
    </w:p>
    <w:p w:rsidR="00E52B27" w:rsidRDefault="00E52B27" w:rsidP="00E52B27">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rsidR="00E52B27" w:rsidRDefault="00E52B27" w:rsidP="00E52B27">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E52B27" w:rsidRDefault="00E52B27" w:rsidP="00E52B27">
      <w:pPr>
        <w:pStyle w:val="tekstost"/>
        <w:numPr>
          <w:ilvl w:val="12"/>
          <w:numId w:val="0"/>
        </w:numPr>
      </w:pPr>
      <w:r>
        <w:tab/>
        <w:t>Jakiekolwiek materiały, które nie spełniają tych wymagań będą odrzucone.</w:t>
      </w:r>
    </w:p>
    <w:p w:rsidR="00E52B27" w:rsidRDefault="00E52B27" w:rsidP="00E52B27">
      <w:pPr>
        <w:pStyle w:val="Nagwek2"/>
        <w:numPr>
          <w:ilvl w:val="12"/>
          <w:numId w:val="0"/>
        </w:numPr>
      </w:pPr>
      <w:r>
        <w:lastRenderedPageBreak/>
        <w:t>6.8. Dokumenty budowy</w:t>
      </w:r>
    </w:p>
    <w:p w:rsidR="00E52B27" w:rsidRDefault="00E52B27" w:rsidP="00E52B27">
      <w:pPr>
        <w:pStyle w:val="tekstost"/>
        <w:numPr>
          <w:ilvl w:val="12"/>
          <w:numId w:val="0"/>
        </w:numPr>
        <w:spacing w:after="60"/>
      </w:pPr>
      <w:r>
        <w:t>(1) Dziennik budowy</w:t>
      </w:r>
    </w:p>
    <w:p w:rsidR="00E52B27" w:rsidRDefault="00E52B27" w:rsidP="00E52B27">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E52B27" w:rsidRDefault="00E52B27" w:rsidP="00E52B27">
      <w:pPr>
        <w:pStyle w:val="tekstost"/>
        <w:numPr>
          <w:ilvl w:val="12"/>
          <w:numId w:val="0"/>
        </w:numPr>
      </w:pPr>
      <w:r>
        <w:tab/>
        <w:t>Zapisy w dzienniku budowy będą dokonywane na bieżąco i będą dotyczyć przebiegu robót, stanu bezpieczeństwa ludzi i mienia oraz technicznej i gospodarczej strony budowy.</w:t>
      </w:r>
    </w:p>
    <w:p w:rsidR="00E52B27" w:rsidRDefault="00E52B27" w:rsidP="00E52B27">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52B27" w:rsidRDefault="00E52B27" w:rsidP="00E52B27">
      <w:pPr>
        <w:pStyle w:val="tekstost"/>
        <w:numPr>
          <w:ilvl w:val="12"/>
          <w:numId w:val="0"/>
        </w:numPr>
      </w:pPr>
      <w:r>
        <w:tab/>
        <w:t>Załączone do dziennika budowy protokoły i inne dokumenty będą oznaczone kolejnym numerem załącznika i opatrzone datą i podpisem Wykonawcy i Inżyniera/ Kierownika projektu.</w:t>
      </w:r>
    </w:p>
    <w:p w:rsidR="00E52B27" w:rsidRDefault="00E52B27" w:rsidP="00E52B27">
      <w:pPr>
        <w:pStyle w:val="tekstost"/>
        <w:numPr>
          <w:ilvl w:val="12"/>
          <w:numId w:val="0"/>
        </w:numPr>
      </w:pPr>
      <w:r>
        <w:tab/>
        <w:t>Do dziennika budowy należy wpisywać w szczególności:</w:t>
      </w:r>
    </w:p>
    <w:p w:rsidR="00E52B27" w:rsidRDefault="00E52B27" w:rsidP="00E52B27">
      <w:pPr>
        <w:pStyle w:val="tekstost"/>
        <w:numPr>
          <w:ilvl w:val="0"/>
          <w:numId w:val="1"/>
        </w:numPr>
      </w:pPr>
      <w:r>
        <w:t>datę przekazania Wykonawcy terenu budowy,</w:t>
      </w:r>
    </w:p>
    <w:p w:rsidR="00E52B27" w:rsidRDefault="00E52B27" w:rsidP="00E52B27">
      <w:pPr>
        <w:pStyle w:val="tekstost"/>
        <w:numPr>
          <w:ilvl w:val="0"/>
          <w:numId w:val="1"/>
        </w:numPr>
      </w:pPr>
      <w:r>
        <w:t>datę przekazania przez Zamawiającego dokumentacji projektowej,</w:t>
      </w:r>
    </w:p>
    <w:p w:rsidR="00E52B27" w:rsidRDefault="00E52B27" w:rsidP="00E52B27">
      <w:pPr>
        <w:pStyle w:val="tekstost"/>
        <w:numPr>
          <w:ilvl w:val="0"/>
          <w:numId w:val="1"/>
        </w:numPr>
      </w:pPr>
      <w:r>
        <w:t>datę uzgodnienia przez Inżyniera/Kierownika projektu programu zapewnienia jakości i harmonogramów robót,</w:t>
      </w:r>
    </w:p>
    <w:p w:rsidR="00E52B27" w:rsidRDefault="00E52B27" w:rsidP="00E52B27">
      <w:pPr>
        <w:pStyle w:val="tekstost"/>
        <w:numPr>
          <w:ilvl w:val="0"/>
          <w:numId w:val="1"/>
        </w:numPr>
      </w:pPr>
      <w:r>
        <w:t>terminy rozpoczęcia i zakończenia poszczególnych elementów robót,</w:t>
      </w:r>
    </w:p>
    <w:p w:rsidR="00E52B27" w:rsidRDefault="00E52B27" w:rsidP="00E52B27">
      <w:pPr>
        <w:pStyle w:val="tekstost"/>
        <w:numPr>
          <w:ilvl w:val="0"/>
          <w:numId w:val="1"/>
        </w:numPr>
      </w:pPr>
      <w:r>
        <w:t>przebieg robót, trudności i przeszkody w ich prowadzeniu, okresy i przyczyny przerw w robotach,</w:t>
      </w:r>
    </w:p>
    <w:p w:rsidR="00E52B27" w:rsidRDefault="00E52B27" w:rsidP="00E52B27">
      <w:pPr>
        <w:pStyle w:val="tekstost"/>
        <w:numPr>
          <w:ilvl w:val="0"/>
          <w:numId w:val="1"/>
        </w:numPr>
      </w:pPr>
      <w:r>
        <w:t>uwagi i polecenia Inżyniera/Kierownika projektu,</w:t>
      </w:r>
    </w:p>
    <w:p w:rsidR="00E52B27" w:rsidRDefault="00E52B27" w:rsidP="00E52B27">
      <w:pPr>
        <w:pStyle w:val="tekstost"/>
        <w:numPr>
          <w:ilvl w:val="0"/>
          <w:numId w:val="1"/>
        </w:numPr>
      </w:pPr>
      <w:r>
        <w:t>daty zarządzenia wstrzymania robót, z podaniem powodu,</w:t>
      </w:r>
    </w:p>
    <w:p w:rsidR="00E52B27" w:rsidRDefault="00E52B27" w:rsidP="00E52B27">
      <w:pPr>
        <w:pStyle w:val="tekstost"/>
        <w:numPr>
          <w:ilvl w:val="0"/>
          <w:numId w:val="1"/>
        </w:numPr>
      </w:pPr>
      <w:r>
        <w:t>zgłoszenia i daty odbiorów robót zanikających i ulegających zakryciu, częściowych                i ostatecznych odbiorów robót,</w:t>
      </w:r>
    </w:p>
    <w:p w:rsidR="00E52B27" w:rsidRDefault="00E52B27" w:rsidP="00E52B27">
      <w:pPr>
        <w:pStyle w:val="tekstost"/>
        <w:numPr>
          <w:ilvl w:val="0"/>
          <w:numId w:val="1"/>
        </w:numPr>
      </w:pPr>
      <w:r>
        <w:t>wyjaśnienia, uwagi i propozycje Wykonawcy,</w:t>
      </w:r>
    </w:p>
    <w:p w:rsidR="00E52B27" w:rsidRDefault="00E52B27" w:rsidP="00E52B27">
      <w:pPr>
        <w:pStyle w:val="tekstost"/>
        <w:numPr>
          <w:ilvl w:val="0"/>
          <w:numId w:val="1"/>
        </w:numPr>
      </w:pPr>
      <w:r>
        <w:t>stan pogody i temperaturę powietrza w okresie wykonywania robót podlegających ograniczeniom lub wymaganiom szczególnym w związku z warunkami klimatycznymi,</w:t>
      </w:r>
    </w:p>
    <w:p w:rsidR="00E52B27" w:rsidRDefault="00E52B27" w:rsidP="00E52B27">
      <w:pPr>
        <w:pStyle w:val="tekstost"/>
        <w:numPr>
          <w:ilvl w:val="0"/>
          <w:numId w:val="1"/>
        </w:numPr>
      </w:pPr>
      <w:r>
        <w:t>zgodność rzeczywistych warunków geotechnicznych z ich opisem w dokumentacji projektowej,</w:t>
      </w:r>
    </w:p>
    <w:p w:rsidR="00E52B27" w:rsidRDefault="00E52B27" w:rsidP="00E52B27">
      <w:pPr>
        <w:pStyle w:val="tekstost"/>
        <w:numPr>
          <w:ilvl w:val="0"/>
          <w:numId w:val="1"/>
        </w:numPr>
      </w:pPr>
      <w:r>
        <w:t>dane dotyczące czynności geodezyjnych (pomiarowych) dokonywanych przed i w trakcie wykonywania robót,</w:t>
      </w:r>
    </w:p>
    <w:p w:rsidR="00E52B27" w:rsidRDefault="00E52B27" w:rsidP="00E52B27">
      <w:pPr>
        <w:pStyle w:val="tekstost"/>
        <w:numPr>
          <w:ilvl w:val="0"/>
          <w:numId w:val="1"/>
        </w:numPr>
      </w:pPr>
      <w:r>
        <w:t>dane dotyczące sposobu wykonywania zabezpieczenia robót,</w:t>
      </w:r>
    </w:p>
    <w:p w:rsidR="00E52B27" w:rsidRDefault="00E52B27" w:rsidP="00E52B27">
      <w:pPr>
        <w:pStyle w:val="tekstost"/>
        <w:numPr>
          <w:ilvl w:val="0"/>
          <w:numId w:val="1"/>
        </w:numPr>
      </w:pPr>
      <w:r>
        <w:t>dane dotyczące jakości materiałów, pobierania próbek oraz wyniki przeprowadzonych badań z podaniem, kto je przeprowadzał,</w:t>
      </w:r>
    </w:p>
    <w:p w:rsidR="00E52B27" w:rsidRDefault="00E52B27" w:rsidP="00E52B27">
      <w:pPr>
        <w:pStyle w:val="tekstost"/>
        <w:numPr>
          <w:ilvl w:val="0"/>
          <w:numId w:val="1"/>
        </w:numPr>
      </w:pPr>
      <w:r>
        <w:t>wyniki prób poszczególnych elementów budowli z podaniem, kto je przeprowadzał,</w:t>
      </w:r>
    </w:p>
    <w:p w:rsidR="00E52B27" w:rsidRDefault="00E52B27" w:rsidP="00E52B27">
      <w:pPr>
        <w:pStyle w:val="tekstost"/>
        <w:numPr>
          <w:ilvl w:val="0"/>
          <w:numId w:val="1"/>
        </w:numPr>
      </w:pPr>
      <w:r>
        <w:t>inne istotne informacje o przebiegu robót.</w:t>
      </w:r>
    </w:p>
    <w:p w:rsidR="00E52B27" w:rsidRDefault="00E52B27" w:rsidP="00E52B27">
      <w:pPr>
        <w:pStyle w:val="tekstost"/>
      </w:pPr>
      <w:r>
        <w:tab/>
        <w:t>Propozycje, uwagi i wyjaśnienia Wykonawcy, wpisane do dziennika budowy będą przedłożone Inżynierowi/Kierownikowi projektu do ustosunkowania się.</w:t>
      </w:r>
    </w:p>
    <w:p w:rsidR="00E52B27" w:rsidRDefault="00E52B27" w:rsidP="00E52B27">
      <w:pPr>
        <w:pStyle w:val="tekstost"/>
      </w:pPr>
      <w:r>
        <w:tab/>
        <w:t>Decyzje Inżyniera/Kierownika projektu wpisane do dziennika budowy Wykonawca podpisuje z zaznaczeniem ich przyjęcia lub zajęciem stanowiska.</w:t>
      </w:r>
    </w:p>
    <w:p w:rsidR="00E52B27" w:rsidRDefault="00E52B27" w:rsidP="00E52B27">
      <w:pPr>
        <w:pStyle w:val="tekstost"/>
        <w:spacing w:after="120"/>
      </w:pPr>
      <w:r>
        <w:tab/>
        <w:t>Wpis projektanta do dziennika budowy obliguje Inżyniera/Kierownika projektu do ustosunkowania się. Projektant nie jest jednak stroną umowy i nie ma uprawnień do wydawania poleceń Wykonawcy robót.</w:t>
      </w:r>
    </w:p>
    <w:p w:rsidR="00E52B27" w:rsidRDefault="00E52B27" w:rsidP="00E52B27">
      <w:pPr>
        <w:pStyle w:val="tekstost"/>
        <w:spacing w:after="120"/>
      </w:pPr>
      <w:r>
        <w:t>(2) Książka obmiarów</w:t>
      </w:r>
    </w:p>
    <w:p w:rsidR="00E52B27" w:rsidRDefault="00E52B27" w:rsidP="00E52B27">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E52B27" w:rsidRDefault="00E52B27" w:rsidP="00E52B27">
      <w:pPr>
        <w:pStyle w:val="tekstost"/>
        <w:keepNext/>
        <w:spacing w:after="120"/>
      </w:pPr>
      <w:r>
        <w:t>(3) Dokumenty laboratoryjne</w:t>
      </w:r>
    </w:p>
    <w:p w:rsidR="00E52B27" w:rsidRDefault="00E52B27" w:rsidP="00E52B27">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E52B27" w:rsidRDefault="00E52B27" w:rsidP="00E52B27">
      <w:pPr>
        <w:pStyle w:val="tekstost"/>
        <w:spacing w:after="120"/>
      </w:pPr>
      <w:r>
        <w:t>(4) Pozostałe dokumenty budowy</w:t>
      </w:r>
    </w:p>
    <w:p w:rsidR="00E52B27" w:rsidRDefault="00E52B27" w:rsidP="00E52B27">
      <w:pPr>
        <w:pStyle w:val="tekstost"/>
      </w:pPr>
      <w:r>
        <w:tab/>
        <w:t>Do dokumentów budowy zalicza się, oprócz wymienionych w punktach (1) - (3) następujące dokumenty:</w:t>
      </w:r>
    </w:p>
    <w:p w:rsidR="00E52B27" w:rsidRDefault="00E52B27" w:rsidP="00E52B27">
      <w:pPr>
        <w:pStyle w:val="tekstost"/>
        <w:numPr>
          <w:ilvl w:val="0"/>
          <w:numId w:val="9"/>
        </w:numPr>
        <w:ind w:left="288" w:hanging="288"/>
      </w:pPr>
      <w:r>
        <w:t>pozwolenie na realizację zadania budowlanego,</w:t>
      </w:r>
    </w:p>
    <w:p w:rsidR="00E52B27" w:rsidRDefault="00E52B27" w:rsidP="00E52B27">
      <w:pPr>
        <w:pStyle w:val="tekstost"/>
        <w:numPr>
          <w:ilvl w:val="0"/>
          <w:numId w:val="9"/>
        </w:numPr>
        <w:ind w:left="288" w:hanging="288"/>
      </w:pPr>
      <w:r>
        <w:t>protokoły przekazania terenu budowy,</w:t>
      </w:r>
    </w:p>
    <w:p w:rsidR="00E52B27" w:rsidRDefault="00E52B27" w:rsidP="00E52B27">
      <w:pPr>
        <w:pStyle w:val="tekstost"/>
        <w:numPr>
          <w:ilvl w:val="0"/>
          <w:numId w:val="9"/>
        </w:numPr>
        <w:ind w:left="288" w:hanging="288"/>
      </w:pPr>
      <w:r>
        <w:t>umowy cywilno-prawne z osobami trzecimi i inne umowy cywilno-prawne,</w:t>
      </w:r>
    </w:p>
    <w:p w:rsidR="00E52B27" w:rsidRDefault="00E52B27" w:rsidP="00E52B27">
      <w:pPr>
        <w:pStyle w:val="tekstost"/>
        <w:numPr>
          <w:ilvl w:val="0"/>
          <w:numId w:val="9"/>
        </w:numPr>
        <w:ind w:left="288" w:hanging="288"/>
      </w:pPr>
      <w:r>
        <w:t>protokoły odbioru robót,</w:t>
      </w:r>
    </w:p>
    <w:p w:rsidR="00E52B27" w:rsidRDefault="00E52B27" w:rsidP="00E52B27">
      <w:pPr>
        <w:pStyle w:val="tekstost"/>
        <w:numPr>
          <w:ilvl w:val="0"/>
          <w:numId w:val="9"/>
        </w:numPr>
        <w:ind w:left="288" w:hanging="288"/>
      </w:pPr>
      <w:r>
        <w:t>protokoły z narad i ustaleń,</w:t>
      </w:r>
    </w:p>
    <w:p w:rsidR="00E52B27" w:rsidRDefault="00E52B27" w:rsidP="00E52B27">
      <w:pPr>
        <w:pStyle w:val="tekstost"/>
        <w:numPr>
          <w:ilvl w:val="0"/>
          <w:numId w:val="9"/>
        </w:numPr>
        <w:ind w:left="288" w:hanging="288"/>
      </w:pPr>
      <w:r>
        <w:t>korespondencję na budowie.</w:t>
      </w:r>
    </w:p>
    <w:p w:rsidR="00E52B27" w:rsidRDefault="00E52B27" w:rsidP="00E52B27">
      <w:pPr>
        <w:pStyle w:val="tekstost"/>
        <w:spacing w:before="120" w:after="120"/>
      </w:pPr>
      <w:r>
        <w:t>(5) Przechowywanie dokumentów budowy</w:t>
      </w:r>
    </w:p>
    <w:p w:rsidR="00E52B27" w:rsidRDefault="00E52B27" w:rsidP="00E52B27">
      <w:pPr>
        <w:pStyle w:val="tekstost"/>
      </w:pPr>
      <w:r>
        <w:lastRenderedPageBreak/>
        <w:tab/>
        <w:t>Dokumenty budowy będą przechowywane na terenie budowy w miejscu odpowiednio zabezpieczonym.</w:t>
      </w:r>
    </w:p>
    <w:p w:rsidR="00E52B27" w:rsidRDefault="00E52B27" w:rsidP="00E52B27">
      <w:pPr>
        <w:pStyle w:val="tekstost"/>
      </w:pPr>
      <w:r>
        <w:tab/>
        <w:t>Zaginięcie któregokolwiek z dokumentów budowy spowoduje jego natychmiastowe odtworzenie w formie przewidzianej prawem.</w:t>
      </w:r>
    </w:p>
    <w:p w:rsidR="00E52B27" w:rsidRDefault="00E52B27" w:rsidP="00E52B27">
      <w:pPr>
        <w:pStyle w:val="tekstost"/>
      </w:pPr>
      <w:r>
        <w:tab/>
        <w:t>Wszelkie dokumenty budowy będą zawsze dostępne dla Inżyniera/Kierownika projektu i przedstawiane do wglądu na życzenie Zamawiającego.</w:t>
      </w:r>
    </w:p>
    <w:p w:rsidR="00E52B27" w:rsidRDefault="00E52B27" w:rsidP="00E52B27">
      <w:pPr>
        <w:pStyle w:val="Nagwek1"/>
        <w:spacing w:before="240"/>
      </w:pPr>
      <w:bookmarkStart w:id="21" w:name="_Toc416830704"/>
      <w:bookmarkStart w:id="22" w:name="_Toc6881285"/>
      <w:bookmarkStart w:id="23" w:name="_Toc6882158"/>
      <w:r>
        <w:t>7. obmiar robót</w:t>
      </w:r>
      <w:bookmarkEnd w:id="21"/>
      <w:bookmarkEnd w:id="22"/>
      <w:bookmarkEnd w:id="23"/>
    </w:p>
    <w:p w:rsidR="00E52B27" w:rsidRDefault="00E52B27" w:rsidP="00E52B27">
      <w:pPr>
        <w:pStyle w:val="Nagwek2"/>
      </w:pPr>
      <w:r>
        <w:t>7.1. Ogólne zasady obmiaru robót</w:t>
      </w:r>
    </w:p>
    <w:p w:rsidR="00E52B27" w:rsidRDefault="00E52B27" w:rsidP="00E52B27">
      <w:pPr>
        <w:pStyle w:val="tekstost"/>
      </w:pPr>
      <w:r>
        <w:tab/>
        <w:t>Obmiar robót będzie określać faktyczny zakres wykonywanych robót zgodnie z dokumentacją projektową i SST, w jednostkach ustalonych w kosztorysie.</w:t>
      </w:r>
    </w:p>
    <w:p w:rsidR="00E52B27" w:rsidRDefault="00E52B27" w:rsidP="00E52B27">
      <w:pPr>
        <w:pStyle w:val="tekstost"/>
      </w:pPr>
      <w:r>
        <w:tab/>
        <w:t>Obmiaru robót dokonuje Wykonawca po pisemnym powiadomieniu Inżyniera/ Kierownika projektu o zakresie obmierzanych robót i terminie obmiaru, co najmniej na 3 dni przed tym terminem.</w:t>
      </w:r>
    </w:p>
    <w:p w:rsidR="00E52B27" w:rsidRDefault="00E52B27" w:rsidP="00E52B27">
      <w:pPr>
        <w:pStyle w:val="tekstost"/>
      </w:pPr>
      <w:r>
        <w:tab/>
        <w:t>Wyniki obmiaru będą wpisane do książki obmiarów.</w:t>
      </w:r>
    </w:p>
    <w:p w:rsidR="00E52B27" w:rsidRDefault="00E52B27" w:rsidP="00E52B27">
      <w:pPr>
        <w:pStyle w:val="tekstost"/>
      </w:pPr>
      <w: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E52B27" w:rsidRDefault="00E52B27" w:rsidP="00E52B27">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rsidR="00E52B27" w:rsidRDefault="00E52B27" w:rsidP="00E52B27">
      <w:pPr>
        <w:pStyle w:val="Nagwek2"/>
      </w:pPr>
      <w:r>
        <w:t>7.2. Zasady określania ilości robót i materiałów</w:t>
      </w:r>
    </w:p>
    <w:p w:rsidR="00E52B27" w:rsidRDefault="00E52B27" w:rsidP="00E52B27">
      <w:pPr>
        <w:pStyle w:val="tekstost"/>
      </w:pPr>
      <w:r>
        <w:tab/>
        <w:t>Długości i odległości pomiędzy wyszczególnionymi punktami skrajnymi będą obmierzone poziomo wzdłuż linii osiowej.</w:t>
      </w:r>
    </w:p>
    <w:p w:rsidR="00E52B27" w:rsidRDefault="00E52B27" w:rsidP="00E52B27">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rsidR="00E52B27" w:rsidRDefault="00E52B27" w:rsidP="00E52B27">
      <w:pPr>
        <w:pStyle w:val="tekstost"/>
      </w:pPr>
      <w:r>
        <w:tab/>
        <w:t>Ilości, które mają być obmierzone wagowo, będą ważone w tonach lub kilogramach zgodnie z wymaganiami SST.</w:t>
      </w:r>
    </w:p>
    <w:p w:rsidR="00E52B27" w:rsidRDefault="00E52B27" w:rsidP="00E52B27">
      <w:pPr>
        <w:pStyle w:val="Nagwek2"/>
      </w:pPr>
      <w:r>
        <w:t>7.3. Urządzenia i sprzęt pomiarowy</w:t>
      </w:r>
    </w:p>
    <w:p w:rsidR="00E52B27" w:rsidRDefault="00E52B27" w:rsidP="00E52B27">
      <w:pPr>
        <w:pStyle w:val="tekstost"/>
      </w:pPr>
      <w:r>
        <w:tab/>
        <w:t>Wszystkie urządzenia i sprzęt pomiarowy, stosowany w czasie obmiaru robót będą zaakceptowane przez Inżyniera/Kierownika projektu.</w:t>
      </w:r>
    </w:p>
    <w:p w:rsidR="00E52B27" w:rsidRDefault="00E52B27" w:rsidP="00E52B27">
      <w:pPr>
        <w:pStyle w:val="tekstost"/>
      </w:pPr>
      <w:r>
        <w:tab/>
        <w:t>Urządzenia i sprzęt pomiarowy zostaną dostarczone przez Wykonawcę. Jeżeli urządzenia te lub sprzęt wymagają badań atestujących to Wykonawca będzie posiadać ważne świadectwa legalizacji.</w:t>
      </w:r>
    </w:p>
    <w:p w:rsidR="00E52B27" w:rsidRDefault="00E52B27" w:rsidP="00E52B27">
      <w:pPr>
        <w:pStyle w:val="tekstost"/>
      </w:pPr>
      <w:r>
        <w:tab/>
        <w:t>Wszystkie urządzenia pomiarowe będą przez Wykonawcę utrzymywane w dobrym stanie, w całym okresie trwania robót.</w:t>
      </w:r>
    </w:p>
    <w:p w:rsidR="00E52B27" w:rsidRDefault="00E52B27" w:rsidP="00E52B27">
      <w:pPr>
        <w:pStyle w:val="Nagwek2"/>
      </w:pPr>
      <w:r>
        <w:t>7.5. Czas przeprowadzenia obmiaru</w:t>
      </w:r>
    </w:p>
    <w:p w:rsidR="00E52B27" w:rsidRDefault="00E52B27" w:rsidP="00E52B27">
      <w:pPr>
        <w:pStyle w:val="tekstost"/>
      </w:pPr>
      <w:r>
        <w:tab/>
        <w:t>Obmiary będą przeprowadzone przed częściowym lub ostatecznym odbiorem odcinków robót, a także w przypadku występowania dłuższej przerwy w robotach.</w:t>
      </w:r>
    </w:p>
    <w:p w:rsidR="00E52B27" w:rsidRDefault="00E52B27" w:rsidP="00E52B27">
      <w:pPr>
        <w:pStyle w:val="tekstost"/>
      </w:pPr>
      <w:r>
        <w:tab/>
        <w:t>Obmiar robót zanikających przeprowadza się w czasie ich wykonywania.</w:t>
      </w:r>
    </w:p>
    <w:p w:rsidR="00E52B27" w:rsidRDefault="00E52B27" w:rsidP="00E52B27">
      <w:pPr>
        <w:pStyle w:val="tekstost"/>
      </w:pPr>
      <w:r>
        <w:tab/>
        <w:t>Obmiar robót podlegających zakryciu przeprowadza się przed ich zakryciem.</w:t>
      </w:r>
    </w:p>
    <w:p w:rsidR="00E52B27" w:rsidRDefault="00E52B27" w:rsidP="00E52B27">
      <w:pPr>
        <w:pStyle w:val="tekstost"/>
      </w:pPr>
      <w:r>
        <w:tab/>
        <w:t>Roboty pomiarowe do obmiaru oraz nieodzowne obliczenia będą wykonane w sposób zrozumiały i jednoznaczny.</w:t>
      </w:r>
    </w:p>
    <w:p w:rsidR="00E52B27" w:rsidRDefault="00E52B27" w:rsidP="00E52B27">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E52B27" w:rsidRDefault="00E52B27" w:rsidP="00E52B27">
      <w:pPr>
        <w:pStyle w:val="Nagwek1"/>
        <w:spacing w:before="240"/>
      </w:pPr>
      <w:bookmarkStart w:id="24" w:name="_Toc416830705"/>
      <w:bookmarkStart w:id="25" w:name="_Toc6881286"/>
      <w:bookmarkStart w:id="26" w:name="_Toc6882159"/>
      <w:r>
        <w:t>8. odbiór robót</w:t>
      </w:r>
      <w:bookmarkEnd w:id="24"/>
      <w:bookmarkEnd w:id="25"/>
      <w:bookmarkEnd w:id="26"/>
    </w:p>
    <w:p w:rsidR="00E52B27" w:rsidRDefault="00E52B27" w:rsidP="00E52B27">
      <w:pPr>
        <w:pStyle w:val="Nagwek2"/>
      </w:pPr>
      <w:r>
        <w:t>8.1. Rodzaje odbiorów robót</w:t>
      </w:r>
    </w:p>
    <w:p w:rsidR="00E52B27" w:rsidRDefault="00E52B27" w:rsidP="00E52B27">
      <w:pPr>
        <w:pStyle w:val="tekstost"/>
      </w:pPr>
      <w:r>
        <w:tab/>
        <w:t>W zależności od ustaleń odpowiednich SST, roboty podlegają następującym etapom odbioru:</w:t>
      </w:r>
    </w:p>
    <w:p w:rsidR="00E52B27" w:rsidRDefault="00E52B27" w:rsidP="00E52B27">
      <w:pPr>
        <w:pStyle w:val="tekstost"/>
        <w:numPr>
          <w:ilvl w:val="0"/>
          <w:numId w:val="10"/>
        </w:numPr>
      </w:pPr>
      <w:r>
        <w:t>odbiorowi robót zanikających i ulegających zakryciu,</w:t>
      </w:r>
    </w:p>
    <w:p w:rsidR="00E52B27" w:rsidRDefault="00E52B27" w:rsidP="00E52B27">
      <w:pPr>
        <w:pStyle w:val="tekstost"/>
        <w:numPr>
          <w:ilvl w:val="0"/>
          <w:numId w:val="10"/>
        </w:numPr>
      </w:pPr>
      <w:r>
        <w:t>odbiorowi częściowemu,</w:t>
      </w:r>
    </w:p>
    <w:p w:rsidR="00E52B27" w:rsidRDefault="00E52B27" w:rsidP="00E52B27">
      <w:pPr>
        <w:pStyle w:val="tekstost"/>
        <w:numPr>
          <w:ilvl w:val="0"/>
          <w:numId w:val="10"/>
        </w:numPr>
      </w:pPr>
      <w:r>
        <w:t>odbiorowi ostatecznemu,</w:t>
      </w:r>
    </w:p>
    <w:p w:rsidR="00E52B27" w:rsidRDefault="00E52B27" w:rsidP="00E52B27">
      <w:pPr>
        <w:pStyle w:val="tekstost"/>
        <w:numPr>
          <w:ilvl w:val="0"/>
          <w:numId w:val="10"/>
        </w:numPr>
      </w:pPr>
      <w:r>
        <w:t>odbiorowi pogwarancyjnemu.</w:t>
      </w:r>
    </w:p>
    <w:p w:rsidR="00E52B27" w:rsidRDefault="00E52B27" w:rsidP="00E52B27">
      <w:pPr>
        <w:pStyle w:val="Nagwek2"/>
      </w:pPr>
      <w:r>
        <w:t>8.2. Odbiór robót zanikających i ulegających zakryciu</w:t>
      </w:r>
    </w:p>
    <w:p w:rsidR="00E52B27" w:rsidRDefault="00E52B27" w:rsidP="00E52B27">
      <w:pPr>
        <w:pStyle w:val="tekstost"/>
      </w:pPr>
      <w:r>
        <w:tab/>
        <w:t>Odbiór robót zanikających i ulegających zakryciu polega na finalnej ocenie ilości i jakości wykonywanych robót, które w dalszym procesie realizacji ulegną zakryciu.</w:t>
      </w:r>
    </w:p>
    <w:p w:rsidR="00E52B27" w:rsidRDefault="00E52B27" w:rsidP="00E52B27">
      <w:pPr>
        <w:pStyle w:val="tekstost"/>
      </w:pPr>
      <w:r>
        <w:lastRenderedPageBreak/>
        <w:tab/>
        <w:t>Odbiór robót zanikających i ulegających zakryciu będzie dokonany w czasie umożliwiającym wykonanie ewentualnych korekt i poprawek bez hamowania ogólnego postępu robót.</w:t>
      </w:r>
    </w:p>
    <w:p w:rsidR="00E52B27" w:rsidRDefault="00E52B27" w:rsidP="00E52B27">
      <w:pPr>
        <w:pStyle w:val="tekstost"/>
      </w:pPr>
      <w:r>
        <w:tab/>
        <w:t>Odbioru robót dokonuje Inżynier/Kierownik projektu.</w:t>
      </w:r>
    </w:p>
    <w:p w:rsidR="00E52B27" w:rsidRDefault="00E52B27" w:rsidP="00E52B27">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E52B27" w:rsidRDefault="00E52B27" w:rsidP="00E52B27">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E52B27" w:rsidRDefault="00E52B27" w:rsidP="00E52B27">
      <w:pPr>
        <w:pStyle w:val="Nagwek2"/>
      </w:pPr>
      <w:r>
        <w:t>8.3. Odbiór częściowy</w:t>
      </w:r>
    </w:p>
    <w:p w:rsidR="00E52B27" w:rsidRDefault="00E52B27" w:rsidP="00E52B27">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E52B27" w:rsidRDefault="00E52B27" w:rsidP="00E52B27">
      <w:pPr>
        <w:pStyle w:val="Nagwek2"/>
      </w:pPr>
      <w:r>
        <w:t>8.4. Odbiór ostateczny robót</w:t>
      </w:r>
    </w:p>
    <w:p w:rsidR="00E52B27" w:rsidRDefault="00E52B27" w:rsidP="00E52B27">
      <w:pPr>
        <w:spacing w:after="60"/>
        <w:jc w:val="both"/>
      </w:pPr>
      <w:r>
        <w:rPr>
          <w:b/>
        </w:rPr>
        <w:t>8.4.1.</w:t>
      </w:r>
      <w:r>
        <w:t xml:space="preserve"> Zasady odbioru ostatecznego robót</w:t>
      </w:r>
    </w:p>
    <w:p w:rsidR="00E52B27" w:rsidRDefault="00E52B27" w:rsidP="00E52B27">
      <w:pPr>
        <w:jc w:val="both"/>
      </w:pPr>
      <w:r>
        <w:tab/>
        <w:t>Odbiór ostateczny polega na finalnej ocenie rzeczywistego wykonania robót w odniesieniu do ich ilości, jakości i wartości.</w:t>
      </w:r>
    </w:p>
    <w:p w:rsidR="00E52B27" w:rsidRDefault="00E52B27" w:rsidP="00E52B27">
      <w:pPr>
        <w:jc w:val="both"/>
      </w:pPr>
      <w:r>
        <w:tab/>
        <w:t>Całkowite zakończenie robót oraz gotowość do odbioru ostatecznego będzie stwierdzona przez Wykonawcę wpisem do dziennika budowy z bezzwłocznym powiadomieniem na piśmie o tym fakcie Inżyniera/Kierownika projektu.</w:t>
      </w:r>
    </w:p>
    <w:p w:rsidR="00E52B27" w:rsidRDefault="00E52B27" w:rsidP="00E52B27">
      <w:pPr>
        <w:jc w:val="both"/>
      </w:pPr>
      <w:r>
        <w:tab/>
        <w:t>Odbiór ostateczny robót nastąpi w terminie ustalonym w dokumentach umowy, licząc od dnia potwierdzenia przez Inżyniera/Kierownika projektu zakończenia robót i przyjęcia dokumentów, o których mowa w punkcie 8.4.2.</w:t>
      </w:r>
    </w:p>
    <w:p w:rsidR="00E52B27" w:rsidRDefault="00E52B27" w:rsidP="00E52B27">
      <w:pPr>
        <w:jc w:val="both"/>
      </w:pPr>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E52B27" w:rsidRDefault="00E52B27" w:rsidP="00E52B27">
      <w:pPr>
        <w:jc w:val="both"/>
      </w:pPr>
      <w:r>
        <w:tab/>
        <w:t>W toku odbioru ostatecznego robót komisja zapozna się z realizacją ustaleń przyjętych w trakcie odbiorów robót zanikających i ulegających zakryciu, zwłaszcza w zakresie wykonania robót uzupełniających i robót poprawkowych.</w:t>
      </w:r>
    </w:p>
    <w:p w:rsidR="00E52B27" w:rsidRDefault="00E52B27" w:rsidP="00E52B27">
      <w:pPr>
        <w:jc w:val="both"/>
      </w:pPr>
      <w:r>
        <w:tab/>
        <w:t>W przypadkach niewykonania wyznaczonych robót poprawkowych lub robót uzupełniających w warstwie ścieralnej lub robotach wykończeniowych, komisja przerwie swoje czynności i ustali nowy termin odbioru ostatecznego.</w:t>
      </w:r>
    </w:p>
    <w:p w:rsidR="00E52B27" w:rsidRDefault="00E52B27" w:rsidP="00E52B27">
      <w:pPr>
        <w:spacing w:after="60"/>
        <w:jc w:val="both"/>
      </w:pPr>
      <w: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E52B27" w:rsidRDefault="00E52B27" w:rsidP="00E52B27">
      <w:pPr>
        <w:pStyle w:val="Nagwek3"/>
      </w:pPr>
      <w:bookmarkStart w:id="27" w:name="_Toc412518599"/>
      <w:r>
        <w:rPr>
          <w:b/>
        </w:rPr>
        <w:t>8.4.2.</w:t>
      </w:r>
      <w:r>
        <w:t xml:space="preserve"> Dokumenty do odbioru ostatecznego</w:t>
      </w:r>
      <w:bookmarkEnd w:id="27"/>
    </w:p>
    <w:p w:rsidR="00E52B27" w:rsidRDefault="00E52B27" w:rsidP="00E52B27">
      <w:pPr>
        <w:jc w:val="both"/>
      </w:pPr>
      <w:r>
        <w:tab/>
        <w:t>Podstawowym dokumentem do dokonania odbioru ostatecznego robót jest protokół odbioru ostatecznego robót sporządzony wg wzoru ustalonego przez Zamawiającego.</w:t>
      </w:r>
    </w:p>
    <w:p w:rsidR="00E52B27" w:rsidRDefault="00E52B27" w:rsidP="00E52B27">
      <w:pPr>
        <w:jc w:val="both"/>
      </w:pPr>
      <w:r>
        <w:tab/>
        <w:t>Do odbioru ostatecznego Wykonawca jest zobowiązany przygotować następujące dokumenty:</w:t>
      </w:r>
    </w:p>
    <w:p w:rsidR="00E52B27" w:rsidRDefault="00E52B27" w:rsidP="00E52B27">
      <w:pPr>
        <w:numPr>
          <w:ilvl w:val="0"/>
          <w:numId w:val="11"/>
        </w:numPr>
        <w:jc w:val="both"/>
      </w:pPr>
      <w:r>
        <w:t>dokumentację projektową podstawową z naniesionymi zmianami oraz dodatkową, jeśli została sporządzona w trakcie realizacji umowy,</w:t>
      </w:r>
    </w:p>
    <w:p w:rsidR="00E52B27" w:rsidRDefault="00E52B27" w:rsidP="00E52B27">
      <w:pPr>
        <w:numPr>
          <w:ilvl w:val="0"/>
          <w:numId w:val="11"/>
        </w:numPr>
        <w:jc w:val="both"/>
      </w:pPr>
      <w:r>
        <w:t>szczegółowe specyfikacje techniczne (podstawowe z dokumentów umowy i ew. uzupełniające lub zamienne),</w:t>
      </w:r>
    </w:p>
    <w:p w:rsidR="00E52B27" w:rsidRDefault="00E52B27" w:rsidP="00E52B27">
      <w:pPr>
        <w:numPr>
          <w:ilvl w:val="0"/>
          <w:numId w:val="11"/>
        </w:numPr>
        <w:jc w:val="both"/>
      </w:pPr>
      <w:r>
        <w:t>recepty i ustalenia technologiczne,</w:t>
      </w:r>
    </w:p>
    <w:p w:rsidR="00E52B27" w:rsidRDefault="00E52B27" w:rsidP="00E52B27">
      <w:pPr>
        <w:numPr>
          <w:ilvl w:val="0"/>
          <w:numId w:val="11"/>
        </w:numPr>
        <w:jc w:val="both"/>
      </w:pPr>
      <w:r>
        <w:t>dzienniki budowy i książki obmiarów (oryginały),</w:t>
      </w:r>
    </w:p>
    <w:p w:rsidR="00E52B27" w:rsidRDefault="00E52B27" w:rsidP="00E52B27">
      <w:pPr>
        <w:numPr>
          <w:ilvl w:val="0"/>
          <w:numId w:val="11"/>
        </w:numPr>
        <w:jc w:val="both"/>
      </w:pPr>
      <w:r>
        <w:t>wyniki pomiarów kontrolnych oraz badań i oznaczeń laboratoryjnych, zgodne z SST          i ew. PZJ,</w:t>
      </w:r>
    </w:p>
    <w:p w:rsidR="00E52B27" w:rsidRDefault="00E52B27" w:rsidP="00E52B27">
      <w:pPr>
        <w:numPr>
          <w:ilvl w:val="0"/>
          <w:numId w:val="11"/>
        </w:numPr>
        <w:jc w:val="both"/>
      </w:pPr>
      <w:r>
        <w:t>deklaracje zgodności lub certyfikaty zgodności wbudowanych materiałów zgodnie z SST i ew. PZJ,</w:t>
      </w:r>
    </w:p>
    <w:p w:rsidR="00E52B27" w:rsidRDefault="00E52B27" w:rsidP="00E52B27">
      <w:pPr>
        <w:numPr>
          <w:ilvl w:val="0"/>
          <w:numId w:val="11"/>
        </w:numPr>
        <w:jc w:val="both"/>
      </w:pPr>
      <w:r>
        <w:t>opinię technologiczną sporządzoną na podstawie wszystkich wyników badań i pomiarów załączonych do dokumentów odbioru, wykonanych zgodnie z SST i PZJ,</w:t>
      </w:r>
    </w:p>
    <w:p w:rsidR="00E52B27" w:rsidRDefault="00E52B27" w:rsidP="00E52B27">
      <w:pPr>
        <w:numPr>
          <w:ilvl w:val="0"/>
          <w:numId w:val="11"/>
        </w:numPr>
        <w:jc w:val="both"/>
      </w:pPr>
      <w:r>
        <w:t>rysunki (dokumentacje) na wykonanie robót towarzyszących (np. na przełożenie linii telefonicznej, energetycznej, gazowej, oświetlenia itp.) oraz protokoły odbioru i przekazania tych robót właścicielom urządzeń,</w:t>
      </w:r>
    </w:p>
    <w:p w:rsidR="00E52B27" w:rsidRDefault="00E52B27" w:rsidP="00E52B27">
      <w:pPr>
        <w:numPr>
          <w:ilvl w:val="0"/>
          <w:numId w:val="11"/>
        </w:numPr>
        <w:jc w:val="both"/>
      </w:pPr>
      <w:r>
        <w:t>geodezyjną inwentaryzację powykonawczą robót i sieci uzbrojenia terenu,</w:t>
      </w:r>
    </w:p>
    <w:p w:rsidR="00E52B27" w:rsidRDefault="00E52B27" w:rsidP="00E52B27">
      <w:pPr>
        <w:numPr>
          <w:ilvl w:val="0"/>
          <w:numId w:val="11"/>
        </w:numPr>
        <w:jc w:val="both"/>
      </w:pPr>
      <w:r>
        <w:t>kopię mapy zasadniczej powstałej w wyniku geodezyjnej inwentaryzacji powykonawczej.</w:t>
      </w:r>
    </w:p>
    <w:p w:rsidR="00E52B27" w:rsidRDefault="00E52B27" w:rsidP="00E52B27">
      <w:pPr>
        <w:jc w:val="both"/>
      </w:pPr>
      <w:r>
        <w:tab/>
        <w:t>W przypadku, gdy wg komisji, roboty pod względem przygotowania dokumentacyjnego nie będą gotowe do odbioru ostatecznego, komisja w porozumieniu z Wykonawcą wyznaczy ponowny termin odbioru ostatecznego robót.</w:t>
      </w:r>
    </w:p>
    <w:p w:rsidR="00E52B27" w:rsidRDefault="00E52B27" w:rsidP="00E52B27">
      <w:pPr>
        <w:jc w:val="both"/>
      </w:pPr>
      <w:r>
        <w:tab/>
        <w:t>Wszystkie zarządzone przez komisję roboty poprawkowe lub uzupełniające będą zestawione wg wzoru ustalonego przez Zamawiającego.</w:t>
      </w:r>
    </w:p>
    <w:p w:rsidR="00E52B27" w:rsidRDefault="00E52B27" w:rsidP="00E52B27">
      <w:pPr>
        <w:jc w:val="both"/>
      </w:pPr>
      <w:r>
        <w:lastRenderedPageBreak/>
        <w:tab/>
        <w:t>Termin wykonania robót poprawkowych i robót uzupełniających wyznaczy komisja.</w:t>
      </w:r>
    </w:p>
    <w:p w:rsidR="00E52B27" w:rsidRDefault="00E52B27" w:rsidP="00E52B27">
      <w:pPr>
        <w:pStyle w:val="Nagwek2"/>
      </w:pPr>
      <w:r>
        <w:t>8.5. Odbiór pogwarancyjny</w:t>
      </w:r>
    </w:p>
    <w:p w:rsidR="00E52B27" w:rsidRDefault="00E52B27" w:rsidP="00E52B27">
      <w:pPr>
        <w:pStyle w:val="tekstost"/>
      </w:pPr>
      <w:r>
        <w:tab/>
        <w:t>Odbiór pogwarancyjny polega na ocenie wykonanych robót związanych z usunięciem wad stwierdzonych przy odbiorze ostatecznym i zaistniałych w okresie gwarancyjnym.</w:t>
      </w:r>
    </w:p>
    <w:p w:rsidR="00E52B27" w:rsidRDefault="00E52B27" w:rsidP="00E52B27">
      <w:pPr>
        <w:spacing w:after="120"/>
        <w:jc w:val="both"/>
      </w:pPr>
      <w:r>
        <w:tab/>
        <w:t>Odbiór pogwarancyjny będzie dokonany na podstawie oceny wizualnej obiektu z uwzględnieniem zasad opisanych w punkcie 8.4 „Odbiór ostateczny robót”.</w:t>
      </w:r>
    </w:p>
    <w:p w:rsidR="00E52B27" w:rsidRDefault="00E52B27" w:rsidP="00E52B27">
      <w:pPr>
        <w:pStyle w:val="Nagwek1"/>
      </w:pPr>
      <w:bookmarkStart w:id="28" w:name="_Toc416830706"/>
      <w:bookmarkStart w:id="29" w:name="_Toc6881287"/>
      <w:bookmarkStart w:id="30" w:name="_Toc6882160"/>
      <w:r>
        <w:t>9. podstawa płatności</w:t>
      </w:r>
      <w:bookmarkEnd w:id="28"/>
      <w:bookmarkEnd w:id="29"/>
      <w:bookmarkEnd w:id="30"/>
    </w:p>
    <w:p w:rsidR="00E52B27" w:rsidRDefault="00E52B27" w:rsidP="00E52B27">
      <w:pPr>
        <w:pStyle w:val="Nagwek2"/>
      </w:pPr>
      <w:r>
        <w:t>9.1. Ustalenia ogólne</w:t>
      </w:r>
    </w:p>
    <w:p w:rsidR="00E52B27" w:rsidRDefault="00E52B27" w:rsidP="00E52B27">
      <w:pPr>
        <w:pStyle w:val="tekstost"/>
      </w:pPr>
      <w:r>
        <w:tab/>
        <w:t>Podstawą płatności jest cena jednostkowa skalkulowana przez Wykonawcę za jednostkę obmiarową ustaloną dla danej pozycji kosztorysu.</w:t>
      </w:r>
    </w:p>
    <w:p w:rsidR="00E52B27" w:rsidRDefault="00E52B27" w:rsidP="00E52B27">
      <w:pPr>
        <w:pStyle w:val="tekstost"/>
      </w:pPr>
      <w:r>
        <w:tab/>
        <w:t>Dla pozycji kosztorysowych wycenionych ryczałtowo podstawą płatności jest wartość (kwota) podana przez Wykonawcę w danej pozycji kosztorysu.</w:t>
      </w:r>
    </w:p>
    <w:p w:rsidR="00E52B27" w:rsidRDefault="00E52B27" w:rsidP="00E52B27">
      <w:pPr>
        <w:pStyle w:val="tekstost"/>
      </w:pPr>
      <w:r>
        <w:tab/>
        <w:t>Cena jednostkowa lub kwota ryczałtowa pozycji kosztorysowej będzie uwzględniać wszystkie czynności, wymagania i badania składające się na jej wykonanie, określone dla tej roboty w SST i w dokumentacji projektowej.</w:t>
      </w:r>
    </w:p>
    <w:p w:rsidR="00E52B27" w:rsidRDefault="00E52B27" w:rsidP="00E52B27">
      <w:pPr>
        <w:pStyle w:val="tekstost"/>
      </w:pPr>
      <w:r>
        <w:tab/>
        <w:t>Ceny jednostkowe lub kwoty ryczałtowe robót będą obejmować:</w:t>
      </w:r>
    </w:p>
    <w:p w:rsidR="00E52B27" w:rsidRDefault="00E52B27" w:rsidP="00E52B27">
      <w:pPr>
        <w:pStyle w:val="tekstost"/>
        <w:numPr>
          <w:ilvl w:val="0"/>
          <w:numId w:val="1"/>
        </w:numPr>
      </w:pPr>
      <w:r>
        <w:t>robociznę bezpośrednią wraz z towarzyszącymi kosztami,</w:t>
      </w:r>
    </w:p>
    <w:p w:rsidR="00E52B27" w:rsidRDefault="00E52B27" w:rsidP="00E52B27">
      <w:pPr>
        <w:pStyle w:val="tekstost"/>
        <w:numPr>
          <w:ilvl w:val="0"/>
          <w:numId w:val="1"/>
        </w:numPr>
      </w:pPr>
      <w:r>
        <w:t>wartość zużytych materiałów wraz z kosztami zakupu, magazynowania, ewentualnych ubytków i transportu na teren budowy,</w:t>
      </w:r>
    </w:p>
    <w:p w:rsidR="00E52B27" w:rsidRDefault="00E52B27" w:rsidP="00E52B27">
      <w:pPr>
        <w:pStyle w:val="tekstost"/>
        <w:numPr>
          <w:ilvl w:val="0"/>
          <w:numId w:val="1"/>
        </w:numPr>
      </w:pPr>
      <w:r>
        <w:t>wartość pracy sprzętu wraz z towarzyszącymi kosztami,</w:t>
      </w:r>
    </w:p>
    <w:p w:rsidR="00E52B27" w:rsidRDefault="00E52B27" w:rsidP="00E52B27">
      <w:pPr>
        <w:pStyle w:val="tekstost"/>
        <w:numPr>
          <w:ilvl w:val="0"/>
          <w:numId w:val="1"/>
        </w:numPr>
      </w:pPr>
      <w:r>
        <w:t>koszty pośrednie, zysk kalkulacyjny i ryzyko,</w:t>
      </w:r>
    </w:p>
    <w:p w:rsidR="00E52B27" w:rsidRDefault="00E52B27" w:rsidP="00E52B27">
      <w:pPr>
        <w:pStyle w:val="tekstost"/>
        <w:numPr>
          <w:ilvl w:val="0"/>
          <w:numId w:val="1"/>
        </w:numPr>
      </w:pPr>
      <w:r>
        <w:t>podatki obliczone zgodnie z obowiązującymi przepisami.</w:t>
      </w:r>
    </w:p>
    <w:p w:rsidR="00E52B27" w:rsidRDefault="00E52B27" w:rsidP="00E52B27">
      <w:pPr>
        <w:pStyle w:val="tekstost"/>
      </w:pPr>
      <w:r>
        <w:tab/>
        <w:t>Do cen jednostkowych nie należy wliczać podatku VAT.</w:t>
      </w:r>
    </w:p>
    <w:p w:rsidR="00E52B27" w:rsidRDefault="00E52B27" w:rsidP="00E52B27">
      <w:pPr>
        <w:pStyle w:val="Nagwek2"/>
      </w:pPr>
      <w:r>
        <w:t>9.2. Warunki umowy i wymagania ogólne D-00.00.00</w:t>
      </w:r>
    </w:p>
    <w:p w:rsidR="00E52B27" w:rsidRDefault="00E52B27" w:rsidP="00E52B27">
      <w:pPr>
        <w:pStyle w:val="tekstost"/>
      </w:pPr>
      <w:r>
        <w:tab/>
        <w:t>Koszt dostosowania się do wymagań warunków umowy i wymagań ogólnych zawartych w D-00.00.00 obejmuje wszystkie warunki określone w ww. dokumentach, a nie wyszczególnione w kosztorysie.</w:t>
      </w:r>
    </w:p>
    <w:p w:rsidR="00E52B27" w:rsidRDefault="00E52B27" w:rsidP="00E52B27">
      <w:pPr>
        <w:pStyle w:val="Nagwek2"/>
      </w:pPr>
      <w:r>
        <w:t>9.3. Objazdy, przejazdy i organizacja ruchu</w:t>
      </w:r>
    </w:p>
    <w:p w:rsidR="00E52B27" w:rsidRDefault="00E52B27" w:rsidP="00E52B27">
      <w:pPr>
        <w:pStyle w:val="tekstost"/>
      </w:pPr>
      <w:r>
        <w:tab/>
        <w:t>Koszt  wybudowania objazdów / przejazdów i organizacji ruchu obejmuje:</w:t>
      </w:r>
    </w:p>
    <w:p w:rsidR="00E52B27" w:rsidRDefault="00E52B27" w:rsidP="00E52B27">
      <w:pPr>
        <w:pStyle w:val="tekstost"/>
        <w:numPr>
          <w:ilvl w:val="0"/>
          <w:numId w:val="12"/>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E52B27" w:rsidRDefault="00E52B27" w:rsidP="00E52B27">
      <w:pPr>
        <w:pStyle w:val="tekstost"/>
        <w:numPr>
          <w:ilvl w:val="0"/>
          <w:numId w:val="12"/>
        </w:numPr>
      </w:pPr>
      <w:r>
        <w:t>ustawienie tymczasowego oznakowania i oświetlenia zgodnie z wymaganiami bezpieczeństwa ruchu,</w:t>
      </w:r>
    </w:p>
    <w:p w:rsidR="00E52B27" w:rsidRDefault="00E52B27" w:rsidP="00E52B27">
      <w:pPr>
        <w:pStyle w:val="tekstost"/>
        <w:numPr>
          <w:ilvl w:val="0"/>
          <w:numId w:val="12"/>
        </w:numPr>
      </w:pPr>
      <w:r>
        <w:t>opłaty / dzierżawy terenu,</w:t>
      </w:r>
    </w:p>
    <w:p w:rsidR="00E52B27" w:rsidRDefault="00E52B27" w:rsidP="00E52B27">
      <w:pPr>
        <w:pStyle w:val="tekstost"/>
        <w:numPr>
          <w:ilvl w:val="0"/>
          <w:numId w:val="12"/>
        </w:numPr>
      </w:pPr>
      <w:r>
        <w:t>przygotowanie terenu,</w:t>
      </w:r>
    </w:p>
    <w:p w:rsidR="00E52B27" w:rsidRDefault="00E52B27" w:rsidP="00E52B27">
      <w:pPr>
        <w:pStyle w:val="tekstost"/>
        <w:numPr>
          <w:ilvl w:val="0"/>
          <w:numId w:val="12"/>
        </w:numPr>
      </w:pPr>
      <w:r>
        <w:t xml:space="preserve">konstrukcję tymczasowej nawierzchni, ramp, chodników, krawężników, barier, </w:t>
      </w:r>
      <w:proofErr w:type="spellStart"/>
      <w:r>
        <w:t>oznakowań</w:t>
      </w:r>
      <w:proofErr w:type="spellEnd"/>
      <w:r>
        <w:t xml:space="preserve"> i drenażu,</w:t>
      </w:r>
    </w:p>
    <w:p w:rsidR="00E52B27" w:rsidRDefault="00E52B27" w:rsidP="00E52B27">
      <w:pPr>
        <w:pStyle w:val="tekstost"/>
        <w:numPr>
          <w:ilvl w:val="0"/>
          <w:numId w:val="12"/>
        </w:numPr>
      </w:pPr>
      <w:r>
        <w:t>tymczasową przebudowę urządzeń obcych.</w:t>
      </w:r>
    </w:p>
    <w:p w:rsidR="00E52B27" w:rsidRDefault="00E52B27" w:rsidP="00E52B27">
      <w:pPr>
        <w:pStyle w:val="tekstost"/>
      </w:pPr>
      <w:r>
        <w:tab/>
        <w:t>Koszt utrzymania objazdów / przejazdów i organizacji ruchu obejmuje:</w:t>
      </w:r>
    </w:p>
    <w:p w:rsidR="00E52B27" w:rsidRDefault="00E52B27" w:rsidP="00E52B27">
      <w:pPr>
        <w:pStyle w:val="tekstost"/>
        <w:numPr>
          <w:ilvl w:val="0"/>
          <w:numId w:val="13"/>
        </w:numPr>
        <w:ind w:left="284" w:hanging="284"/>
      </w:pPr>
      <w:r>
        <w:t xml:space="preserve">oczyszczanie, przestawienie, przykrycie i usunięcie tymczasowych </w:t>
      </w:r>
      <w:proofErr w:type="spellStart"/>
      <w:r>
        <w:t>oznakowań</w:t>
      </w:r>
      <w:proofErr w:type="spellEnd"/>
      <w:r>
        <w:t xml:space="preserve"> pionowych, poziomych, barier i świateł,</w:t>
      </w:r>
    </w:p>
    <w:p w:rsidR="00E52B27" w:rsidRDefault="00E52B27" w:rsidP="00E52B27">
      <w:pPr>
        <w:pStyle w:val="tekstost"/>
        <w:numPr>
          <w:ilvl w:val="0"/>
          <w:numId w:val="13"/>
        </w:numPr>
        <w:ind w:left="284" w:hanging="284"/>
      </w:pPr>
      <w:r>
        <w:t>utrzymanie płynności ruchu publicznego.</w:t>
      </w:r>
    </w:p>
    <w:p w:rsidR="00E52B27" w:rsidRDefault="00E52B27" w:rsidP="00E52B27">
      <w:pPr>
        <w:pStyle w:val="tekstost"/>
      </w:pPr>
      <w:r>
        <w:tab/>
        <w:t>Koszt likwidacji objazdów / przejazdów i organizacji ruchu obejmuje:</w:t>
      </w:r>
    </w:p>
    <w:p w:rsidR="00E52B27" w:rsidRDefault="00E52B27" w:rsidP="00E52B27">
      <w:pPr>
        <w:pStyle w:val="tekstost"/>
        <w:numPr>
          <w:ilvl w:val="0"/>
          <w:numId w:val="14"/>
        </w:numPr>
        <w:ind w:left="284" w:hanging="284"/>
      </w:pPr>
      <w:r>
        <w:t>usunięcie wbudowanych materiałów i oznakowania,</w:t>
      </w:r>
    </w:p>
    <w:p w:rsidR="00E52B27" w:rsidRDefault="00E52B27" w:rsidP="00E52B27">
      <w:pPr>
        <w:pStyle w:val="tekstost"/>
        <w:numPr>
          <w:ilvl w:val="0"/>
          <w:numId w:val="14"/>
        </w:numPr>
        <w:spacing w:after="120"/>
        <w:ind w:left="284" w:hanging="284"/>
      </w:pPr>
      <w:r>
        <w:t>doprowadzenie terenu do stanu pierwotnego.</w:t>
      </w:r>
    </w:p>
    <w:p w:rsidR="00E52B27" w:rsidRDefault="00E52B27" w:rsidP="00E52B27">
      <w:pPr>
        <w:pStyle w:val="Nagwek1"/>
      </w:pPr>
      <w:bookmarkStart w:id="31" w:name="_Toc416830707"/>
      <w:bookmarkStart w:id="32" w:name="_Toc6881288"/>
      <w:bookmarkStart w:id="33" w:name="_Toc6882161"/>
      <w:r>
        <w:t>10. przepisy związane</w:t>
      </w:r>
      <w:bookmarkEnd w:id="31"/>
      <w:bookmarkEnd w:id="32"/>
      <w:bookmarkEnd w:id="33"/>
    </w:p>
    <w:p w:rsidR="00E52B27" w:rsidRDefault="00E52B27" w:rsidP="00E52B27">
      <w:pPr>
        <w:pStyle w:val="tekstost"/>
        <w:numPr>
          <w:ilvl w:val="0"/>
          <w:numId w:val="15"/>
        </w:numPr>
      </w:pPr>
      <w:r>
        <w:t>Ustawa z dnia 7 lipca 1994 r. - Prawo budowlane (Dz. U. Nr 89, poz. 414 z później</w:t>
      </w:r>
      <w:r>
        <w:softHyphen/>
        <w:t>szymi zmianami).</w:t>
      </w:r>
    </w:p>
    <w:p w:rsidR="00E52B27" w:rsidRDefault="00E52B27" w:rsidP="00E52B27">
      <w:pPr>
        <w:pStyle w:val="tekstost"/>
        <w:numPr>
          <w:ilvl w:val="0"/>
          <w:numId w:val="15"/>
        </w:numPr>
      </w:pPr>
      <w:r>
        <w:t>Zarządzenie Ministra Infrastruktury z dnia 19 listopada 2001 r. w sprawie dziennika budowy, montażu i rozbiórki oraz tablicy informacyjnej (Dz. U. Nr 138, poz. 1555).</w:t>
      </w:r>
    </w:p>
    <w:p w:rsidR="00E52B27" w:rsidRDefault="00E52B27" w:rsidP="00E52B27">
      <w:pPr>
        <w:pStyle w:val="tekstost"/>
        <w:numPr>
          <w:ilvl w:val="0"/>
          <w:numId w:val="15"/>
        </w:numPr>
      </w:pPr>
      <w:r>
        <w:t>Ustawa z dnia 21 marca 1985 r. o drogach publicznych (Dz. U. Nr 14, poz. 60 z późniejszymi zmianami).</w:t>
      </w:r>
    </w:p>
    <w:p w:rsidR="00E52B27" w:rsidRDefault="00E52B27" w:rsidP="00E52B27"/>
    <w:p w:rsidR="00E52B27" w:rsidRDefault="00E52B27" w:rsidP="00E52B27"/>
    <w:p w:rsidR="00E52B27" w:rsidRDefault="00E52B27" w:rsidP="00E52B27">
      <w:pPr>
        <w:pStyle w:val="Standardowytekst"/>
        <w:jc w:val="center"/>
        <w:rPr>
          <w:sz w:val="28"/>
        </w:rPr>
      </w:pPr>
    </w:p>
    <w:p w:rsidR="00B718AA" w:rsidRDefault="00B718AA" w:rsidP="00E52B27">
      <w:pPr>
        <w:pStyle w:val="Standardowytekst"/>
        <w:jc w:val="center"/>
        <w:rPr>
          <w:sz w:val="28"/>
        </w:rPr>
      </w:pPr>
    </w:p>
    <w:p w:rsidR="00B718AA" w:rsidRDefault="00B718AA" w:rsidP="00E52B27">
      <w:pPr>
        <w:pStyle w:val="Standardowytekst"/>
        <w:jc w:val="center"/>
        <w:rPr>
          <w:sz w:val="28"/>
        </w:rPr>
      </w:pPr>
    </w:p>
    <w:p w:rsidR="00B718AA" w:rsidRDefault="00B718AA" w:rsidP="00E52B27">
      <w:pPr>
        <w:pStyle w:val="Standardowytekst"/>
        <w:jc w:val="center"/>
        <w:rPr>
          <w:sz w:val="28"/>
        </w:rPr>
      </w:pPr>
    </w:p>
    <w:p w:rsidR="00B718AA" w:rsidRDefault="00B718AA" w:rsidP="00E52B27">
      <w:pPr>
        <w:pStyle w:val="Standardowytekst"/>
        <w:jc w:val="center"/>
        <w:rPr>
          <w:sz w:val="28"/>
        </w:rPr>
      </w:pPr>
    </w:p>
    <w:p w:rsidR="00E52B27" w:rsidRDefault="00E52B27" w:rsidP="00E52B27">
      <w:pPr>
        <w:pStyle w:val="Standardowytekst"/>
        <w:jc w:val="left"/>
        <w:rPr>
          <w:b/>
          <w:sz w:val="28"/>
        </w:rPr>
      </w:pPr>
      <w:bookmarkStart w:id="34" w:name="_Hlk15764995"/>
      <w:r>
        <w:rPr>
          <w:b/>
          <w:sz w:val="28"/>
        </w:rPr>
        <w:t xml:space="preserve">D-01.01.01  ODTWORZENIE  TRASY I  PUNKTÓW   </w:t>
      </w:r>
    </w:p>
    <w:p w:rsidR="00E52B27" w:rsidRDefault="00E52B27" w:rsidP="00E52B27">
      <w:pPr>
        <w:pStyle w:val="Standardowytekst"/>
        <w:jc w:val="left"/>
        <w:rPr>
          <w:b/>
          <w:sz w:val="28"/>
        </w:rPr>
      </w:pPr>
      <w:r>
        <w:rPr>
          <w:b/>
          <w:sz w:val="28"/>
        </w:rPr>
        <w:t xml:space="preserve">                     WYSOKOŚCIOWYCH.</w:t>
      </w:r>
    </w:p>
    <w:bookmarkEnd w:id="34"/>
    <w:p w:rsidR="00E52B27" w:rsidRDefault="00E52B27" w:rsidP="00E52B27">
      <w:pPr>
        <w:pStyle w:val="Standardowytekst"/>
        <w:rPr>
          <w:b/>
          <w:sz w:val="28"/>
        </w:rPr>
      </w:pPr>
    </w:p>
    <w:p w:rsidR="00E52B27" w:rsidRDefault="00E52B27" w:rsidP="00E52B27">
      <w:pPr>
        <w:pStyle w:val="Nagwek1"/>
      </w:pPr>
      <w:r>
        <w:t>1. WSTĘP</w:t>
      </w:r>
    </w:p>
    <w:p w:rsidR="00E52B27" w:rsidRDefault="00E52B27" w:rsidP="00E52B27">
      <w:pPr>
        <w:pStyle w:val="Nagwek2"/>
      </w:pPr>
      <w:r>
        <w:t>1.1.Przedmiot SST</w:t>
      </w:r>
    </w:p>
    <w:p w:rsidR="00E52B27" w:rsidRDefault="00E52B27" w:rsidP="00E52B27">
      <w:pPr>
        <w:pStyle w:val="tekstost"/>
      </w:pPr>
      <w:r>
        <w:rPr>
          <w:b/>
        </w:rPr>
        <w:tab/>
      </w:r>
      <w:r>
        <w:t xml:space="preserve">Przedmiotem niniejszej szczegółowej specyfikacji technicznej (SST) są wymagania dotyczące wykonania i odbioru robót związanych z odtworzeniem trasy drogowej i jej punktów wysokościowych </w:t>
      </w:r>
    </w:p>
    <w:p w:rsidR="00E52B27" w:rsidRDefault="00E52B27" w:rsidP="00E52B27">
      <w:pPr>
        <w:pStyle w:val="Nagwek2"/>
      </w:pPr>
      <w:r>
        <w:t>1.2. Zakres stosowania SST</w:t>
      </w:r>
    </w:p>
    <w:p w:rsidR="00E52B27" w:rsidRDefault="00E52B27" w:rsidP="00E52B27">
      <w:pPr>
        <w:tabs>
          <w:tab w:val="left" w:pos="0"/>
        </w:tabs>
        <w:jc w:val="both"/>
      </w:pPr>
      <w:r>
        <w:tab/>
        <w:t>Szczegółowa specyfikacja techniczna (SST) stanowi jako dokument przetargowy i kontraktowy przy zlecaniu i realizacji robót na drogach.</w:t>
      </w:r>
    </w:p>
    <w:p w:rsidR="00E52B27" w:rsidRDefault="00E52B27" w:rsidP="00E52B27">
      <w:pPr>
        <w:pStyle w:val="Nagwek2"/>
      </w:pPr>
      <w:r>
        <w:t>1.3. Zakres robót objętych SST</w:t>
      </w:r>
    </w:p>
    <w:p w:rsidR="00E52B27" w:rsidRDefault="00E52B27" w:rsidP="00E52B27">
      <w:pPr>
        <w:tabs>
          <w:tab w:val="left" w:pos="0"/>
        </w:tabs>
        <w:jc w:val="both"/>
      </w:pPr>
      <w:r>
        <w:rPr>
          <w:b/>
        </w:rPr>
        <w:tab/>
      </w:r>
      <w:r>
        <w:t>Ustalenia zawarte w niniejszej specyfikacji dotyczą zasad prowadzenia robót związanych z wszystkimi czynnościami umożliwiającymi i mającymi na celu odtworzenie w terenie przebiegu trasy drogowej oraz położenia obiektów inżynierskich.</w:t>
      </w:r>
    </w:p>
    <w:p w:rsidR="00E52B27" w:rsidRDefault="00E52B27" w:rsidP="00E52B27">
      <w:pPr>
        <w:tabs>
          <w:tab w:val="left" w:pos="0"/>
        </w:tabs>
        <w:spacing w:before="120"/>
        <w:jc w:val="both"/>
      </w:pPr>
      <w:r>
        <w:rPr>
          <w:b/>
        </w:rPr>
        <w:t xml:space="preserve">1.3.1. </w:t>
      </w:r>
      <w:r>
        <w:t>Odtworzenie trasy i punktów wysokościowych</w:t>
      </w:r>
    </w:p>
    <w:p w:rsidR="00E52B27" w:rsidRDefault="00E52B27" w:rsidP="00E52B27">
      <w:pPr>
        <w:tabs>
          <w:tab w:val="left" w:pos="0"/>
        </w:tabs>
        <w:spacing w:before="120"/>
        <w:jc w:val="both"/>
      </w:pPr>
      <w:r>
        <w:tab/>
        <w:t>W zakres robót pomiarowych, związanych z odtworzeniem trasy i punktów wysokościowych wchodzą:</w:t>
      </w:r>
    </w:p>
    <w:p w:rsidR="00E52B27" w:rsidRDefault="00E52B27" w:rsidP="00E52B27">
      <w:pPr>
        <w:numPr>
          <w:ilvl w:val="0"/>
          <w:numId w:val="16"/>
        </w:numPr>
        <w:tabs>
          <w:tab w:val="left" w:pos="0"/>
        </w:tabs>
        <w:jc w:val="both"/>
      </w:pPr>
      <w:r>
        <w:t>sprawdzenie wyznaczenia sytuacyjnego i wysokościowego punktów głównych osi trasy   i punktów wysokościowych,</w:t>
      </w:r>
    </w:p>
    <w:p w:rsidR="00E52B27" w:rsidRDefault="00E52B27" w:rsidP="00E52B27">
      <w:pPr>
        <w:numPr>
          <w:ilvl w:val="0"/>
          <w:numId w:val="16"/>
        </w:numPr>
        <w:tabs>
          <w:tab w:val="left" w:pos="0"/>
        </w:tabs>
        <w:jc w:val="both"/>
      </w:pPr>
      <w:r>
        <w:t>uzupełnienie osi trasy dodatkowymi punktami (wyznaczenie osi),</w:t>
      </w:r>
    </w:p>
    <w:p w:rsidR="00E52B27" w:rsidRDefault="00E52B27" w:rsidP="00E52B27">
      <w:pPr>
        <w:numPr>
          <w:ilvl w:val="0"/>
          <w:numId w:val="16"/>
        </w:numPr>
        <w:tabs>
          <w:tab w:val="left" w:pos="0"/>
        </w:tabs>
        <w:jc w:val="both"/>
      </w:pPr>
      <w:r>
        <w:t>wyznaczenie dodatkowych punktów wysokościowych (reperów roboczych),</w:t>
      </w:r>
    </w:p>
    <w:p w:rsidR="00E52B27" w:rsidRDefault="00E52B27" w:rsidP="00E52B27">
      <w:pPr>
        <w:numPr>
          <w:ilvl w:val="0"/>
          <w:numId w:val="16"/>
        </w:numPr>
        <w:tabs>
          <w:tab w:val="left" w:pos="0"/>
        </w:tabs>
        <w:jc w:val="both"/>
      </w:pPr>
      <w:r>
        <w:t>wyznaczenie przekrojów poprzecznych,</w:t>
      </w:r>
    </w:p>
    <w:p w:rsidR="00E52B27" w:rsidRDefault="00E52B27" w:rsidP="00E52B27">
      <w:pPr>
        <w:numPr>
          <w:ilvl w:val="0"/>
          <w:numId w:val="16"/>
        </w:numPr>
        <w:tabs>
          <w:tab w:val="left" w:pos="0"/>
        </w:tabs>
        <w:jc w:val="both"/>
      </w:pPr>
      <w:proofErr w:type="spellStart"/>
      <w:r>
        <w:t>zastabilizowanie</w:t>
      </w:r>
      <w:proofErr w:type="spellEnd"/>
      <w:r>
        <w:t xml:space="preserve"> punktów w sposób trwały, ochrona ich przed zniszczeniem oraz oznakowanie w sposób ułatwiający odszukanie i ewentualne odtworzenie.</w:t>
      </w:r>
    </w:p>
    <w:p w:rsidR="00E52B27" w:rsidRDefault="00E52B27" w:rsidP="00E52B27">
      <w:pPr>
        <w:tabs>
          <w:tab w:val="left" w:pos="0"/>
        </w:tabs>
        <w:spacing w:before="120" w:after="120"/>
        <w:jc w:val="both"/>
      </w:pPr>
      <w:r>
        <w:rPr>
          <w:b/>
        </w:rPr>
        <w:t xml:space="preserve">1.3.2. </w:t>
      </w:r>
      <w:r>
        <w:t>Wyznaczenie obiektów mostowych</w:t>
      </w:r>
    </w:p>
    <w:p w:rsidR="00E52B27" w:rsidRDefault="00E52B27" w:rsidP="00E52B27">
      <w:pPr>
        <w:tabs>
          <w:tab w:val="left" w:pos="0"/>
        </w:tabs>
        <w:jc w:val="both"/>
      </w:pPr>
      <w:r>
        <w:tab/>
        <w:t xml:space="preserve">Wyznaczenie obiektów mostowych obejmuje sprawdzenie wyznaczenia osi obiektu i punktów wysokościowych, </w:t>
      </w:r>
      <w:proofErr w:type="spellStart"/>
      <w:r>
        <w:t>zastabilizowanie</w:t>
      </w:r>
      <w:proofErr w:type="spellEnd"/>
      <w:r>
        <w:t xml:space="preserve"> ich w sposób trwały, ochronę ich przed zniszczeniem, oznakowanie w sposób ułatwiający odszukanie i ewentualne odtworzenie oraz wyznaczenie usytuowania obiektu (kontur, podpory, punkty).</w:t>
      </w:r>
    </w:p>
    <w:p w:rsidR="00E52B27" w:rsidRDefault="00E52B27" w:rsidP="00E52B27">
      <w:pPr>
        <w:pStyle w:val="Nagwek2"/>
      </w:pPr>
      <w:r>
        <w:t>1.4. Określenia podstawowe</w:t>
      </w:r>
    </w:p>
    <w:p w:rsidR="00E52B27" w:rsidRDefault="00E52B27" w:rsidP="00E52B27">
      <w:pPr>
        <w:tabs>
          <w:tab w:val="left" w:pos="0"/>
        </w:tabs>
        <w:spacing w:after="120"/>
        <w:jc w:val="both"/>
      </w:pPr>
      <w:r>
        <w:rPr>
          <w:b/>
        </w:rPr>
        <w:t xml:space="preserve">1.4.1. </w:t>
      </w:r>
      <w:r>
        <w:t>Punkty główne trasy - punkty załamania osi trasy, punkty kierunkowe oraz początkowy i końcowy punkt trasy.</w:t>
      </w:r>
    </w:p>
    <w:p w:rsidR="00E52B27" w:rsidRDefault="00E52B27" w:rsidP="00E52B27">
      <w:pPr>
        <w:tabs>
          <w:tab w:val="left" w:pos="0"/>
        </w:tabs>
        <w:jc w:val="both"/>
      </w:pPr>
      <w:r>
        <w:rPr>
          <w:b/>
        </w:rPr>
        <w:t xml:space="preserve">1.4.2. </w:t>
      </w:r>
      <w:r>
        <w:t>Pozostałe określenia podstawowe są zgodne z obowiązującymi, odpowiednimi polskimi normami i z definicjami podanymi w SST D-00.00.00 „Wymagania ogólne” pkt 1.4.</w:t>
      </w:r>
    </w:p>
    <w:p w:rsidR="00E52B27" w:rsidRDefault="00E52B27" w:rsidP="00E52B27">
      <w:pPr>
        <w:pStyle w:val="Nagwek2"/>
      </w:pPr>
      <w:r>
        <w:t>1.5. Ogólne wymagania dotyczące robót</w:t>
      </w:r>
    </w:p>
    <w:p w:rsidR="00E52B27" w:rsidRDefault="00E52B27" w:rsidP="00E52B27">
      <w:pPr>
        <w:tabs>
          <w:tab w:val="left" w:pos="0"/>
        </w:tabs>
        <w:jc w:val="both"/>
      </w:pPr>
      <w:r>
        <w:tab/>
        <w:t>Ogólne wymagania dotyczące robót podano w SST D-00.00.00 „Wymagania ogólne” pkt 1.5.</w:t>
      </w:r>
    </w:p>
    <w:p w:rsidR="00E52B27" w:rsidRDefault="00E52B27" w:rsidP="00E52B27">
      <w:pPr>
        <w:pStyle w:val="Nagwek1"/>
      </w:pPr>
      <w:r>
        <w:t>2. MATERIAŁY</w:t>
      </w:r>
    </w:p>
    <w:p w:rsidR="00E52B27" w:rsidRDefault="00E52B27" w:rsidP="00E52B27">
      <w:pPr>
        <w:pStyle w:val="Nagwek2"/>
      </w:pPr>
      <w:r>
        <w:t>2.1. Ogólne wymagania dotyczące materiałów</w:t>
      </w:r>
    </w:p>
    <w:p w:rsidR="00E52B27" w:rsidRDefault="00E52B27" w:rsidP="00E52B27">
      <w:pPr>
        <w:tabs>
          <w:tab w:val="left" w:pos="0"/>
        </w:tabs>
        <w:jc w:val="both"/>
      </w:pPr>
      <w:r>
        <w:rPr>
          <w:b/>
        </w:rPr>
        <w:tab/>
      </w:r>
      <w:r>
        <w:t>Ogólne wymagania dotyczące materiałów, ich pozyskiwania i składowania podano w SST D-00.00.00 „Wymagania ogólne” pkt 2.</w:t>
      </w:r>
    </w:p>
    <w:p w:rsidR="00E52B27" w:rsidRDefault="00E52B27" w:rsidP="00E52B27">
      <w:pPr>
        <w:pStyle w:val="Nagwek2"/>
      </w:pPr>
      <w:r>
        <w:t>2.2. Rodzaje materiałów</w:t>
      </w:r>
    </w:p>
    <w:p w:rsidR="00E52B27" w:rsidRDefault="00E52B27" w:rsidP="00E52B27">
      <w:pPr>
        <w:tabs>
          <w:tab w:val="left" w:pos="0"/>
        </w:tabs>
        <w:jc w:val="both"/>
      </w:pPr>
      <w:r>
        <w:tab/>
        <w:t>Do utrwalenia punktów głównych trasy należy stosować pale drewniane z gwoździem lub prętem stalowym, słupki betonowe albo rury metalowe o długości około 0,50 metra.</w:t>
      </w:r>
    </w:p>
    <w:p w:rsidR="00E52B27" w:rsidRDefault="00E52B27" w:rsidP="00E52B27">
      <w:pPr>
        <w:tabs>
          <w:tab w:val="left" w:pos="0"/>
        </w:tabs>
        <w:jc w:val="both"/>
      </w:pPr>
      <w:r>
        <w:tab/>
        <w:t>Pale drewniane umieszczone poza granicą robót ziemnych, w sąsiedztwie punktów załamania trasy, powinny mieć średnicę od  0,15 do 0,20 m  i długość od 1,5 do 1,7 m.</w:t>
      </w:r>
    </w:p>
    <w:p w:rsidR="00E52B27" w:rsidRDefault="00E52B27" w:rsidP="00E52B27">
      <w:pPr>
        <w:tabs>
          <w:tab w:val="left" w:pos="0"/>
        </w:tabs>
        <w:jc w:val="both"/>
      </w:pPr>
      <w:r>
        <w:tab/>
        <w:t>Do stabilizacji pozostałych punktów należy stosować paliki drewniane średnicy od 0,05 do 0,08 m i długości około 0,30 m, a dla punktów utrwalanych w istniejącej nawierzchni bolce stalowe średnicy 5 mm i długości od  0,04 do 0,05 m.</w:t>
      </w:r>
    </w:p>
    <w:p w:rsidR="00E52B27" w:rsidRDefault="00E52B27" w:rsidP="00E52B27">
      <w:pPr>
        <w:tabs>
          <w:tab w:val="left" w:pos="0"/>
        </w:tabs>
        <w:jc w:val="both"/>
      </w:pPr>
      <w:r>
        <w:tab/>
        <w:t>„Świadki” powinny mieć długość około 0,50 m i przekrój prostokątny.</w:t>
      </w:r>
    </w:p>
    <w:p w:rsidR="00E52B27" w:rsidRDefault="00E52B27" w:rsidP="00E52B27">
      <w:pPr>
        <w:pStyle w:val="Nagwek1"/>
      </w:pPr>
      <w:r>
        <w:lastRenderedPageBreak/>
        <w:t>3. SPRZĘT</w:t>
      </w:r>
    </w:p>
    <w:p w:rsidR="00E52B27" w:rsidRDefault="00E52B27" w:rsidP="00E52B27">
      <w:pPr>
        <w:pStyle w:val="Nagwek2"/>
      </w:pPr>
      <w:r>
        <w:t>3.1. Ogólne wymagania dotyczące sprzętu</w:t>
      </w:r>
    </w:p>
    <w:p w:rsidR="00E52B27" w:rsidRDefault="00E52B27" w:rsidP="00E52B27">
      <w:pPr>
        <w:tabs>
          <w:tab w:val="left" w:pos="0"/>
        </w:tabs>
        <w:jc w:val="both"/>
      </w:pPr>
      <w:r>
        <w:tab/>
        <w:t>Ogólne wymagania dotyczące sprzętu podano w SST D-00.00.00 „Wymagania ogólne” pkt 3.</w:t>
      </w:r>
    </w:p>
    <w:p w:rsidR="00E52B27" w:rsidRDefault="00E52B27" w:rsidP="00E52B27">
      <w:pPr>
        <w:pStyle w:val="Nagwek2"/>
      </w:pPr>
      <w:r>
        <w:t>3.2. Sprzęt pomiarowy</w:t>
      </w:r>
    </w:p>
    <w:p w:rsidR="00E52B27" w:rsidRDefault="00E52B27" w:rsidP="00E52B27">
      <w:pPr>
        <w:tabs>
          <w:tab w:val="left" w:pos="0"/>
        </w:tabs>
        <w:jc w:val="both"/>
      </w:pPr>
      <w:r>
        <w:rPr>
          <w:b/>
        </w:rPr>
        <w:tab/>
      </w:r>
      <w:r>
        <w:t>Do odtworzenia sytuacyjnego trasy i punktów wysokościowych należy stosować następujący sprzęt:</w:t>
      </w:r>
    </w:p>
    <w:p w:rsidR="00E52B27" w:rsidRDefault="00E52B27" w:rsidP="00E52B27">
      <w:pPr>
        <w:numPr>
          <w:ilvl w:val="0"/>
          <w:numId w:val="1"/>
        </w:numPr>
        <w:tabs>
          <w:tab w:val="left" w:pos="0"/>
        </w:tabs>
        <w:jc w:val="both"/>
      </w:pPr>
      <w:r>
        <w:t>teodolity lub tachimetry,</w:t>
      </w:r>
    </w:p>
    <w:p w:rsidR="00E52B27" w:rsidRDefault="00E52B27" w:rsidP="00E52B27">
      <w:pPr>
        <w:numPr>
          <w:ilvl w:val="0"/>
          <w:numId w:val="1"/>
        </w:numPr>
        <w:tabs>
          <w:tab w:val="left" w:pos="0"/>
        </w:tabs>
        <w:jc w:val="both"/>
      </w:pPr>
      <w:r>
        <w:t>niwelatory,</w:t>
      </w:r>
    </w:p>
    <w:p w:rsidR="00E52B27" w:rsidRDefault="00E52B27" w:rsidP="00E52B27">
      <w:pPr>
        <w:numPr>
          <w:ilvl w:val="0"/>
          <w:numId w:val="1"/>
        </w:numPr>
        <w:tabs>
          <w:tab w:val="left" w:pos="0"/>
        </w:tabs>
        <w:jc w:val="both"/>
      </w:pPr>
      <w:r>
        <w:t>dalmierze,</w:t>
      </w:r>
    </w:p>
    <w:p w:rsidR="00E52B27" w:rsidRDefault="00E52B27" w:rsidP="00E52B27">
      <w:pPr>
        <w:numPr>
          <w:ilvl w:val="0"/>
          <w:numId w:val="1"/>
        </w:numPr>
        <w:tabs>
          <w:tab w:val="left" w:pos="0"/>
        </w:tabs>
        <w:jc w:val="both"/>
      </w:pPr>
      <w:r>
        <w:t>tyczki,</w:t>
      </w:r>
    </w:p>
    <w:p w:rsidR="00E52B27" w:rsidRDefault="00E52B27" w:rsidP="00E52B27">
      <w:pPr>
        <w:numPr>
          <w:ilvl w:val="0"/>
          <w:numId w:val="1"/>
        </w:numPr>
        <w:tabs>
          <w:tab w:val="left" w:pos="0"/>
        </w:tabs>
        <w:jc w:val="both"/>
      </w:pPr>
      <w:r>
        <w:t>łaty,</w:t>
      </w:r>
    </w:p>
    <w:p w:rsidR="00E52B27" w:rsidRDefault="00E52B27" w:rsidP="00E52B27">
      <w:pPr>
        <w:numPr>
          <w:ilvl w:val="0"/>
          <w:numId w:val="1"/>
        </w:numPr>
        <w:tabs>
          <w:tab w:val="left" w:pos="0"/>
        </w:tabs>
        <w:jc w:val="both"/>
      </w:pPr>
      <w:r>
        <w:t>taśmy stalowe, szpilki.</w:t>
      </w:r>
    </w:p>
    <w:p w:rsidR="00E52B27" w:rsidRDefault="00E52B27" w:rsidP="00E52B27">
      <w:pPr>
        <w:tabs>
          <w:tab w:val="left" w:pos="0"/>
        </w:tabs>
        <w:jc w:val="both"/>
      </w:pPr>
      <w:r>
        <w:tab/>
        <w:t>Sprzęt stosowany do odtworzenia trasy drogowej i jej punktów wysokościowych powinien gwarantować uzyskanie wymaganej dokładności pomiaru.</w:t>
      </w:r>
    </w:p>
    <w:p w:rsidR="00E52B27" w:rsidRDefault="00E52B27" w:rsidP="00E52B27">
      <w:pPr>
        <w:pStyle w:val="Nagwek1"/>
      </w:pPr>
      <w:r>
        <w:t>4. TRANSPORT</w:t>
      </w:r>
    </w:p>
    <w:p w:rsidR="00E52B27" w:rsidRDefault="00E52B27" w:rsidP="00E52B27">
      <w:pPr>
        <w:pStyle w:val="Nagwek2"/>
      </w:pPr>
      <w:r>
        <w:t>4.1. Ogólne wymagania dotyczące transportu</w:t>
      </w:r>
    </w:p>
    <w:p w:rsidR="00E52B27" w:rsidRDefault="00E52B27" w:rsidP="00E52B27">
      <w:pPr>
        <w:tabs>
          <w:tab w:val="left" w:pos="0"/>
        </w:tabs>
        <w:jc w:val="both"/>
      </w:pPr>
      <w:r>
        <w:tab/>
        <w:t>Ogólne wymagania dotyczące transportu podano w SST D-00.00.00 „Wymagania ogólne” pkt 4.</w:t>
      </w:r>
    </w:p>
    <w:p w:rsidR="00E52B27" w:rsidRDefault="00E52B27" w:rsidP="00E52B27">
      <w:pPr>
        <w:pStyle w:val="Nagwek2"/>
      </w:pPr>
      <w:r>
        <w:t>4.2. Transport sprzętu i materiałów</w:t>
      </w:r>
    </w:p>
    <w:p w:rsidR="00E52B27" w:rsidRDefault="00E52B27" w:rsidP="00E52B27">
      <w:pPr>
        <w:tabs>
          <w:tab w:val="left" w:pos="0"/>
        </w:tabs>
        <w:jc w:val="both"/>
      </w:pPr>
      <w:r>
        <w:tab/>
        <w:t>Sprzęt i materiały do odtworzenia trasy można przewozić dowolnymi środkami transportu.</w:t>
      </w:r>
    </w:p>
    <w:p w:rsidR="00E52B27" w:rsidRDefault="00E52B27" w:rsidP="00E52B27">
      <w:pPr>
        <w:pStyle w:val="Nagwek1"/>
      </w:pPr>
      <w:r>
        <w:t>5. WYKONANIE ROBÓT</w:t>
      </w:r>
    </w:p>
    <w:p w:rsidR="00E52B27" w:rsidRDefault="00E52B27" w:rsidP="00E52B27">
      <w:pPr>
        <w:pStyle w:val="Nagwek2"/>
      </w:pPr>
      <w:r>
        <w:t>5.1. Ogólne zasady wykonania robót</w:t>
      </w:r>
    </w:p>
    <w:p w:rsidR="00E52B27" w:rsidRDefault="00E52B27" w:rsidP="00E52B27">
      <w:pPr>
        <w:tabs>
          <w:tab w:val="left" w:pos="0"/>
        </w:tabs>
        <w:jc w:val="both"/>
      </w:pPr>
      <w:r>
        <w:tab/>
        <w:t>Ogólne zasady wykonania robót podano w SST D-00.00.00 „Wymagania ogólne” pkt 5.</w:t>
      </w:r>
    </w:p>
    <w:p w:rsidR="00E52B27" w:rsidRDefault="00E52B27" w:rsidP="00E52B27">
      <w:pPr>
        <w:pStyle w:val="Nagwek2"/>
      </w:pPr>
      <w:r>
        <w:t>5.2. Zasady wykonywania prac pomiarowych</w:t>
      </w:r>
    </w:p>
    <w:p w:rsidR="00E52B27" w:rsidRDefault="00E52B27" w:rsidP="00E52B27">
      <w:pPr>
        <w:tabs>
          <w:tab w:val="left" w:pos="0"/>
        </w:tabs>
        <w:jc w:val="both"/>
      </w:pPr>
      <w:r>
        <w:tab/>
        <w:t xml:space="preserve">Prace pomiarowe powinny być wykonane zgodnie z obowiązującymi Instrukcjami </w:t>
      </w:r>
      <w:proofErr w:type="spellStart"/>
      <w:r>
        <w:t>GUGiK</w:t>
      </w:r>
      <w:proofErr w:type="spellEnd"/>
      <w:r>
        <w:t xml:space="preserve"> (od 1 do 7).</w:t>
      </w:r>
    </w:p>
    <w:p w:rsidR="00E52B27" w:rsidRDefault="00E52B27" w:rsidP="00E52B27">
      <w:pPr>
        <w:tabs>
          <w:tab w:val="left" w:pos="0"/>
        </w:tabs>
        <w:jc w:val="both"/>
      </w:pPr>
      <w:r>
        <w:tab/>
        <w:t>Przed przystąpieniem do robót Wykonawca powinien przejąć od Zamawiającego dane zawierające lokalizację i współrzędne punktów głównych trasy oraz reperów.</w:t>
      </w:r>
    </w:p>
    <w:p w:rsidR="00E52B27" w:rsidRDefault="00E52B27" w:rsidP="00E52B27">
      <w:pPr>
        <w:tabs>
          <w:tab w:val="left" w:pos="0"/>
        </w:tabs>
        <w:jc w:val="both"/>
      </w:pPr>
      <w:r>
        <w:tab/>
        <w:t>W oparciu o materiały dostarczone przez Zamawiającego, Wykonawca powinien przeprowadzić obliczenia i pomiary geodezyjne niezbędne do szczegółowego wytyczenia robót.</w:t>
      </w:r>
    </w:p>
    <w:p w:rsidR="00E52B27" w:rsidRDefault="00E52B27" w:rsidP="00E52B27">
      <w:pPr>
        <w:tabs>
          <w:tab w:val="left" w:pos="0"/>
        </w:tabs>
        <w:jc w:val="both"/>
      </w:pPr>
      <w:r>
        <w:tab/>
        <w:t>Prace pomiarowe powinny być wykonane przez osoby posiadające odpowiednie kwalifikacje i uprawnienia.</w:t>
      </w:r>
    </w:p>
    <w:p w:rsidR="00E52B27" w:rsidRDefault="00E52B27" w:rsidP="00E52B27">
      <w:pPr>
        <w:tabs>
          <w:tab w:val="left" w:pos="0"/>
        </w:tabs>
        <w:jc w:val="both"/>
      </w:pPr>
      <w:r>
        <w:tab/>
        <w:t>Wykonawca powinien natychmiast poinformować Inżyniera o wszelkich błędach wykrytych w wytyczeniu punktów głównych trasy i (lub) reperów roboczych. Błędy te powinny być usunięte na koszt Zamawiającego.</w:t>
      </w:r>
    </w:p>
    <w:p w:rsidR="00E52B27" w:rsidRDefault="00E52B27" w:rsidP="00E52B27">
      <w:pPr>
        <w:tabs>
          <w:tab w:val="left" w:pos="0"/>
        </w:tabs>
        <w:jc w:val="both"/>
      </w:pPr>
      <w: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E52B27" w:rsidRDefault="00E52B27" w:rsidP="00E52B27">
      <w:pPr>
        <w:tabs>
          <w:tab w:val="left" w:pos="0"/>
        </w:tabs>
        <w:jc w:val="both"/>
      </w:pPr>
      <w:r>
        <w:tab/>
        <w:t>Wszystkie roboty, które bazują na pomiarach Wykonawcy, nie mogą być rozpoczęte przed zaakceptowaniem wyników pomiarów przez Inżyniera.</w:t>
      </w:r>
    </w:p>
    <w:p w:rsidR="00E52B27" w:rsidRDefault="00E52B27" w:rsidP="00E52B27">
      <w:pPr>
        <w:tabs>
          <w:tab w:val="left" w:pos="0"/>
        </w:tabs>
        <w:jc w:val="both"/>
      </w:pPr>
      <w: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E52B27" w:rsidRDefault="00E52B27" w:rsidP="00E52B27">
      <w:pPr>
        <w:tabs>
          <w:tab w:val="left" w:pos="0"/>
        </w:tabs>
        <w:jc w:val="both"/>
      </w:pPr>
      <w: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E52B27" w:rsidRDefault="00E52B27" w:rsidP="00E52B27">
      <w:pPr>
        <w:tabs>
          <w:tab w:val="left" w:pos="0"/>
        </w:tabs>
        <w:jc w:val="both"/>
      </w:pPr>
      <w:r>
        <w:tab/>
        <w:t>Wszystkie pozostałe prace pomiarowe konieczne dla prawidłowej realizacji robót należą do obowiązków Wykonawcy.</w:t>
      </w:r>
    </w:p>
    <w:p w:rsidR="00E52B27" w:rsidRDefault="00E52B27" w:rsidP="00E52B27">
      <w:pPr>
        <w:pStyle w:val="Nagwek2"/>
        <w:spacing w:after="0"/>
      </w:pPr>
      <w:r>
        <w:t>5.3. Sprawdzenie wyznaczenia punktów głównych osi trasy i punktów</w:t>
      </w:r>
    </w:p>
    <w:p w:rsidR="00E52B27" w:rsidRDefault="00E52B27" w:rsidP="00E52B27">
      <w:pPr>
        <w:pStyle w:val="Nagwek2"/>
        <w:spacing w:before="0"/>
      </w:pPr>
      <w:r>
        <w:t xml:space="preserve">       wysokościowych</w:t>
      </w:r>
    </w:p>
    <w:p w:rsidR="00E52B27" w:rsidRDefault="00E52B27" w:rsidP="00E52B27">
      <w:pPr>
        <w:tabs>
          <w:tab w:val="left" w:pos="0"/>
        </w:tabs>
        <w:jc w:val="both"/>
      </w:pPr>
      <w:r>
        <w:rPr>
          <w:b/>
        </w:rPr>
        <w:tab/>
      </w:r>
      <w:r>
        <w:t xml:space="preserve">Punkty wierzchołkowe trasy i inne punkty główne powinny być </w:t>
      </w:r>
      <w:proofErr w:type="spellStart"/>
      <w:r>
        <w:t>zastabilizowane</w:t>
      </w:r>
      <w:proofErr w:type="spellEnd"/>
      <w:r>
        <w:t xml:space="preserve"> w sposób trwały, przy użyciu pali drewnianych lub słupków betonowych, a także dowiązane do punktów pomocniczych, położonych poza </w:t>
      </w:r>
      <w:r>
        <w:lastRenderedPageBreak/>
        <w:t>granicą robót ziemnych. Maksymalna odległość pomiędzy punktami głównymi na odcinkach prostych nie może przekraczać          500 m.</w:t>
      </w:r>
    </w:p>
    <w:p w:rsidR="00E52B27" w:rsidRDefault="00E52B27" w:rsidP="00E52B27">
      <w:pPr>
        <w:tabs>
          <w:tab w:val="left" w:pos="0"/>
        </w:tabs>
        <w:jc w:val="both"/>
      </w:pPr>
      <w:r>
        <w:tab/>
        <w:t>Zamawiający powinien założyć robocze punkty wysokościowe (repery robocze) wzdłuż osi trasy drogowej, a także przy każdym obiekcie inżynierskim.</w:t>
      </w:r>
    </w:p>
    <w:p w:rsidR="00E52B27" w:rsidRDefault="00E52B27" w:rsidP="00E52B27">
      <w:pPr>
        <w:tabs>
          <w:tab w:val="left" w:pos="0"/>
        </w:tabs>
        <w:jc w:val="both"/>
      </w:pPr>
      <w:r>
        <w:tab/>
        <w:t>Maksymalna odległość między reperami roboczymi wzdłuż trasy drogowej w terenie płaskim powinna wynosić 500 metrów, natomiast w terenie falistym i górskim powinna być odpowiednio zmniejszona, zależnie od jego konfiguracji.</w:t>
      </w:r>
    </w:p>
    <w:p w:rsidR="00E52B27" w:rsidRDefault="00E52B27" w:rsidP="00E52B27">
      <w:pPr>
        <w:tabs>
          <w:tab w:val="left" w:pos="0"/>
        </w:tabs>
        <w:jc w:val="both"/>
      </w:pPr>
      <w: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E52B27" w:rsidRDefault="00E52B27" w:rsidP="00E52B27">
      <w:pPr>
        <w:tabs>
          <w:tab w:val="left" w:pos="0"/>
        </w:tabs>
        <w:jc w:val="both"/>
      </w:pPr>
      <w:r>
        <w:tab/>
        <w:t>Rzędne reperów roboczych należy określać z taką dokładnością, aby średni błąd niwelacji po wyrównaniu był mniejszy od 4 mm/km, stosując niwelację podwójną w nawiązaniu do reperów państwowych.</w:t>
      </w:r>
    </w:p>
    <w:p w:rsidR="00E52B27" w:rsidRDefault="00E52B27" w:rsidP="00E52B27">
      <w:pPr>
        <w:tabs>
          <w:tab w:val="left" w:pos="0"/>
        </w:tabs>
        <w:jc w:val="both"/>
      </w:pPr>
      <w:r>
        <w:tab/>
        <w:t xml:space="preserve">Repery robocze powinny być wyposażone w dodatkowe oznaczenia, zawierające wyraźne i jednoznaczne określenie nazwy </w:t>
      </w:r>
      <w:proofErr w:type="spellStart"/>
      <w:r>
        <w:t>reperu</w:t>
      </w:r>
      <w:proofErr w:type="spellEnd"/>
      <w:r>
        <w:t xml:space="preserve"> i jego rzędnej.</w:t>
      </w:r>
    </w:p>
    <w:p w:rsidR="00E52B27" w:rsidRDefault="00E52B27" w:rsidP="00E52B27">
      <w:pPr>
        <w:pStyle w:val="Nagwek2"/>
      </w:pPr>
      <w:r>
        <w:t>5.4. Odtworzenie osi trasy</w:t>
      </w:r>
    </w:p>
    <w:p w:rsidR="00E52B27" w:rsidRDefault="00E52B27" w:rsidP="00E52B27">
      <w:pPr>
        <w:tabs>
          <w:tab w:val="left" w:pos="0"/>
        </w:tabs>
        <w:jc w:val="both"/>
      </w:pPr>
      <w: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E52B27" w:rsidRDefault="00E52B27" w:rsidP="00E52B27">
      <w:pPr>
        <w:tabs>
          <w:tab w:val="left" w:pos="0"/>
        </w:tabs>
        <w:jc w:val="both"/>
      </w:pPr>
      <w:r>
        <w:tab/>
        <w:t>Oś trasy powinna być wyznaczona w punktach głównych i w punktach pośrednich w odległości zależnej od charakterystyki terenu i ukształtowania trasy, lecz nie rzadziej niż co 50 metrów.</w:t>
      </w:r>
    </w:p>
    <w:p w:rsidR="00E52B27" w:rsidRDefault="00E52B27" w:rsidP="00E52B27">
      <w:pPr>
        <w:tabs>
          <w:tab w:val="left" w:pos="0"/>
        </w:tabs>
        <w:jc w:val="both"/>
      </w:pPr>
      <w:r>
        <w:tab/>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E52B27" w:rsidRDefault="00E52B27" w:rsidP="00E52B27">
      <w:pPr>
        <w:tabs>
          <w:tab w:val="left" w:pos="0"/>
        </w:tabs>
        <w:jc w:val="both"/>
      </w:pPr>
      <w:r>
        <w:tab/>
        <w:t>Do utrwalenia osi trasy w terenie należy użyć materiałów wymienionych w pkt 2.2.</w:t>
      </w:r>
    </w:p>
    <w:p w:rsidR="00E52B27" w:rsidRDefault="00E52B27" w:rsidP="00E52B27">
      <w:pPr>
        <w:tabs>
          <w:tab w:val="left" w:pos="0"/>
        </w:tabs>
        <w:jc w:val="both"/>
      </w:pPr>
      <w:r>
        <w:tab/>
        <w:t>Usunięcie pali z osi trasy jest dopuszczalne tylko wówczas, gdy Wykonawca robót zastąpi je odpowiednimi palami po obu stronach osi, umieszczonych poza granicą robót.</w:t>
      </w:r>
    </w:p>
    <w:p w:rsidR="00E52B27" w:rsidRDefault="00E52B27" w:rsidP="00E52B27">
      <w:pPr>
        <w:pStyle w:val="Nagwek2"/>
      </w:pPr>
      <w:r>
        <w:t>5.5. Wyznaczenie przekrojów poprzecznych</w:t>
      </w:r>
    </w:p>
    <w:p w:rsidR="00E52B27" w:rsidRDefault="00E52B27" w:rsidP="00E52B27">
      <w:pPr>
        <w:tabs>
          <w:tab w:val="left" w:pos="0"/>
        </w:tabs>
        <w:jc w:val="both"/>
      </w:pPr>
      <w:r>
        <w:rPr>
          <w:b/>
        </w:rPr>
        <w:tab/>
      </w: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E52B27" w:rsidRDefault="00E52B27" w:rsidP="00E52B27">
      <w:pPr>
        <w:tabs>
          <w:tab w:val="left" w:pos="0"/>
        </w:tabs>
        <w:jc w:val="both"/>
      </w:pPr>
      <w:r>
        <w:tab/>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E52B27" w:rsidRDefault="00E52B27" w:rsidP="00E52B27">
      <w:pPr>
        <w:tabs>
          <w:tab w:val="left" w:pos="0"/>
        </w:tabs>
        <w:jc w:val="both"/>
      </w:pPr>
      <w:r>
        <w:tab/>
        <w:t>Profilowanie przekrojów poprzecznych musi umożliwiać wykonanie nasypów i wykopów o kształcie zgodnym z dokumentacją projektową.</w:t>
      </w:r>
    </w:p>
    <w:p w:rsidR="00E52B27" w:rsidRDefault="00E52B27" w:rsidP="00E52B27">
      <w:pPr>
        <w:pStyle w:val="Nagwek1"/>
      </w:pPr>
      <w:r>
        <w:t>6. KONTROLA JAKOŚCI ROBÓT</w:t>
      </w:r>
    </w:p>
    <w:p w:rsidR="00E52B27" w:rsidRDefault="00E52B27" w:rsidP="00E52B27">
      <w:pPr>
        <w:pStyle w:val="Nagwek2"/>
      </w:pPr>
      <w:r>
        <w:t>6.1. Ogólne zasady kontroli jakości robót</w:t>
      </w:r>
    </w:p>
    <w:p w:rsidR="00E52B27" w:rsidRDefault="00E52B27" w:rsidP="00E52B27">
      <w:pPr>
        <w:tabs>
          <w:tab w:val="left" w:pos="0"/>
        </w:tabs>
        <w:jc w:val="both"/>
      </w:pPr>
      <w:r>
        <w:tab/>
        <w:t>Ogólne zasady kontroli jakości robót podano w SST D-00.00.00 „Wymagania ogólne” pkt 6.</w:t>
      </w:r>
    </w:p>
    <w:p w:rsidR="00E52B27" w:rsidRDefault="00E52B27" w:rsidP="00E52B27">
      <w:pPr>
        <w:pStyle w:val="Nagwek2"/>
      </w:pPr>
      <w:r>
        <w:t>6.2. Kontrola jakości prac pomiarowych</w:t>
      </w:r>
    </w:p>
    <w:p w:rsidR="00E52B27" w:rsidRDefault="00E52B27" w:rsidP="00E52B27">
      <w:pPr>
        <w:tabs>
          <w:tab w:val="left" w:pos="0"/>
        </w:tabs>
        <w:jc w:val="both"/>
      </w:pPr>
      <w:r>
        <w:tab/>
        <w:t xml:space="preserve">Kontrolę jakości prac pomiarowych związanych z odtworzeniem trasy i punktów wysokościowych należy prowadzić według ogólnych zasad określonych w instrukcjach i wytycznych </w:t>
      </w:r>
      <w:proofErr w:type="spellStart"/>
      <w:r>
        <w:t>GUGiK</w:t>
      </w:r>
      <w:proofErr w:type="spellEnd"/>
      <w:r>
        <w:t xml:space="preserve"> (1,2,3,4,5,6,7) zgodnie z wymaganiami podanymi w pkt 5.4.</w:t>
      </w:r>
    </w:p>
    <w:p w:rsidR="00E52B27" w:rsidRDefault="00E52B27" w:rsidP="00E52B27">
      <w:pPr>
        <w:pStyle w:val="Nagwek1"/>
      </w:pPr>
      <w:r>
        <w:t>7. OBMIAR ROBÓT</w:t>
      </w:r>
    </w:p>
    <w:p w:rsidR="00E52B27" w:rsidRDefault="00E52B27" w:rsidP="00E52B27">
      <w:pPr>
        <w:pStyle w:val="Nagwek2"/>
      </w:pPr>
      <w:r>
        <w:t>7.1. Ogólne zasady obmiaru robót</w:t>
      </w:r>
    </w:p>
    <w:p w:rsidR="00E52B27" w:rsidRDefault="00E52B27" w:rsidP="00E52B27">
      <w:pPr>
        <w:tabs>
          <w:tab w:val="left" w:pos="0"/>
        </w:tabs>
        <w:jc w:val="both"/>
      </w:pPr>
      <w:r>
        <w:tab/>
        <w:t>Ogólne zasady obmiaru robót podano w SST D-00.00.00 „Wymagania ogólne” pkt 7.</w:t>
      </w:r>
    </w:p>
    <w:p w:rsidR="00E52B27" w:rsidRDefault="00E52B27" w:rsidP="00E52B27">
      <w:pPr>
        <w:pStyle w:val="Nagwek2"/>
      </w:pPr>
      <w:r>
        <w:t>7.2. Jednostka obmiarowa</w:t>
      </w:r>
    </w:p>
    <w:p w:rsidR="00E52B27" w:rsidRDefault="00E52B27" w:rsidP="00E52B27">
      <w:pPr>
        <w:tabs>
          <w:tab w:val="left" w:pos="0"/>
        </w:tabs>
        <w:jc w:val="both"/>
      </w:pPr>
      <w:r>
        <w:tab/>
        <w:t>Jednostką obmiarową jest km (kilometr) odtworzonej trasy w terenie.</w:t>
      </w:r>
    </w:p>
    <w:p w:rsidR="00E52B27" w:rsidRDefault="00E52B27" w:rsidP="00E52B27">
      <w:pPr>
        <w:tabs>
          <w:tab w:val="left" w:pos="0"/>
        </w:tabs>
        <w:jc w:val="both"/>
      </w:pPr>
      <w:r>
        <w:tab/>
        <w:t>Obmiar robót związanych z wyznaczeniem obiektów jest częścią obmiaru robót mostowych.</w:t>
      </w:r>
    </w:p>
    <w:p w:rsidR="00E52B27" w:rsidRDefault="00E52B27" w:rsidP="00E52B27">
      <w:pPr>
        <w:pStyle w:val="Nagwek1"/>
      </w:pPr>
      <w:r>
        <w:lastRenderedPageBreak/>
        <w:t>8. ODBIÓR ROBÓT</w:t>
      </w:r>
    </w:p>
    <w:p w:rsidR="00E52B27" w:rsidRDefault="00E52B27" w:rsidP="00E52B27">
      <w:pPr>
        <w:pStyle w:val="Nagwek2"/>
      </w:pPr>
      <w:r>
        <w:t>8.1. Ogólne zasady odbioru robót</w:t>
      </w:r>
    </w:p>
    <w:p w:rsidR="00E52B27" w:rsidRDefault="00E52B27" w:rsidP="00E52B27">
      <w:pPr>
        <w:tabs>
          <w:tab w:val="left" w:pos="0"/>
        </w:tabs>
        <w:jc w:val="both"/>
      </w:pPr>
      <w:r>
        <w:rPr>
          <w:b/>
        </w:rPr>
        <w:tab/>
      </w:r>
      <w:r>
        <w:t>Ogólne zasady odbioru robót podano w SST D-00.00.00 „Wymagania ogólne” pkt 8.</w:t>
      </w:r>
    </w:p>
    <w:p w:rsidR="00E52B27" w:rsidRDefault="00E52B27" w:rsidP="00E52B27">
      <w:pPr>
        <w:pStyle w:val="Nagwek2"/>
      </w:pPr>
      <w:r>
        <w:t>8.2. Sposób odbioru robót</w:t>
      </w:r>
    </w:p>
    <w:p w:rsidR="00E52B27" w:rsidRDefault="00E52B27" w:rsidP="00E52B27">
      <w:pPr>
        <w:tabs>
          <w:tab w:val="left" w:pos="0"/>
        </w:tabs>
        <w:jc w:val="both"/>
      </w:pPr>
      <w:r>
        <w:tab/>
        <w:t xml:space="preserve">Odbiór robót związanych z odtworzeniem trasy w terenie następuje na podstawie szkiców i dzienników pomiarów geodezyjnych lub </w:t>
      </w:r>
      <w:proofErr w:type="spellStart"/>
      <w:r>
        <w:t>protokółu</w:t>
      </w:r>
      <w:proofErr w:type="spellEnd"/>
      <w:r>
        <w:t xml:space="preserve"> z kontroli geodezyjnej, które Wykonawca przedkłada Inżynierowi.</w:t>
      </w:r>
    </w:p>
    <w:p w:rsidR="00E52B27" w:rsidRDefault="00E52B27" w:rsidP="00E52B27">
      <w:pPr>
        <w:pStyle w:val="Nagwek1"/>
      </w:pPr>
      <w:r>
        <w:t>9. PODSTAWA PŁATNOŚCI</w:t>
      </w:r>
    </w:p>
    <w:p w:rsidR="00E52B27" w:rsidRDefault="00E52B27" w:rsidP="00E52B27">
      <w:pPr>
        <w:pStyle w:val="Nagwek2"/>
      </w:pPr>
      <w:r>
        <w:t>9.1. Ogólne ustalenia dotyczące podstawy płatności</w:t>
      </w:r>
    </w:p>
    <w:p w:rsidR="00E52B27" w:rsidRDefault="00E52B27" w:rsidP="00E52B27">
      <w:pPr>
        <w:tabs>
          <w:tab w:val="left" w:pos="0"/>
        </w:tabs>
        <w:jc w:val="both"/>
      </w:pPr>
      <w:r>
        <w:tab/>
        <w:t>Ogólne ustalenia dotyczące podstawy płatności podano w SST D-00.00.00 „Wymagania ogólne” pkt 9.</w:t>
      </w:r>
    </w:p>
    <w:p w:rsidR="00E52B27" w:rsidRDefault="00E52B27" w:rsidP="00E52B27">
      <w:pPr>
        <w:pStyle w:val="Nagwek2"/>
      </w:pPr>
      <w:r>
        <w:t>9.2. Cena jednostki obmiarowej</w:t>
      </w:r>
    </w:p>
    <w:p w:rsidR="00E52B27" w:rsidRDefault="00E52B27" w:rsidP="00E52B27">
      <w:pPr>
        <w:tabs>
          <w:tab w:val="left" w:pos="0"/>
        </w:tabs>
        <w:jc w:val="both"/>
      </w:pPr>
      <w:r>
        <w:tab/>
        <w:t>Cena 1 km wykonania robót obejmuje:</w:t>
      </w:r>
    </w:p>
    <w:p w:rsidR="00E52B27" w:rsidRDefault="00E52B27" w:rsidP="00E52B27">
      <w:pPr>
        <w:numPr>
          <w:ilvl w:val="0"/>
          <w:numId w:val="1"/>
        </w:numPr>
        <w:tabs>
          <w:tab w:val="left" w:pos="0"/>
        </w:tabs>
        <w:jc w:val="both"/>
      </w:pPr>
      <w:r>
        <w:t>sprawdzenie wyznaczenia punktów głównych osi trasy i punktów wysokościowych,</w:t>
      </w:r>
    </w:p>
    <w:p w:rsidR="00E52B27" w:rsidRDefault="00E52B27" w:rsidP="00E52B27">
      <w:pPr>
        <w:numPr>
          <w:ilvl w:val="0"/>
          <w:numId w:val="1"/>
        </w:numPr>
        <w:tabs>
          <w:tab w:val="left" w:pos="0"/>
        </w:tabs>
        <w:jc w:val="both"/>
      </w:pPr>
      <w:r>
        <w:t>uzupełnienie osi trasy dodatkowymi punktami,</w:t>
      </w:r>
    </w:p>
    <w:p w:rsidR="00E52B27" w:rsidRDefault="00E52B27" w:rsidP="00E52B27">
      <w:pPr>
        <w:numPr>
          <w:ilvl w:val="0"/>
          <w:numId w:val="1"/>
        </w:numPr>
        <w:tabs>
          <w:tab w:val="left" w:pos="0"/>
        </w:tabs>
        <w:jc w:val="both"/>
      </w:pPr>
      <w:r>
        <w:t>wyznaczenie dodatkowych punktów wysokościowych,</w:t>
      </w:r>
    </w:p>
    <w:p w:rsidR="00E52B27" w:rsidRDefault="00E52B27" w:rsidP="00E52B27">
      <w:pPr>
        <w:numPr>
          <w:ilvl w:val="0"/>
          <w:numId w:val="1"/>
        </w:numPr>
        <w:tabs>
          <w:tab w:val="left" w:pos="0"/>
        </w:tabs>
        <w:jc w:val="both"/>
      </w:pPr>
      <w:r>
        <w:t>wyznaczenie przekrojów poprzecznych z ewentualnym wytyczeniem dodatkowych przekrojów,</w:t>
      </w:r>
    </w:p>
    <w:p w:rsidR="00E52B27" w:rsidRDefault="00E52B27" w:rsidP="00E52B27">
      <w:pPr>
        <w:numPr>
          <w:ilvl w:val="0"/>
          <w:numId w:val="1"/>
        </w:numPr>
        <w:tabs>
          <w:tab w:val="left" w:pos="0"/>
        </w:tabs>
        <w:jc w:val="both"/>
      </w:pPr>
      <w:proofErr w:type="spellStart"/>
      <w:r>
        <w:t>zastabilizowanie</w:t>
      </w:r>
      <w:proofErr w:type="spellEnd"/>
      <w:r>
        <w:t xml:space="preserve"> punktów w sposób trwały, ochrona ich przed zniszczeniem i oznakowanie ułatwiające odszukanie i ewentualne odtworzenie.</w:t>
      </w:r>
    </w:p>
    <w:p w:rsidR="00E52B27" w:rsidRDefault="00E52B27" w:rsidP="00E52B27">
      <w:pPr>
        <w:tabs>
          <w:tab w:val="left" w:pos="0"/>
        </w:tabs>
        <w:jc w:val="both"/>
      </w:pPr>
      <w:r>
        <w:tab/>
        <w:t>Płatność robót związanych z wyznaczeniem obiektów mostowych jest ujęta w koszcie robót mostowych.</w:t>
      </w:r>
    </w:p>
    <w:p w:rsidR="00E52B27" w:rsidRDefault="00E52B27" w:rsidP="00E52B27">
      <w:pPr>
        <w:tabs>
          <w:tab w:val="left" w:pos="0"/>
        </w:tabs>
        <w:jc w:val="both"/>
      </w:pPr>
    </w:p>
    <w:p w:rsidR="00E52B27" w:rsidRDefault="00E52B27" w:rsidP="00E52B27">
      <w:pPr>
        <w:pStyle w:val="Nagwek1"/>
      </w:pPr>
      <w:r>
        <w:t>10. PRZEPISY ZWIĄZANE</w:t>
      </w:r>
    </w:p>
    <w:p w:rsidR="00E52B27" w:rsidRDefault="00E52B27" w:rsidP="00E52B27">
      <w:pPr>
        <w:numPr>
          <w:ilvl w:val="0"/>
          <w:numId w:val="17"/>
        </w:numPr>
        <w:tabs>
          <w:tab w:val="left" w:pos="0"/>
        </w:tabs>
        <w:jc w:val="both"/>
      </w:pPr>
      <w:r>
        <w:t>Instrukcja techniczna 0-1. Ogólne zasady wykonywania prac geodezyjnych.</w:t>
      </w:r>
    </w:p>
    <w:p w:rsidR="00E52B27" w:rsidRDefault="00E52B27" w:rsidP="00E52B27">
      <w:pPr>
        <w:numPr>
          <w:ilvl w:val="0"/>
          <w:numId w:val="17"/>
        </w:numPr>
        <w:tabs>
          <w:tab w:val="left" w:pos="0"/>
        </w:tabs>
        <w:jc w:val="both"/>
      </w:pPr>
      <w:r>
        <w:t>Instrukcja techniczna G-3. Geodezyjna obsługa inwestycji, Główny Urząd Geodezji i Kartografii, Warszawa 1979.</w:t>
      </w:r>
    </w:p>
    <w:p w:rsidR="00E52B27" w:rsidRDefault="00E52B27" w:rsidP="00E52B27">
      <w:pPr>
        <w:numPr>
          <w:ilvl w:val="0"/>
          <w:numId w:val="17"/>
        </w:numPr>
        <w:tabs>
          <w:tab w:val="left" w:pos="0"/>
        </w:tabs>
        <w:jc w:val="both"/>
      </w:pPr>
      <w:r>
        <w:t xml:space="preserve">Instrukcja techniczna G-1. Geodezyjna osnowa pozioma, </w:t>
      </w:r>
      <w:proofErr w:type="spellStart"/>
      <w:r>
        <w:t>GUGiK</w:t>
      </w:r>
      <w:proofErr w:type="spellEnd"/>
      <w:r>
        <w:t xml:space="preserve"> 1978.</w:t>
      </w:r>
    </w:p>
    <w:p w:rsidR="00E52B27" w:rsidRDefault="00E52B27" w:rsidP="00E52B27">
      <w:pPr>
        <w:numPr>
          <w:ilvl w:val="0"/>
          <w:numId w:val="17"/>
        </w:numPr>
        <w:tabs>
          <w:tab w:val="left" w:pos="0"/>
        </w:tabs>
        <w:jc w:val="both"/>
      </w:pPr>
      <w:r>
        <w:t xml:space="preserve">Instrukcja techniczna G-2. Wysokościowa osnowa geodezyjna, </w:t>
      </w:r>
      <w:proofErr w:type="spellStart"/>
      <w:r>
        <w:t>GUGiK</w:t>
      </w:r>
      <w:proofErr w:type="spellEnd"/>
      <w:r>
        <w:t xml:space="preserve"> 1983.</w:t>
      </w:r>
    </w:p>
    <w:p w:rsidR="00E52B27" w:rsidRDefault="00E52B27" w:rsidP="00E52B27">
      <w:pPr>
        <w:numPr>
          <w:ilvl w:val="0"/>
          <w:numId w:val="17"/>
        </w:numPr>
        <w:tabs>
          <w:tab w:val="left" w:pos="0"/>
        </w:tabs>
        <w:jc w:val="both"/>
      </w:pPr>
      <w:r>
        <w:t xml:space="preserve">Instrukcja techniczna G-4. Pomiary sytuacyjne i wysokościowe, </w:t>
      </w:r>
      <w:proofErr w:type="spellStart"/>
      <w:r>
        <w:t>GUGiK</w:t>
      </w:r>
      <w:proofErr w:type="spellEnd"/>
      <w:r>
        <w:t xml:space="preserve"> 1979.</w:t>
      </w:r>
    </w:p>
    <w:p w:rsidR="00E52B27" w:rsidRDefault="00E52B27" w:rsidP="00E52B27">
      <w:pPr>
        <w:numPr>
          <w:ilvl w:val="0"/>
          <w:numId w:val="17"/>
        </w:numPr>
        <w:tabs>
          <w:tab w:val="left" w:pos="0"/>
        </w:tabs>
        <w:jc w:val="both"/>
      </w:pPr>
      <w:r>
        <w:t xml:space="preserve">Wytyczne techniczne G-3.2. Pomiary realizacyjne, </w:t>
      </w:r>
      <w:proofErr w:type="spellStart"/>
      <w:r>
        <w:t>GUGiK</w:t>
      </w:r>
      <w:proofErr w:type="spellEnd"/>
      <w:r>
        <w:t xml:space="preserve"> 1983.</w:t>
      </w:r>
    </w:p>
    <w:p w:rsidR="00E52B27" w:rsidRPr="00FB1495" w:rsidRDefault="00E52B27" w:rsidP="00E52B27">
      <w:pPr>
        <w:numPr>
          <w:ilvl w:val="0"/>
          <w:numId w:val="17"/>
        </w:numPr>
        <w:tabs>
          <w:tab w:val="left" w:pos="0"/>
        </w:tabs>
        <w:jc w:val="both"/>
        <w:rPr>
          <w:sz w:val="24"/>
        </w:rPr>
      </w:pPr>
      <w:r>
        <w:t xml:space="preserve">Wytyczne techniczne G-3.1. Osnowy realizacyjne, </w:t>
      </w:r>
      <w:proofErr w:type="spellStart"/>
      <w:r>
        <w:t>GUGiK</w:t>
      </w:r>
      <w:proofErr w:type="spellEnd"/>
      <w:r>
        <w:t xml:space="preserve"> 1983</w:t>
      </w:r>
    </w:p>
    <w:p w:rsidR="00E52B27" w:rsidRDefault="00E52B27" w:rsidP="00E52B27"/>
    <w:p w:rsidR="00E52B27" w:rsidRDefault="00E52B27"/>
    <w:p w:rsidR="00E52B27" w:rsidRDefault="00E52B27"/>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E52B27" w:rsidRDefault="00E52B27"/>
    <w:p w:rsidR="00E52B27" w:rsidRDefault="00E52B27" w:rsidP="00E52B27">
      <w:pPr>
        <w:pStyle w:val="Standardowytekst"/>
        <w:rPr>
          <w:b/>
          <w:sz w:val="28"/>
        </w:rPr>
      </w:pPr>
      <w:bookmarkStart w:id="35" w:name="_Hlk15765010"/>
      <w:r>
        <w:rPr>
          <w:b/>
          <w:sz w:val="28"/>
        </w:rPr>
        <w:lastRenderedPageBreak/>
        <w:t>D-01.02.01  USUNIĘCIE DRZEW I KRZAKÓW</w:t>
      </w:r>
    </w:p>
    <w:bookmarkEnd w:id="35"/>
    <w:p w:rsidR="00E52B27" w:rsidRDefault="00E52B27" w:rsidP="00E52B27">
      <w:pPr>
        <w:tabs>
          <w:tab w:val="left" w:pos="0"/>
        </w:tabs>
      </w:pPr>
    </w:p>
    <w:p w:rsidR="00E52B27" w:rsidRDefault="00E52B27" w:rsidP="00E52B27">
      <w:pPr>
        <w:pStyle w:val="Nagwek1"/>
      </w:pPr>
      <w:r>
        <w:t>1. WSTĘP</w:t>
      </w:r>
    </w:p>
    <w:p w:rsidR="00E52B27" w:rsidRDefault="00E52B27" w:rsidP="00E52B27">
      <w:pPr>
        <w:pStyle w:val="Nagwek2"/>
      </w:pPr>
      <w:r>
        <w:t>1.1.Przedmiot SST</w:t>
      </w:r>
    </w:p>
    <w:p w:rsidR="00E52B27" w:rsidRDefault="00E52B27" w:rsidP="00E52B27">
      <w:pPr>
        <w:tabs>
          <w:tab w:val="left" w:pos="0"/>
        </w:tabs>
      </w:pPr>
      <w:r>
        <w:rPr>
          <w:b/>
        </w:rPr>
        <w:tab/>
      </w:r>
      <w:r>
        <w:t>Przedmiotem niniejszej szczegółowej specyfikacji technicznej (SST) są wymagania dotyczące wykonania i odbioru robót związanych z usunięciem drzew i krzaków.</w:t>
      </w:r>
    </w:p>
    <w:p w:rsidR="00E52B27" w:rsidRDefault="00E52B27" w:rsidP="00E52B27">
      <w:pPr>
        <w:pStyle w:val="Nagwek2"/>
      </w:pPr>
      <w:r>
        <w:t>1.2. Zakres stosowania SST</w:t>
      </w:r>
    </w:p>
    <w:p w:rsidR="00E52B27" w:rsidRDefault="00E52B27" w:rsidP="00E52B27">
      <w:pPr>
        <w:tabs>
          <w:tab w:val="left" w:pos="0"/>
        </w:tabs>
      </w:pPr>
      <w:r>
        <w:tab/>
        <w:t xml:space="preserve">Szczegółowa specyfikacja techniczna (SST) stanowi obowiązującą podstawę jako dokument przetargowy i kontraktowy przy zlecaniu i realizacji robót. </w:t>
      </w:r>
    </w:p>
    <w:p w:rsidR="00E52B27" w:rsidRDefault="00E52B27" w:rsidP="00E52B27">
      <w:pPr>
        <w:pStyle w:val="Nagwek2"/>
      </w:pPr>
      <w:r>
        <w:t>1.3. Zakres robót objętych SST</w:t>
      </w:r>
    </w:p>
    <w:p w:rsidR="00E52B27" w:rsidRDefault="00E52B27" w:rsidP="00E52B27">
      <w:pPr>
        <w:tabs>
          <w:tab w:val="left" w:pos="0"/>
        </w:tabs>
      </w:pPr>
      <w:r>
        <w:rPr>
          <w:b/>
        </w:rPr>
        <w:tab/>
      </w:r>
      <w:r>
        <w:t>Ustalenia zawarte w niniejszej specyfikacji dotyczą zasad prowadzenia robót związanych z usunięciem drzew i krzaków, wykonywanych w ramach robót przygotowawczych.</w:t>
      </w:r>
    </w:p>
    <w:p w:rsidR="00E52B27" w:rsidRDefault="00E52B27" w:rsidP="00E52B27">
      <w:pPr>
        <w:pStyle w:val="Nagwek2"/>
      </w:pPr>
      <w:r>
        <w:t>1.4. Określenia podstawowe</w:t>
      </w:r>
    </w:p>
    <w:p w:rsidR="00E52B27" w:rsidRDefault="00E52B27" w:rsidP="00E52B27">
      <w:pPr>
        <w:tabs>
          <w:tab w:val="left" w:pos="0"/>
        </w:tabs>
      </w:pPr>
      <w:r>
        <w:tab/>
        <w:t>Stosowane określenia podstawowe są zgodne z obowiązującymi, odpowiednimi polskimi normami oraz z definicjami podanymi w SST D-00.00.00 „Wymagania ogólne” pkt 1.4.</w:t>
      </w:r>
    </w:p>
    <w:p w:rsidR="00E52B27" w:rsidRDefault="00E52B27" w:rsidP="00E52B27">
      <w:pPr>
        <w:pStyle w:val="Nagwek2"/>
      </w:pPr>
      <w:r>
        <w:t>1.5. Ogólne wymagania dotyczące robót</w:t>
      </w:r>
    </w:p>
    <w:p w:rsidR="00E52B27" w:rsidRDefault="00E52B27" w:rsidP="00E52B27">
      <w:pPr>
        <w:tabs>
          <w:tab w:val="left" w:pos="0"/>
        </w:tabs>
      </w:pPr>
      <w:r>
        <w:tab/>
        <w:t>Ogólne wymagania dotyczące robót podano w SST D-00.00.00 „Wymagania ogólne” pkt 1.5.</w:t>
      </w:r>
    </w:p>
    <w:p w:rsidR="00E52B27" w:rsidRDefault="00E52B27" w:rsidP="00E52B27">
      <w:pPr>
        <w:pStyle w:val="Nagwek1"/>
      </w:pPr>
      <w:r>
        <w:t>2. MATERIAŁY</w:t>
      </w:r>
    </w:p>
    <w:p w:rsidR="00E52B27" w:rsidRDefault="00E52B27" w:rsidP="00E52B27">
      <w:pPr>
        <w:tabs>
          <w:tab w:val="left" w:pos="0"/>
        </w:tabs>
      </w:pPr>
      <w:r>
        <w:rPr>
          <w:b/>
        </w:rPr>
        <w:tab/>
      </w:r>
      <w:r>
        <w:t>Nie występują.</w:t>
      </w:r>
    </w:p>
    <w:p w:rsidR="00E52B27" w:rsidRDefault="00E52B27" w:rsidP="00E52B27">
      <w:pPr>
        <w:pStyle w:val="Nagwek1"/>
      </w:pPr>
      <w:r>
        <w:t>3. SPRZĘT</w:t>
      </w:r>
    </w:p>
    <w:p w:rsidR="00E52B27" w:rsidRDefault="00E52B27" w:rsidP="00E52B27">
      <w:pPr>
        <w:pStyle w:val="Nagwek2"/>
      </w:pPr>
      <w:r>
        <w:t>3.1. Ogólne wymagania dotyczące sprzętu</w:t>
      </w:r>
    </w:p>
    <w:p w:rsidR="00E52B27" w:rsidRDefault="00E52B27" w:rsidP="00E52B27">
      <w:pPr>
        <w:tabs>
          <w:tab w:val="left" w:pos="0"/>
        </w:tabs>
      </w:pPr>
      <w:r>
        <w:tab/>
        <w:t>Ogólne wymagania dotyczące sprzętu podano w SST D -00.00.00 „Wymagania ogólne” pkt 3.</w:t>
      </w:r>
    </w:p>
    <w:p w:rsidR="00E52B27" w:rsidRDefault="00E52B27" w:rsidP="00E52B27">
      <w:pPr>
        <w:pStyle w:val="Nagwek2"/>
      </w:pPr>
      <w:r>
        <w:t>3.2. Sprzęt do usuwania drzew i krzaków</w:t>
      </w:r>
    </w:p>
    <w:p w:rsidR="00E52B27" w:rsidRDefault="00E52B27" w:rsidP="00E52B27">
      <w:pPr>
        <w:tabs>
          <w:tab w:val="left" w:pos="0"/>
        </w:tabs>
      </w:pPr>
      <w:r>
        <w:tab/>
        <w:t>Do wykonywania robót związanych z usunięciem drzew i krzaków należy stosować:</w:t>
      </w:r>
    </w:p>
    <w:p w:rsidR="00E52B27" w:rsidRDefault="00E52B27" w:rsidP="00E52B27">
      <w:pPr>
        <w:numPr>
          <w:ilvl w:val="0"/>
          <w:numId w:val="1"/>
        </w:numPr>
        <w:tabs>
          <w:tab w:val="left" w:pos="0"/>
        </w:tabs>
        <w:overflowPunct w:val="0"/>
        <w:autoSpaceDE w:val="0"/>
        <w:autoSpaceDN w:val="0"/>
        <w:adjustRightInd w:val="0"/>
        <w:ind w:left="363"/>
        <w:jc w:val="both"/>
        <w:textAlignment w:val="baseline"/>
        <w:rPr>
          <w:b/>
        </w:rPr>
      </w:pPr>
      <w:r>
        <w:t>piły mechaniczne,</w:t>
      </w:r>
    </w:p>
    <w:p w:rsidR="00E52B27" w:rsidRDefault="00E52B27" w:rsidP="00E52B27">
      <w:pPr>
        <w:numPr>
          <w:ilvl w:val="0"/>
          <w:numId w:val="1"/>
        </w:numPr>
        <w:tabs>
          <w:tab w:val="left" w:pos="0"/>
        </w:tabs>
        <w:overflowPunct w:val="0"/>
        <w:autoSpaceDE w:val="0"/>
        <w:autoSpaceDN w:val="0"/>
        <w:adjustRightInd w:val="0"/>
        <w:ind w:left="363"/>
        <w:jc w:val="both"/>
        <w:textAlignment w:val="baseline"/>
        <w:rPr>
          <w:b/>
        </w:rPr>
      </w:pPr>
      <w:r>
        <w:t>specjalne maszyny przeznaczone do karczowania pni oraz ich usunięcia z pasa drogowego,</w:t>
      </w:r>
    </w:p>
    <w:p w:rsidR="00E52B27" w:rsidRDefault="00E52B27" w:rsidP="00E52B27">
      <w:pPr>
        <w:numPr>
          <w:ilvl w:val="0"/>
          <w:numId w:val="1"/>
        </w:numPr>
        <w:tabs>
          <w:tab w:val="left" w:pos="0"/>
        </w:tabs>
        <w:overflowPunct w:val="0"/>
        <w:autoSpaceDE w:val="0"/>
        <w:autoSpaceDN w:val="0"/>
        <w:adjustRightInd w:val="0"/>
        <w:ind w:left="363"/>
        <w:jc w:val="both"/>
        <w:textAlignment w:val="baseline"/>
        <w:rPr>
          <w:b/>
        </w:rPr>
      </w:pPr>
      <w:r>
        <w:t>spycharki,</w:t>
      </w:r>
    </w:p>
    <w:p w:rsidR="00E52B27" w:rsidRDefault="00E52B27" w:rsidP="00E52B27">
      <w:pPr>
        <w:numPr>
          <w:ilvl w:val="0"/>
          <w:numId w:val="1"/>
        </w:numPr>
        <w:tabs>
          <w:tab w:val="left" w:pos="0"/>
        </w:tabs>
        <w:overflowPunct w:val="0"/>
        <w:autoSpaceDE w:val="0"/>
        <w:autoSpaceDN w:val="0"/>
        <w:adjustRightInd w:val="0"/>
        <w:ind w:left="363"/>
        <w:jc w:val="both"/>
        <w:textAlignment w:val="baseline"/>
        <w:rPr>
          <w:b/>
        </w:rPr>
      </w:pPr>
      <w:r>
        <w:t>koparki lub ciągniki ze specjalnym osprzętem do prowadzenia prac związanych z wyrębem drzew.</w:t>
      </w:r>
    </w:p>
    <w:p w:rsidR="00E52B27" w:rsidRDefault="00E52B27" w:rsidP="00E52B27">
      <w:pPr>
        <w:pStyle w:val="Nagwek1"/>
      </w:pPr>
      <w:r>
        <w:t>4. TRANSPORT</w:t>
      </w:r>
    </w:p>
    <w:p w:rsidR="00E52B27" w:rsidRDefault="00E52B27" w:rsidP="00E52B27">
      <w:pPr>
        <w:pStyle w:val="Nagwek2"/>
      </w:pPr>
      <w:r>
        <w:t>4.1. Ogólne wymagania dotyczące transportu</w:t>
      </w:r>
    </w:p>
    <w:p w:rsidR="00E52B27" w:rsidRDefault="00E52B27" w:rsidP="00E52B27">
      <w:pPr>
        <w:tabs>
          <w:tab w:val="left" w:pos="0"/>
        </w:tabs>
      </w:pPr>
      <w:r>
        <w:tab/>
        <w:t>Ogólne wymagania dotyczące transportu podano w SST D-00.00.00 „Wymagania ogólne” pkt 4.</w:t>
      </w:r>
    </w:p>
    <w:p w:rsidR="00E52B27" w:rsidRDefault="00E52B27" w:rsidP="00E52B27">
      <w:pPr>
        <w:pStyle w:val="Nagwek2"/>
      </w:pPr>
      <w:r>
        <w:t>4.2. Transport pni i karpiny</w:t>
      </w:r>
    </w:p>
    <w:p w:rsidR="00E52B27" w:rsidRDefault="00E52B27" w:rsidP="00E52B27">
      <w:pPr>
        <w:tabs>
          <w:tab w:val="left" w:pos="0"/>
        </w:tabs>
      </w:pPr>
      <w:r>
        <w:tab/>
        <w:t>Pnie, karpinę oraz gałęzie należy przewozić transportem samochodowym.</w:t>
      </w:r>
    </w:p>
    <w:p w:rsidR="00E52B27" w:rsidRDefault="00E52B27" w:rsidP="00E52B27">
      <w:pPr>
        <w:tabs>
          <w:tab w:val="left" w:pos="0"/>
        </w:tabs>
      </w:pPr>
      <w:r>
        <w:tab/>
        <w:t>Pnie przedstawiające wartość jako materiał użytkowy (np. budowlany, meblarski itp.) powinny być transportowane w sposób nie powodujący ich uszkodzeń.</w:t>
      </w:r>
    </w:p>
    <w:p w:rsidR="00E52B27" w:rsidRDefault="00E52B27" w:rsidP="00E52B27">
      <w:pPr>
        <w:pStyle w:val="Nagwek1"/>
      </w:pPr>
      <w:r>
        <w:t>5. WYKONANIE ROBÓT</w:t>
      </w:r>
    </w:p>
    <w:p w:rsidR="00E52B27" w:rsidRDefault="00E52B27" w:rsidP="00E52B27">
      <w:pPr>
        <w:pStyle w:val="Nagwek2"/>
      </w:pPr>
      <w:r>
        <w:t>5.1. Ogólne zasady wykonania robót</w:t>
      </w:r>
    </w:p>
    <w:p w:rsidR="00E52B27" w:rsidRDefault="00E52B27" w:rsidP="00E52B27">
      <w:pPr>
        <w:tabs>
          <w:tab w:val="left" w:pos="0"/>
        </w:tabs>
      </w:pPr>
      <w:r>
        <w:tab/>
        <w:t>Ogólne zasady wykonania robót podano w SST D-00.00.00 „Wymagania ogólne” pkt 5.</w:t>
      </w:r>
    </w:p>
    <w:p w:rsidR="00E52B27" w:rsidRDefault="00E52B27" w:rsidP="00E52B27">
      <w:pPr>
        <w:pStyle w:val="Nagwek2"/>
      </w:pPr>
      <w:r>
        <w:t>5.2. Zasady oczyszczania terenu z drzew i krzaków</w:t>
      </w:r>
    </w:p>
    <w:p w:rsidR="00E52B27" w:rsidRDefault="00E52B27" w:rsidP="00E52B27">
      <w:pPr>
        <w:tabs>
          <w:tab w:val="left" w:pos="0"/>
        </w:tabs>
      </w:pPr>
      <w:r>
        <w:tab/>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E52B27" w:rsidRDefault="00E52B27" w:rsidP="00E52B27">
      <w:pPr>
        <w:tabs>
          <w:tab w:val="left" w:pos="0"/>
        </w:tabs>
      </w:pPr>
      <w:r>
        <w:tab/>
        <w:t xml:space="preserve">Teren pod budowę drogi w pasie robót ziemnych, w miejscach </w:t>
      </w:r>
      <w:proofErr w:type="spellStart"/>
      <w:r>
        <w:t>dokopów</w:t>
      </w:r>
      <w:proofErr w:type="spellEnd"/>
      <w:r>
        <w:t xml:space="preserve"> i w innych miejscach wskazanych w dokumentacji projektowej, powinien być oczyszczony z drzew i krzaków.</w:t>
      </w:r>
    </w:p>
    <w:p w:rsidR="00E52B27" w:rsidRDefault="00E52B27" w:rsidP="00E52B27">
      <w:pPr>
        <w:tabs>
          <w:tab w:val="left" w:pos="0"/>
        </w:tabs>
      </w:pPr>
      <w:r>
        <w:tab/>
        <w:t>Zgoda na prace związane z usunięciem drzew i krzaków powinna być uzyskana przez  Zamawiającego.</w:t>
      </w:r>
    </w:p>
    <w:p w:rsidR="00E52B27" w:rsidRDefault="00E52B27" w:rsidP="00E52B27">
      <w:pPr>
        <w:tabs>
          <w:tab w:val="left" w:pos="0"/>
        </w:tabs>
      </w:pPr>
      <w:r>
        <w:lastRenderedPageBreak/>
        <w:tab/>
        <w:t>Wycinkę drzew o właściwościach materiału użytkowego należy wykonywać w tzw. sezonie rębnym, ustalonym przez Inżyniera.</w:t>
      </w:r>
    </w:p>
    <w:p w:rsidR="00E52B27" w:rsidRDefault="00E52B27" w:rsidP="00E52B27">
      <w:pPr>
        <w:tabs>
          <w:tab w:val="left" w:pos="0"/>
        </w:tabs>
      </w:pPr>
      <w:r>
        <w:tab/>
        <w:t xml:space="preserve">W miejscach </w:t>
      </w:r>
      <w:proofErr w:type="spellStart"/>
      <w:r>
        <w:t>dokopów</w:t>
      </w:r>
      <w:proofErr w:type="spellEnd"/>
      <w: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E52B27" w:rsidRDefault="00E52B27" w:rsidP="00E52B27">
      <w:pPr>
        <w:tabs>
          <w:tab w:val="left" w:pos="0"/>
        </w:tabs>
      </w:pPr>
      <w:r>
        <w:tab/>
        <w:t xml:space="preserve">W miejscach nasypów teren należy oczyścić tak, aby części roślinności nie znajdowały się na głębokości do </w:t>
      </w:r>
      <w:smartTag w:uri="urn:schemas-microsoft-com:office:smarttags" w:element="metricconverter">
        <w:smartTagPr>
          <w:attr w:name="ProductID" w:val="60 cm"/>
        </w:smartTagPr>
        <w:r>
          <w:t>60 cm</w:t>
        </w:r>
      </w:smartTag>
      <w:r>
        <w:t xml:space="preserve"> poniżej niwelety robót ziemnych i linii skarp nasypu, z wyjątkiem przypadków podanych w punkcie 5.3.</w:t>
      </w:r>
    </w:p>
    <w:p w:rsidR="00E52B27" w:rsidRDefault="00E52B27" w:rsidP="00E52B27">
      <w:pPr>
        <w:tabs>
          <w:tab w:val="left" w:pos="0"/>
        </w:tabs>
      </w:pPr>
      <w:r>
        <w:tab/>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E52B27" w:rsidRDefault="00E52B27" w:rsidP="00E52B27">
      <w:pPr>
        <w:pStyle w:val="Nagwek2"/>
      </w:pPr>
      <w:r>
        <w:t>5.3. Usunięcie drzew i krzaków</w:t>
      </w:r>
    </w:p>
    <w:p w:rsidR="00E52B27" w:rsidRDefault="00E52B27" w:rsidP="00E52B27">
      <w:pPr>
        <w:tabs>
          <w:tab w:val="left" w:pos="0"/>
        </w:tabs>
        <w:rPr>
          <w:b/>
        </w:rPr>
      </w:pPr>
      <w:r>
        <w:rPr>
          <w:b/>
        </w:rPr>
        <w:tab/>
      </w:r>
      <w:r>
        <w:t>Pnie drzew i krzaków znajdujące się w pasie robót ziemnych, powinny być wykarczowane, za wyjątkiem następujących przypadków:</w:t>
      </w:r>
    </w:p>
    <w:p w:rsidR="00E52B27" w:rsidRDefault="00E52B27" w:rsidP="00E52B27">
      <w:pPr>
        <w:numPr>
          <w:ilvl w:val="0"/>
          <w:numId w:val="18"/>
        </w:numPr>
        <w:tabs>
          <w:tab w:val="left" w:pos="0"/>
        </w:tabs>
        <w:overflowPunct w:val="0"/>
        <w:autoSpaceDE w:val="0"/>
        <w:autoSpaceDN w:val="0"/>
        <w:adjustRightInd w:val="0"/>
        <w:jc w:val="both"/>
        <w:textAlignment w:val="baseline"/>
      </w:pPr>
      <w:r>
        <w:t xml:space="preserve">w obrębie nasypów - jeżeli średnica pni jest mniejsza od </w:t>
      </w:r>
      <w:smartTag w:uri="urn:schemas-microsoft-com:office:smarttags" w:element="metricconverter">
        <w:smartTagPr>
          <w:attr w:name="ProductID" w:val="8 cm"/>
        </w:smartTagPr>
        <w:r>
          <w:t>8 cm</w:t>
        </w:r>
      </w:smartTag>
      <w:r>
        <w:t xml:space="preserve"> i istniejąca rzędna terenu w tym miejscu znajduje się co najmniej </w:t>
      </w:r>
      <w:smartTag w:uri="urn:schemas-microsoft-com:office:smarttags" w:element="metricconverter">
        <w:smartTagPr>
          <w:attr w:name="ProductID" w:val="2 metry"/>
        </w:smartTagPr>
        <w:r>
          <w:t>2 metry</w:t>
        </w:r>
      </w:smartTag>
      <w: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t>10 cm</w:t>
        </w:r>
      </w:smartTag>
      <w:r>
        <w:t xml:space="preserve"> ponad powierzchnią terenu. Powyższe odstępstwo od ogólnej zasady, wymagającej karczowania pni, nie ma zastosowania, jeżeli przewidziano stopniowanie powierzchni terenu pod podstawę nasypu,</w:t>
      </w:r>
    </w:p>
    <w:p w:rsidR="00E52B27" w:rsidRDefault="00E52B27" w:rsidP="00E52B27">
      <w:pPr>
        <w:numPr>
          <w:ilvl w:val="0"/>
          <w:numId w:val="18"/>
        </w:numPr>
        <w:tabs>
          <w:tab w:val="left" w:pos="0"/>
        </w:tabs>
        <w:overflowPunct w:val="0"/>
        <w:autoSpaceDE w:val="0"/>
        <w:autoSpaceDN w:val="0"/>
        <w:adjustRightInd w:val="0"/>
        <w:jc w:val="both"/>
        <w:textAlignment w:val="baseline"/>
      </w:pPr>
      <w:r>
        <w:t>w obrębie wyokrąglenia skarpy wykopu przecinającego się z terenem. W tym przypadku pnie powinny być ścięte równo z powierzchnią skarpy albo poniżej jej poziomu.</w:t>
      </w:r>
    </w:p>
    <w:p w:rsidR="00E52B27" w:rsidRDefault="00E52B27" w:rsidP="00E52B27">
      <w:pPr>
        <w:tabs>
          <w:tab w:val="left" w:pos="0"/>
        </w:tabs>
      </w:pPr>
      <w:r>
        <w:tab/>
        <w:t>Poza miejscami wykopów doły po wykarczowanych pniach należy wypełnić gruntem przydatnym do budowy nasypów i zagęścić, zgodnie z wymaganiami zawartymi w SST D-02.00.00 „Roboty ziemne”.</w:t>
      </w:r>
    </w:p>
    <w:p w:rsidR="00E52B27" w:rsidRDefault="00E52B27" w:rsidP="00E52B27">
      <w:pPr>
        <w:tabs>
          <w:tab w:val="left" w:pos="0"/>
        </w:tabs>
      </w:pPr>
      <w:r>
        <w:tab/>
        <w:t>Doły w obrębie przewidywanych wykopów, należy tymczasowo zabezpieczyć przed gromadzeniem się w nich wody.</w:t>
      </w:r>
    </w:p>
    <w:p w:rsidR="00E52B27" w:rsidRDefault="00E52B27" w:rsidP="00E52B27">
      <w:pPr>
        <w:tabs>
          <w:tab w:val="left" w:pos="0"/>
        </w:tabs>
      </w:pPr>
      <w:r>
        <w:tab/>
        <w:t>Wykonawca ma obowiązek prowadzenia robót w taki sposób, aby drzewa przedstawiające wartość jako materiał użytkowy (np. budowlany, meblarski itp.) nie utraciły tej właściwości w czasie robót.</w:t>
      </w:r>
    </w:p>
    <w:p w:rsidR="00E52B27" w:rsidRDefault="00E52B27" w:rsidP="00E52B27">
      <w:pPr>
        <w:tabs>
          <w:tab w:val="left" w:pos="0"/>
        </w:tabs>
      </w:pPr>
      <w:r>
        <w:tab/>
        <w:t>Młode drzewa i inne rośliny przewidziane do ponownego sadzenia powinny być wykopane z dużą ostrożnością, w sposób który nie spowoduje trwałych uszkodzeń, a następnie zasadzone w odpowiednim gruncie.</w:t>
      </w:r>
    </w:p>
    <w:p w:rsidR="00E52B27" w:rsidRDefault="00E52B27" w:rsidP="00E52B27">
      <w:pPr>
        <w:pStyle w:val="Nagwek2"/>
      </w:pPr>
      <w:r>
        <w:t>5.4. Zniszczenie pozostałości po usuniętej roślinności</w:t>
      </w:r>
    </w:p>
    <w:p w:rsidR="00E52B27" w:rsidRDefault="00E52B27" w:rsidP="00E52B27">
      <w:pPr>
        <w:tabs>
          <w:tab w:val="left" w:pos="0"/>
        </w:tabs>
      </w:pPr>
      <w:r>
        <w:tab/>
        <w:t>Sposób zniszczenia pozostałości po usuniętej roślinności powinien być zgodny z ustaleniami SST lub wskazaniami Inżyniera.</w:t>
      </w:r>
    </w:p>
    <w:p w:rsidR="00E52B27" w:rsidRDefault="00E52B27" w:rsidP="00E52B27">
      <w:pPr>
        <w:tabs>
          <w:tab w:val="left" w:pos="0"/>
        </w:tabs>
      </w:pPr>
      <w:r>
        <w:tab/>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E52B27" w:rsidRDefault="00E52B27" w:rsidP="00E52B27">
      <w:pPr>
        <w:tabs>
          <w:tab w:val="left" w:pos="0"/>
        </w:tabs>
      </w:pPr>
      <w:r>
        <w:tab/>
        <w:t>Jeżeli dopuszczono spalanie roślinności usuniętej w czasie robót przygotowawczych Wykonawca ma obowiązek zadbać, aby odbyło się ono z zachowaniem wszystkich wymogów bezpieczeństwa i odpowiednich przepisów.</w:t>
      </w:r>
    </w:p>
    <w:p w:rsidR="00E52B27" w:rsidRDefault="00E52B27" w:rsidP="00E52B27">
      <w:pPr>
        <w:tabs>
          <w:tab w:val="left" w:pos="0"/>
        </w:tabs>
      </w:pPr>
      <w:r>
        <w:tab/>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E52B27" w:rsidRDefault="00E52B27" w:rsidP="00E52B27">
      <w:pPr>
        <w:tabs>
          <w:tab w:val="left" w:pos="0"/>
        </w:tabs>
      </w:pPr>
      <w:r>
        <w:tab/>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E52B27" w:rsidRDefault="00E52B27" w:rsidP="00E52B27">
      <w:pPr>
        <w:tabs>
          <w:tab w:val="left" w:pos="0"/>
        </w:tabs>
      </w:pPr>
      <w:r>
        <w:tab/>
        <w:t xml:space="preserve">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w:t>
      </w:r>
      <w:smartTag w:uri="urn:schemas-microsoft-com:office:smarttags" w:element="metricconverter">
        <w:smartTagPr>
          <w:attr w:name="ProductID" w:val="30 cm"/>
        </w:smartTagPr>
        <w:r>
          <w:t>30 cm</w:t>
        </w:r>
      </w:smartTag>
      <w:r>
        <w:t xml:space="preserve"> i powinna być odpowiednio wyrównana i zagęszczona. Pozostałości po spaleniu nie mogą być zakopywane pod rowami odwadniającymi ani pod jakimikolwiek obszarami, na których odbywa się przepływ wód powierzchniowych.</w:t>
      </w:r>
    </w:p>
    <w:p w:rsidR="00E52B27" w:rsidRDefault="00E52B27" w:rsidP="00E52B27">
      <w:pPr>
        <w:pStyle w:val="Nagwek1"/>
      </w:pPr>
      <w:r>
        <w:t>6. KONTROLA JAKOŚCI ROBÓT</w:t>
      </w:r>
    </w:p>
    <w:p w:rsidR="00E52B27" w:rsidRDefault="00E52B27" w:rsidP="00E52B27">
      <w:pPr>
        <w:pStyle w:val="Nagwek2"/>
      </w:pPr>
      <w:r>
        <w:t>6.1. Ogólne zasady kontroli jakości robót</w:t>
      </w:r>
    </w:p>
    <w:p w:rsidR="00E52B27" w:rsidRDefault="00E52B27" w:rsidP="00E52B27">
      <w:pPr>
        <w:tabs>
          <w:tab w:val="left" w:pos="0"/>
        </w:tabs>
      </w:pPr>
      <w:r>
        <w:tab/>
        <w:t>Ogólne zasady kontroli jakości robót podano w SST D-00.00.00 „Wymagania ogólne” pkt 6.</w:t>
      </w:r>
    </w:p>
    <w:p w:rsidR="00E52B27" w:rsidRDefault="00E52B27" w:rsidP="00E52B27">
      <w:pPr>
        <w:pStyle w:val="Nagwek2"/>
      </w:pPr>
      <w:r>
        <w:lastRenderedPageBreak/>
        <w:t>6.2. Kontrola robót przy usuwaniu drzew i krzaków</w:t>
      </w:r>
    </w:p>
    <w:p w:rsidR="00E52B27" w:rsidRDefault="00E52B27" w:rsidP="00E52B27">
      <w:pPr>
        <w:tabs>
          <w:tab w:val="left" w:pos="0"/>
        </w:tabs>
      </w:pPr>
      <w:r>
        <w:rPr>
          <w:b/>
        </w:rPr>
        <w:tab/>
      </w:r>
      <w: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E52B27" w:rsidRDefault="00E52B27" w:rsidP="00E52B27">
      <w:pPr>
        <w:pStyle w:val="Nagwek1"/>
      </w:pPr>
      <w:r>
        <w:t>7. OBMIAR ROBÓT</w:t>
      </w:r>
    </w:p>
    <w:p w:rsidR="00E52B27" w:rsidRDefault="00E52B27" w:rsidP="00E52B27">
      <w:pPr>
        <w:pStyle w:val="Nagwek2"/>
      </w:pPr>
      <w:r>
        <w:t>7.1. Ogólne zasady obmiaru robót</w:t>
      </w:r>
    </w:p>
    <w:p w:rsidR="00E52B27" w:rsidRDefault="00E52B27" w:rsidP="00E52B27">
      <w:pPr>
        <w:tabs>
          <w:tab w:val="left" w:pos="0"/>
        </w:tabs>
      </w:pPr>
      <w:r>
        <w:rPr>
          <w:b/>
        </w:rPr>
        <w:tab/>
      </w:r>
      <w:r>
        <w:t>Ogólne zasady obmiaru robót podano w OST D-M-00.00.00 „Wymagania ogólne” pkt 7.</w:t>
      </w:r>
    </w:p>
    <w:p w:rsidR="00E52B27" w:rsidRDefault="00E52B27" w:rsidP="00E52B27">
      <w:pPr>
        <w:pStyle w:val="Nagwek2"/>
      </w:pPr>
      <w:r>
        <w:t>7.2. Jednostka obmiarowa</w:t>
      </w:r>
    </w:p>
    <w:p w:rsidR="00E52B27" w:rsidRDefault="00E52B27" w:rsidP="00E52B27">
      <w:pPr>
        <w:tabs>
          <w:tab w:val="left" w:pos="0"/>
        </w:tabs>
      </w:pPr>
      <w:r>
        <w:tab/>
        <w:t>Jednostką obmiarową robót związanych z usunięciem drzew i krzaków jest:</w:t>
      </w:r>
    </w:p>
    <w:p w:rsidR="00E52B27" w:rsidRDefault="00E52B27" w:rsidP="00E52B27">
      <w:pPr>
        <w:numPr>
          <w:ilvl w:val="0"/>
          <w:numId w:val="1"/>
        </w:numPr>
        <w:tabs>
          <w:tab w:val="left" w:pos="0"/>
        </w:tabs>
        <w:overflowPunct w:val="0"/>
        <w:autoSpaceDE w:val="0"/>
        <w:autoSpaceDN w:val="0"/>
        <w:adjustRightInd w:val="0"/>
        <w:jc w:val="both"/>
        <w:textAlignment w:val="baseline"/>
      </w:pPr>
      <w:r>
        <w:t>dla drzew</w:t>
      </w:r>
      <w:r>
        <w:tab/>
        <w:t>- sztuka,</w:t>
      </w:r>
    </w:p>
    <w:p w:rsidR="00E52B27" w:rsidRDefault="00E52B27" w:rsidP="00E52B27">
      <w:pPr>
        <w:numPr>
          <w:ilvl w:val="0"/>
          <w:numId w:val="1"/>
        </w:numPr>
        <w:tabs>
          <w:tab w:val="left" w:pos="0"/>
        </w:tabs>
        <w:overflowPunct w:val="0"/>
        <w:autoSpaceDE w:val="0"/>
        <w:autoSpaceDN w:val="0"/>
        <w:adjustRightInd w:val="0"/>
        <w:jc w:val="both"/>
        <w:textAlignment w:val="baseline"/>
      </w:pPr>
      <w:r>
        <w:t>dla krzaków</w:t>
      </w:r>
      <w:r>
        <w:tab/>
        <w:t>- hektar.</w:t>
      </w:r>
    </w:p>
    <w:p w:rsidR="00E52B27" w:rsidRDefault="00E52B27" w:rsidP="00E52B27">
      <w:pPr>
        <w:pStyle w:val="Nagwek1"/>
        <w:numPr>
          <w:ilvl w:val="12"/>
          <w:numId w:val="0"/>
        </w:numPr>
      </w:pPr>
      <w:r>
        <w:t>8. ODBIÓR ROBÓT</w:t>
      </w:r>
    </w:p>
    <w:p w:rsidR="00E52B27" w:rsidRDefault="00E52B27" w:rsidP="00E52B27">
      <w:pPr>
        <w:pStyle w:val="Nagwek2"/>
        <w:numPr>
          <w:ilvl w:val="12"/>
          <w:numId w:val="0"/>
        </w:numPr>
      </w:pPr>
      <w:r>
        <w:t>8.1. Ogólne zasady odbioru robót</w:t>
      </w:r>
    </w:p>
    <w:p w:rsidR="00E52B27" w:rsidRDefault="00E52B27" w:rsidP="00E52B27">
      <w:pPr>
        <w:numPr>
          <w:ilvl w:val="12"/>
          <w:numId w:val="0"/>
        </w:numPr>
        <w:tabs>
          <w:tab w:val="left" w:pos="0"/>
        </w:tabs>
      </w:pPr>
      <w:r>
        <w:rPr>
          <w:b/>
        </w:rPr>
        <w:tab/>
      </w:r>
      <w:r>
        <w:t>Ogólne zasady odbioru robót podano w SST D-00.00.00 „Wymagania ogólne” pkt 8.</w:t>
      </w:r>
    </w:p>
    <w:p w:rsidR="00E52B27" w:rsidRDefault="00E52B27" w:rsidP="00E52B27">
      <w:pPr>
        <w:pStyle w:val="Nagwek2"/>
        <w:numPr>
          <w:ilvl w:val="12"/>
          <w:numId w:val="0"/>
        </w:numPr>
      </w:pPr>
      <w:r>
        <w:t>8.2. Odbiór robót zanikających i ulegających zakryciu</w:t>
      </w:r>
    </w:p>
    <w:p w:rsidR="00E52B27" w:rsidRDefault="00E52B27" w:rsidP="00E52B27">
      <w:pPr>
        <w:numPr>
          <w:ilvl w:val="12"/>
          <w:numId w:val="0"/>
        </w:numPr>
        <w:tabs>
          <w:tab w:val="left" w:pos="0"/>
        </w:tabs>
      </w:pPr>
      <w:r>
        <w:tab/>
        <w:t>Odbiorowi robót zanikających i ulegających zakryciu podlega sprawdzenie dołów po wykarczowanych pniach, przed ich zasypaniem.</w:t>
      </w:r>
    </w:p>
    <w:p w:rsidR="00E52B27" w:rsidRDefault="00E52B27" w:rsidP="00E52B27">
      <w:pPr>
        <w:pStyle w:val="Nagwek1"/>
        <w:numPr>
          <w:ilvl w:val="12"/>
          <w:numId w:val="0"/>
        </w:numPr>
      </w:pPr>
      <w:r>
        <w:t>9. PODSTAWA PŁATNOŚCI</w:t>
      </w:r>
    </w:p>
    <w:p w:rsidR="00E52B27" w:rsidRDefault="00E52B27" w:rsidP="00E52B27">
      <w:pPr>
        <w:pStyle w:val="Nagwek2"/>
        <w:numPr>
          <w:ilvl w:val="12"/>
          <w:numId w:val="0"/>
        </w:numPr>
      </w:pPr>
      <w:r>
        <w:t>9.1. Ogólne ustalenia dotyczące podstawy płatności</w:t>
      </w:r>
    </w:p>
    <w:p w:rsidR="00E52B27" w:rsidRDefault="00E52B27" w:rsidP="00E52B27">
      <w:pPr>
        <w:numPr>
          <w:ilvl w:val="12"/>
          <w:numId w:val="0"/>
        </w:numPr>
        <w:tabs>
          <w:tab w:val="left" w:pos="0"/>
        </w:tabs>
      </w:pPr>
      <w:r>
        <w:tab/>
        <w:t>Ogólne ustalenia dotyczące podstawy płatności podano w SST D-M-00.00.00 „Wymagania ogólne” pkt 9.</w:t>
      </w:r>
    </w:p>
    <w:p w:rsidR="00E52B27" w:rsidRDefault="00E52B27" w:rsidP="00E52B27">
      <w:pPr>
        <w:pStyle w:val="Nagwek2"/>
        <w:numPr>
          <w:ilvl w:val="12"/>
          <w:numId w:val="0"/>
        </w:numPr>
      </w:pPr>
      <w:r>
        <w:t>9.2. Cena jednostki obmiarowej</w:t>
      </w:r>
    </w:p>
    <w:p w:rsidR="00E52B27" w:rsidRDefault="00E52B27" w:rsidP="00E52B27">
      <w:pPr>
        <w:numPr>
          <w:ilvl w:val="12"/>
          <w:numId w:val="0"/>
        </w:numPr>
        <w:tabs>
          <w:tab w:val="left" w:pos="0"/>
        </w:tabs>
      </w:pPr>
      <w:r>
        <w:rPr>
          <w:b/>
        </w:rPr>
        <w:tab/>
      </w:r>
      <w:r>
        <w:t>Płatność należy przyjmować na podstawie jednostek obmiarowych według pkt 7.</w:t>
      </w:r>
    </w:p>
    <w:p w:rsidR="00E52B27" w:rsidRDefault="00E52B27" w:rsidP="00E52B27">
      <w:pPr>
        <w:numPr>
          <w:ilvl w:val="12"/>
          <w:numId w:val="0"/>
        </w:numPr>
        <w:tabs>
          <w:tab w:val="left" w:pos="0"/>
        </w:tabs>
      </w:pPr>
      <w:r>
        <w:tab/>
        <w:t>Cena wykonania robót obejmuje:</w:t>
      </w:r>
    </w:p>
    <w:p w:rsidR="00E52B27" w:rsidRDefault="00E52B27" w:rsidP="00E52B27">
      <w:pPr>
        <w:numPr>
          <w:ilvl w:val="0"/>
          <w:numId w:val="1"/>
        </w:numPr>
        <w:tabs>
          <w:tab w:val="left" w:pos="0"/>
        </w:tabs>
        <w:overflowPunct w:val="0"/>
        <w:autoSpaceDE w:val="0"/>
        <w:autoSpaceDN w:val="0"/>
        <w:adjustRightInd w:val="0"/>
        <w:jc w:val="both"/>
        <w:textAlignment w:val="baseline"/>
      </w:pPr>
      <w:r>
        <w:t>wycięcie i wykarczowanie drzew i krzaków,</w:t>
      </w:r>
    </w:p>
    <w:p w:rsidR="00E52B27" w:rsidRDefault="00E52B27" w:rsidP="00E52B27">
      <w:pPr>
        <w:numPr>
          <w:ilvl w:val="0"/>
          <w:numId w:val="1"/>
        </w:numPr>
        <w:tabs>
          <w:tab w:val="left" w:pos="0"/>
        </w:tabs>
        <w:overflowPunct w:val="0"/>
        <w:autoSpaceDE w:val="0"/>
        <w:autoSpaceDN w:val="0"/>
        <w:adjustRightInd w:val="0"/>
        <w:jc w:val="both"/>
        <w:textAlignment w:val="baseline"/>
      </w:pPr>
      <w:r>
        <w:t>wywiezienie pni, karpiny i gałęzi poza teren budowy lub przerobienie gałęzi na korę drzewną, względnie spalenie na miejscu pozostałości po wykarczowaniu,</w:t>
      </w:r>
    </w:p>
    <w:p w:rsidR="00E52B27" w:rsidRDefault="00E52B27" w:rsidP="00E52B27">
      <w:pPr>
        <w:numPr>
          <w:ilvl w:val="0"/>
          <w:numId w:val="1"/>
        </w:numPr>
        <w:tabs>
          <w:tab w:val="left" w:pos="0"/>
        </w:tabs>
        <w:overflowPunct w:val="0"/>
        <w:autoSpaceDE w:val="0"/>
        <w:autoSpaceDN w:val="0"/>
        <w:adjustRightInd w:val="0"/>
        <w:jc w:val="both"/>
        <w:textAlignment w:val="baseline"/>
      </w:pPr>
      <w:r>
        <w:t>zasypanie dołów,</w:t>
      </w:r>
    </w:p>
    <w:p w:rsidR="00E52B27" w:rsidRDefault="00E52B27" w:rsidP="00E52B27">
      <w:pPr>
        <w:numPr>
          <w:ilvl w:val="0"/>
          <w:numId w:val="1"/>
        </w:numPr>
        <w:tabs>
          <w:tab w:val="left" w:pos="0"/>
        </w:tabs>
        <w:overflowPunct w:val="0"/>
        <w:autoSpaceDE w:val="0"/>
        <w:autoSpaceDN w:val="0"/>
        <w:adjustRightInd w:val="0"/>
        <w:jc w:val="both"/>
        <w:textAlignment w:val="baseline"/>
      </w:pPr>
      <w:r>
        <w:t>uporządkowanie miejsca prowadzonych robót.</w:t>
      </w:r>
    </w:p>
    <w:p w:rsidR="00E52B27" w:rsidRDefault="00E52B27" w:rsidP="00E52B27">
      <w:pPr>
        <w:pStyle w:val="Nagwek1"/>
        <w:numPr>
          <w:ilvl w:val="12"/>
          <w:numId w:val="0"/>
        </w:numPr>
      </w:pPr>
      <w:r>
        <w:t>10. przepisy związane</w:t>
      </w:r>
    </w:p>
    <w:p w:rsidR="00E52B27" w:rsidRDefault="00E52B27" w:rsidP="00E52B27">
      <w:pPr>
        <w:numPr>
          <w:ilvl w:val="12"/>
          <w:numId w:val="0"/>
        </w:numPr>
      </w:pPr>
      <w:r>
        <w:tab/>
        <w:t>Nie występują.</w:t>
      </w:r>
    </w:p>
    <w:p w:rsidR="00E52B27" w:rsidRDefault="00E52B27" w:rsidP="00E52B27"/>
    <w:p w:rsidR="00E52B27" w:rsidRDefault="00E52B27"/>
    <w:p w:rsidR="00E52B27" w:rsidRDefault="00E52B27"/>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E52B27" w:rsidRDefault="00E52B27" w:rsidP="00E52B27">
      <w:pPr>
        <w:pStyle w:val="Standardowytekst"/>
        <w:rPr>
          <w:b/>
          <w:sz w:val="28"/>
        </w:rPr>
      </w:pPr>
      <w:bookmarkStart w:id="36" w:name="_Hlk15765024"/>
      <w:r>
        <w:rPr>
          <w:b/>
          <w:sz w:val="28"/>
        </w:rPr>
        <w:lastRenderedPageBreak/>
        <w:t>D-01.02.04  ROZBIÓRKA ELEMENTÓW DRÓG</w:t>
      </w:r>
    </w:p>
    <w:bookmarkEnd w:id="36"/>
    <w:p w:rsidR="00E52B27" w:rsidRDefault="00E52B27" w:rsidP="00E52B27">
      <w:pPr>
        <w:tabs>
          <w:tab w:val="right" w:leader="dot" w:pos="-1985"/>
          <w:tab w:val="left" w:pos="426"/>
          <w:tab w:val="right" w:leader="dot" w:pos="8505"/>
        </w:tabs>
        <w:jc w:val="both"/>
      </w:pPr>
    </w:p>
    <w:p w:rsidR="00E52B27" w:rsidRDefault="00E52B27" w:rsidP="00E52B27">
      <w:pPr>
        <w:pStyle w:val="Nagwek1"/>
      </w:pPr>
      <w:bookmarkStart w:id="37" w:name="_Toc12507941"/>
      <w:r>
        <w:t>1. WSTĘP</w:t>
      </w:r>
      <w:bookmarkEnd w:id="37"/>
    </w:p>
    <w:p w:rsidR="00E52B27" w:rsidRDefault="00E52B27" w:rsidP="00E52B27">
      <w:pPr>
        <w:pStyle w:val="Nagwek2"/>
      </w:pPr>
      <w:bookmarkStart w:id="38" w:name="_Toc12507942"/>
      <w:r>
        <w:t>1.1.Przedmiot SST</w:t>
      </w:r>
      <w:bookmarkEnd w:id="38"/>
    </w:p>
    <w:p w:rsidR="00675564" w:rsidRPr="00481CDD" w:rsidRDefault="00E52B27" w:rsidP="00675564">
      <w:pPr>
        <w:jc w:val="both"/>
        <w:rPr>
          <w:rFonts w:ascii="Arial" w:hAnsi="Arial"/>
          <w:b/>
          <w:bCs/>
          <w:i/>
          <w:sz w:val="28"/>
          <w:szCs w:val="28"/>
        </w:rPr>
      </w:pPr>
      <w:r>
        <w:rPr>
          <w:b/>
        </w:rPr>
        <w:tab/>
      </w:r>
      <w:r>
        <w:t>Przedmiotem niniejszej szczegółowej specyfikacji technicznej (SST) są wymagania dotyczące wykonania i odbioru robót związanych z rozbiórką elementów dróg, ogrodzeń i przepustów, które zostaną wykonane w ramach</w:t>
      </w:r>
      <w:r w:rsidR="00675564">
        <w:t xml:space="preserve"> </w:t>
      </w:r>
      <w:r w:rsidR="00675564" w:rsidRPr="00675564">
        <w:t>przebudowy</w:t>
      </w:r>
      <w:r w:rsidR="00675564">
        <w:t xml:space="preserve"> </w:t>
      </w:r>
      <w:r w:rsidR="00675564" w:rsidRPr="00675564">
        <w:t>drogi powiatowej nr 2413W Wojszczyce – Janowo – Nowy Modlin w zakresie przebudowy skrzyżowania drogi powiatowej z drogami gminnymi w m. Nowy Modlin na skrzyżowanie typu rondo</w:t>
      </w:r>
      <w:r w:rsidR="00675564" w:rsidRPr="00481CDD">
        <w:rPr>
          <w:rFonts w:ascii="Arial" w:hAnsi="Arial"/>
          <w:b/>
          <w:bCs/>
          <w:i/>
          <w:sz w:val="28"/>
          <w:szCs w:val="28"/>
        </w:rPr>
        <w:t xml:space="preserve"> </w:t>
      </w:r>
    </w:p>
    <w:p w:rsidR="00E52B27" w:rsidRDefault="00E52B27" w:rsidP="00E52B27">
      <w:pPr>
        <w:tabs>
          <w:tab w:val="left" w:pos="0"/>
        </w:tabs>
        <w:jc w:val="both"/>
      </w:pPr>
      <w:r>
        <w:t> </w:t>
      </w:r>
    </w:p>
    <w:p w:rsidR="00E52B27" w:rsidRDefault="00E52B27" w:rsidP="00E52B27">
      <w:pPr>
        <w:tabs>
          <w:tab w:val="left" w:pos="0"/>
        </w:tabs>
        <w:jc w:val="both"/>
      </w:pPr>
    </w:p>
    <w:p w:rsidR="00E52B27" w:rsidRDefault="00E52B27" w:rsidP="00E52B27">
      <w:pPr>
        <w:pStyle w:val="Nagwek2"/>
      </w:pPr>
      <w:bookmarkStart w:id="39" w:name="_Toc12507943"/>
      <w:r>
        <w:t>1.2. Zakres stosowania SST</w:t>
      </w:r>
      <w:bookmarkEnd w:id="39"/>
    </w:p>
    <w:p w:rsidR="00E52B27" w:rsidRDefault="00E52B27" w:rsidP="00E52B27">
      <w:pPr>
        <w:tabs>
          <w:tab w:val="left" w:pos="0"/>
        </w:tabs>
        <w:jc w:val="both"/>
      </w:pPr>
      <w:r>
        <w:tab/>
        <w:t>Szczegółowa specyfikacja techniczna (SST) jest stosowana jako dokument przetargowy i kontraktowy przy zlecaniu i realizacji robót wymienionych w pkt. 1.1.</w:t>
      </w:r>
    </w:p>
    <w:p w:rsidR="00E52B27" w:rsidRDefault="00E52B27" w:rsidP="00E52B27">
      <w:pPr>
        <w:pStyle w:val="Nagwek2"/>
      </w:pPr>
      <w:bookmarkStart w:id="40" w:name="_Toc12507944"/>
      <w:r>
        <w:t>1.3. Zakres robót objętych SST</w:t>
      </w:r>
      <w:bookmarkEnd w:id="40"/>
    </w:p>
    <w:p w:rsidR="00E52B27" w:rsidRDefault="00E52B27" w:rsidP="00E52B27">
      <w:pPr>
        <w:tabs>
          <w:tab w:val="right" w:leader="dot" w:pos="-1985"/>
          <w:tab w:val="left" w:pos="426"/>
          <w:tab w:val="right" w:leader="dot" w:pos="8505"/>
        </w:tabs>
        <w:jc w:val="both"/>
      </w:pPr>
      <w:r>
        <w:rPr>
          <w:b/>
        </w:rPr>
        <w:tab/>
      </w:r>
      <w:r>
        <w:t>Ustalenia zawarte w niniejszej specyfikacji dotyczą prowadzenia robót związanych z rozbiórką następujących elementów:</w:t>
      </w:r>
    </w:p>
    <w:p w:rsidR="00E52B27" w:rsidRDefault="00E52B27" w:rsidP="00E52B27">
      <w:pPr>
        <w:numPr>
          <w:ilvl w:val="0"/>
          <w:numId w:val="1"/>
        </w:numPr>
        <w:tabs>
          <w:tab w:val="right" w:leader="dot" w:pos="-1985"/>
          <w:tab w:val="left" w:pos="426"/>
          <w:tab w:val="left" w:pos="7938"/>
        </w:tabs>
        <w:jc w:val="both"/>
      </w:pPr>
      <w:r>
        <w:t xml:space="preserve">krawężnik betonowy 15x30x100 cm </w:t>
      </w:r>
      <w:r>
        <w:tab/>
      </w:r>
    </w:p>
    <w:p w:rsidR="00E52B27" w:rsidRDefault="00E52B27" w:rsidP="00E52B27">
      <w:pPr>
        <w:numPr>
          <w:ilvl w:val="0"/>
          <w:numId w:val="1"/>
        </w:numPr>
        <w:tabs>
          <w:tab w:val="right" w:leader="dot" w:pos="-1985"/>
          <w:tab w:val="left" w:pos="426"/>
          <w:tab w:val="left" w:pos="7938"/>
        </w:tabs>
        <w:jc w:val="both"/>
      </w:pPr>
      <w:r>
        <w:t xml:space="preserve">chodnika z płyt betonowych 50x50x7 cm </w:t>
      </w:r>
    </w:p>
    <w:p w:rsidR="00E52B27" w:rsidRDefault="00E52B27" w:rsidP="00E52B27">
      <w:pPr>
        <w:numPr>
          <w:ilvl w:val="0"/>
          <w:numId w:val="1"/>
        </w:numPr>
        <w:tabs>
          <w:tab w:val="right" w:leader="dot" w:pos="-1985"/>
          <w:tab w:val="left" w:pos="426"/>
          <w:tab w:val="left" w:pos="7938"/>
        </w:tabs>
        <w:jc w:val="both"/>
      </w:pPr>
      <w:r>
        <w:tab/>
        <w:t>chodnika z płyt betonowych 35x5x5 cm</w:t>
      </w:r>
    </w:p>
    <w:p w:rsidR="00E52B27" w:rsidRDefault="00E52B27" w:rsidP="00E52B27">
      <w:pPr>
        <w:numPr>
          <w:ilvl w:val="0"/>
          <w:numId w:val="1"/>
        </w:numPr>
        <w:tabs>
          <w:tab w:val="right" w:leader="dot" w:pos="-1985"/>
          <w:tab w:val="left" w:pos="426"/>
          <w:tab w:val="left" w:pos="7938"/>
        </w:tabs>
        <w:jc w:val="both"/>
      </w:pPr>
      <w:r>
        <w:t xml:space="preserve">obrzeża 8x30 cm </w:t>
      </w:r>
      <w:r>
        <w:tab/>
      </w:r>
    </w:p>
    <w:p w:rsidR="00E52B27" w:rsidRDefault="00E52B27" w:rsidP="00E52B27">
      <w:pPr>
        <w:numPr>
          <w:ilvl w:val="0"/>
          <w:numId w:val="1"/>
        </w:numPr>
        <w:tabs>
          <w:tab w:val="right" w:leader="dot" w:pos="-1985"/>
          <w:tab w:val="left" w:pos="426"/>
          <w:tab w:val="left" w:pos="7938"/>
        </w:tabs>
        <w:jc w:val="both"/>
      </w:pPr>
      <w:r>
        <w:t xml:space="preserve">nawierzchni z płyt drogowych bet. gr. </w:t>
      </w:r>
      <w:smartTag w:uri="urn:schemas-microsoft-com:office:smarttags" w:element="metricconverter">
        <w:smartTagPr>
          <w:attr w:name="ProductID" w:val="15 cm"/>
        </w:smartTagPr>
        <w:r>
          <w:t>15 cm</w:t>
        </w:r>
      </w:smartTag>
      <w:r>
        <w:t xml:space="preserve"> (trylinki) </w:t>
      </w:r>
      <w:r>
        <w:tab/>
      </w:r>
    </w:p>
    <w:p w:rsidR="00E52B27" w:rsidRDefault="00E52B27" w:rsidP="00E52B27">
      <w:pPr>
        <w:numPr>
          <w:ilvl w:val="0"/>
          <w:numId w:val="1"/>
        </w:numPr>
        <w:tabs>
          <w:tab w:val="right" w:leader="dot" w:pos="-1985"/>
          <w:tab w:val="left" w:pos="426"/>
          <w:tab w:val="left" w:pos="7938"/>
        </w:tabs>
        <w:jc w:val="both"/>
      </w:pPr>
      <w:r>
        <w:t>ławy betonowe pod krawężniki</w:t>
      </w:r>
      <w:r>
        <w:tab/>
      </w:r>
    </w:p>
    <w:p w:rsidR="00E52B27" w:rsidRDefault="00E52B27" w:rsidP="00E52B27">
      <w:pPr>
        <w:numPr>
          <w:ilvl w:val="0"/>
          <w:numId w:val="1"/>
        </w:numPr>
        <w:tabs>
          <w:tab w:val="right" w:leader="dot" w:pos="-1985"/>
          <w:tab w:val="left" w:pos="426"/>
          <w:tab w:val="left" w:pos="7938"/>
        </w:tabs>
        <w:jc w:val="both"/>
      </w:pPr>
      <w:r>
        <w:t>nawierzchnia min.-bit.</w:t>
      </w:r>
      <w:r>
        <w:tab/>
      </w:r>
    </w:p>
    <w:p w:rsidR="00E52B27" w:rsidRDefault="00E52B27" w:rsidP="00E52B27">
      <w:pPr>
        <w:numPr>
          <w:ilvl w:val="0"/>
          <w:numId w:val="1"/>
        </w:numPr>
        <w:tabs>
          <w:tab w:val="right" w:leader="dot" w:pos="-1985"/>
          <w:tab w:val="left" w:pos="426"/>
          <w:tab w:val="left" w:pos="7938"/>
        </w:tabs>
        <w:jc w:val="both"/>
      </w:pPr>
      <w:r>
        <w:t>podbudowa z kruszywa kamiennego</w:t>
      </w:r>
      <w:r>
        <w:tab/>
      </w:r>
    </w:p>
    <w:p w:rsidR="00E52B27" w:rsidRDefault="00E52B27" w:rsidP="00E52B27">
      <w:pPr>
        <w:numPr>
          <w:ilvl w:val="0"/>
          <w:numId w:val="1"/>
        </w:numPr>
        <w:tabs>
          <w:tab w:val="right" w:leader="dot" w:pos="-1985"/>
          <w:tab w:val="left" w:pos="426"/>
          <w:tab w:val="left" w:pos="7938"/>
        </w:tabs>
        <w:jc w:val="both"/>
      </w:pPr>
      <w:r>
        <w:t xml:space="preserve">wywiezienie gruzu z terenu rozbiórki </w:t>
      </w:r>
      <w:r>
        <w:tab/>
      </w:r>
    </w:p>
    <w:p w:rsidR="00E52B27" w:rsidRDefault="00E52B27" w:rsidP="00E52B27">
      <w:pPr>
        <w:pStyle w:val="Nagwek2"/>
      </w:pPr>
      <w:bookmarkStart w:id="41" w:name="_Toc12507945"/>
      <w:r>
        <w:t>1.4. Określenia podstawowe</w:t>
      </w:r>
      <w:bookmarkEnd w:id="41"/>
    </w:p>
    <w:p w:rsidR="00E52B27" w:rsidRDefault="00E52B27" w:rsidP="00E52B27">
      <w:pPr>
        <w:tabs>
          <w:tab w:val="left" w:pos="0"/>
        </w:tabs>
        <w:jc w:val="both"/>
      </w:pPr>
      <w:r>
        <w:tab/>
        <w:t>Stosowane określenia podstawowe są zgodne z obowiązującymi, odpowiednimi polskimi normami oraz z definicjami podanymi w SST D-M-00.00.00 „Wymagania ogólne” pkt 1.4.</w:t>
      </w:r>
    </w:p>
    <w:p w:rsidR="00E52B27" w:rsidRDefault="00E52B27" w:rsidP="00E52B27">
      <w:pPr>
        <w:pStyle w:val="Nagwek2"/>
      </w:pPr>
      <w:bookmarkStart w:id="42" w:name="_Toc12507946"/>
      <w:r>
        <w:t>1.5. Ogólne wymagania dotyczące robót</w:t>
      </w:r>
      <w:bookmarkEnd w:id="42"/>
    </w:p>
    <w:p w:rsidR="00E52B27" w:rsidRDefault="00E52B27" w:rsidP="00E52B27">
      <w:pPr>
        <w:tabs>
          <w:tab w:val="right" w:leader="dot" w:pos="-1985"/>
          <w:tab w:val="left" w:pos="426"/>
          <w:tab w:val="right" w:leader="dot" w:pos="8505"/>
        </w:tabs>
        <w:jc w:val="both"/>
      </w:pPr>
      <w:r>
        <w:tab/>
        <w:t>Ogólne wymagania dotyczące robót podano w SST D-M-00.00.00 „Wymagania ogólne” pkt 1.5.</w:t>
      </w:r>
    </w:p>
    <w:p w:rsidR="00E52B27" w:rsidRDefault="00E52B27" w:rsidP="00E52B27">
      <w:pPr>
        <w:pStyle w:val="Nagwek1"/>
      </w:pPr>
      <w:bookmarkStart w:id="43" w:name="_Toc12507947"/>
      <w:r>
        <w:t>2. MATERIAŁY</w:t>
      </w:r>
      <w:bookmarkEnd w:id="43"/>
    </w:p>
    <w:p w:rsidR="00E52B27" w:rsidRDefault="00E52B27" w:rsidP="00E52B27">
      <w:pPr>
        <w:pStyle w:val="Nagwek2"/>
      </w:pPr>
      <w:bookmarkStart w:id="44" w:name="_Toc12507948"/>
      <w:r>
        <w:t>2.1. Ogólne wymagania dotyczące materiałów</w:t>
      </w:r>
      <w:bookmarkEnd w:id="44"/>
    </w:p>
    <w:p w:rsidR="00E52B27" w:rsidRDefault="00E52B27" w:rsidP="00E52B27">
      <w:pPr>
        <w:tabs>
          <w:tab w:val="right" w:leader="dot" w:pos="-1985"/>
          <w:tab w:val="left" w:pos="426"/>
          <w:tab w:val="right" w:leader="dot" w:pos="8505"/>
        </w:tabs>
        <w:jc w:val="both"/>
      </w:pPr>
      <w:r>
        <w:rPr>
          <w:b/>
        </w:rPr>
        <w:tab/>
      </w:r>
      <w:r>
        <w:t>Ogólne wymagania dotyczące materiałów, ich pozyskiwania i składowania, podano w SST D-M-00.00.00 „Wymagania ogólne” pkt 2.</w:t>
      </w:r>
    </w:p>
    <w:p w:rsidR="00E52B27" w:rsidRDefault="00E52B27" w:rsidP="00E52B27">
      <w:pPr>
        <w:pStyle w:val="Nagwek2"/>
      </w:pPr>
      <w:bookmarkStart w:id="45" w:name="_Toc12507949"/>
      <w:r>
        <w:t>2.2. Rusztowania</w:t>
      </w:r>
      <w:bookmarkEnd w:id="45"/>
    </w:p>
    <w:p w:rsidR="00E52B27" w:rsidRDefault="00E52B27" w:rsidP="00E52B27">
      <w:pPr>
        <w:tabs>
          <w:tab w:val="right" w:leader="dot" w:pos="-1985"/>
          <w:tab w:val="left" w:pos="426"/>
          <w:tab w:val="right" w:leader="dot" w:pos="8505"/>
        </w:tabs>
        <w:jc w:val="both"/>
      </w:pPr>
      <w:r>
        <w:tab/>
        <w:t>Rusztowania robocze przestawne przy rozbiórce przepustów mogą być wykonane z drewna lub rur stalowych w postaci:</w:t>
      </w:r>
    </w:p>
    <w:p w:rsidR="00E52B27" w:rsidRDefault="00E52B27" w:rsidP="00E52B27">
      <w:pPr>
        <w:numPr>
          <w:ilvl w:val="0"/>
          <w:numId w:val="1"/>
        </w:numPr>
        <w:tabs>
          <w:tab w:val="right" w:leader="dot" w:pos="-1985"/>
          <w:tab w:val="left" w:pos="426"/>
          <w:tab w:val="right" w:leader="dot" w:pos="8505"/>
        </w:tabs>
        <w:jc w:val="both"/>
      </w:pPr>
      <w:r>
        <w:t xml:space="preserve">rusztowań kozłowych, wysokości od 1,0 do </w:t>
      </w:r>
      <w:smartTag w:uri="urn:schemas-microsoft-com:office:smarttags" w:element="metricconverter">
        <w:smartTagPr>
          <w:attr w:name="ProductID" w:val="1,5 m"/>
        </w:smartTagPr>
        <w:r>
          <w:t>1,5 m</w:t>
        </w:r>
      </w:smartTag>
      <w:r>
        <w:t xml:space="preserve">, składających się z leżni z bali (np. 12,5 x </w:t>
      </w:r>
      <w:smartTag w:uri="urn:schemas-microsoft-com:office:smarttags" w:element="metricconverter">
        <w:smartTagPr>
          <w:attr w:name="ProductID" w:val="12,5 cm"/>
        </w:smartTagPr>
        <w:r>
          <w:t>12,5 cm</w:t>
        </w:r>
      </w:smartTag>
      <w:r>
        <w:t xml:space="preserve">), nóg z krawędziaków (np. 7,6 x </w:t>
      </w:r>
      <w:smartTag w:uri="urn:schemas-microsoft-com:office:smarttags" w:element="metricconverter">
        <w:smartTagPr>
          <w:attr w:name="ProductID" w:val="7,6 cm"/>
        </w:smartTagPr>
        <w:r>
          <w:t>7,6 cm</w:t>
        </w:r>
      </w:smartTag>
      <w:r>
        <w:t xml:space="preserve">), stężeń (np. 3,2 x </w:t>
      </w:r>
      <w:smartTag w:uri="urn:schemas-microsoft-com:office:smarttags" w:element="metricconverter">
        <w:smartTagPr>
          <w:attr w:name="ProductID" w:val="12,5 cm"/>
        </w:smartTagPr>
        <w:r>
          <w:t>12,5 cm</w:t>
        </w:r>
      </w:smartTag>
      <w:r>
        <w:t>) i pomostu z desek,</w:t>
      </w:r>
    </w:p>
    <w:p w:rsidR="00E52B27" w:rsidRDefault="00E52B27" w:rsidP="00E52B27">
      <w:pPr>
        <w:numPr>
          <w:ilvl w:val="0"/>
          <w:numId w:val="1"/>
        </w:numPr>
        <w:tabs>
          <w:tab w:val="right" w:leader="dot" w:pos="-1985"/>
          <w:tab w:val="left" w:pos="426"/>
          <w:tab w:val="right" w:leader="dot" w:pos="8505"/>
        </w:tabs>
        <w:jc w:val="both"/>
      </w:pPr>
      <w:r>
        <w:t xml:space="preserve">rusztowań drabinowych, składających się z drabin (np. długości </w:t>
      </w:r>
      <w:smartTag w:uri="urn:schemas-microsoft-com:office:smarttags" w:element="metricconverter">
        <w:smartTagPr>
          <w:attr w:name="ProductID" w:val="6 m"/>
        </w:smartTagPr>
        <w:r>
          <w:t>6 m</w:t>
        </w:r>
      </w:smartTag>
      <w:r>
        <w:t xml:space="preserve">, szerokości </w:t>
      </w:r>
      <w:smartTag w:uri="urn:schemas-microsoft-com:office:smarttags" w:element="metricconverter">
        <w:smartTagPr>
          <w:attr w:name="ProductID" w:val="52 cm"/>
        </w:smartTagPr>
        <w:r>
          <w:t>52 cm</w:t>
        </w:r>
      </w:smartTag>
      <w:r>
        <w:t xml:space="preserve">), usztywnionych stężeniami z desek (np. 3,2 x </w:t>
      </w:r>
      <w:smartTag w:uri="urn:schemas-microsoft-com:office:smarttags" w:element="metricconverter">
        <w:smartTagPr>
          <w:attr w:name="ProductID" w:val="12,5 cm"/>
        </w:smartTagPr>
        <w:r>
          <w:t>12,5 cm</w:t>
        </w:r>
      </w:smartTag>
      <w:r>
        <w:t xml:space="preserve">), na których szczeblach (np. 3,2 x </w:t>
      </w:r>
      <w:smartTag w:uri="urn:schemas-microsoft-com:office:smarttags" w:element="metricconverter">
        <w:smartTagPr>
          <w:attr w:name="ProductID" w:val="6,3 cm"/>
        </w:smartTagPr>
        <w:r>
          <w:t>6,3 cm</w:t>
        </w:r>
      </w:smartTag>
      <w:r>
        <w:t>) układa się pomosty z desek,</w:t>
      </w:r>
    </w:p>
    <w:p w:rsidR="00E52B27" w:rsidRDefault="00E52B27" w:rsidP="00E52B27">
      <w:pPr>
        <w:numPr>
          <w:ilvl w:val="0"/>
          <w:numId w:val="1"/>
        </w:numPr>
        <w:tabs>
          <w:tab w:val="right" w:leader="dot" w:pos="-1985"/>
          <w:tab w:val="left" w:pos="426"/>
          <w:tab w:val="right" w:leader="dot" w:pos="8505"/>
        </w:tabs>
        <w:jc w:val="both"/>
      </w:pPr>
      <w:r>
        <w:t xml:space="preserve">przestawnych klatek </w:t>
      </w:r>
      <w:proofErr w:type="spellStart"/>
      <w:r>
        <w:t>rusztowaniowych</w:t>
      </w:r>
      <w:proofErr w:type="spellEnd"/>
      <w:r>
        <w:t xml:space="preserve"> z rur stalowych średnicy od 38 do </w:t>
      </w:r>
      <w:smartTag w:uri="urn:schemas-microsoft-com:office:smarttags" w:element="metricconverter">
        <w:smartTagPr>
          <w:attr w:name="ProductID" w:val="63,5 mm"/>
        </w:smartTagPr>
        <w:r>
          <w:t>63,5 mm</w:t>
        </w:r>
      </w:smartTag>
      <w:r>
        <w:t xml:space="preserve">, o wymiarach klatek około 1,2 x </w:t>
      </w:r>
      <w:smartTag w:uri="urn:schemas-microsoft-com:office:smarttags" w:element="metricconverter">
        <w:smartTagPr>
          <w:attr w:name="ProductID" w:val="1,5 m"/>
        </w:smartTagPr>
        <w:r>
          <w:t>1,5 m</w:t>
        </w:r>
      </w:smartTag>
      <w:r>
        <w:t xml:space="preserve"> lub płaskich klatek </w:t>
      </w:r>
      <w:proofErr w:type="spellStart"/>
      <w:r>
        <w:t>rusztowaniowych</w:t>
      </w:r>
      <w:proofErr w:type="spellEnd"/>
      <w:r>
        <w:t xml:space="preserve"> (np. z rur stalowych średnicy </w:t>
      </w:r>
      <w:smartTag w:uri="urn:schemas-microsoft-com:office:smarttags" w:element="metricconverter">
        <w:smartTagPr>
          <w:attr w:name="ProductID" w:val="108 mm"/>
        </w:smartTagPr>
        <w:r>
          <w:t>108 mm</w:t>
        </w:r>
      </w:smartTag>
      <w:r>
        <w:t xml:space="preserve"> i kątowników 45 x 45 x </w:t>
      </w:r>
      <w:smartTag w:uri="urn:schemas-microsoft-com:office:smarttags" w:element="metricconverter">
        <w:smartTagPr>
          <w:attr w:name="ProductID" w:val="5 mm"/>
        </w:smartTagPr>
        <w:r>
          <w:t>5 mm</w:t>
        </w:r>
      </w:smartTag>
      <w:r>
        <w:t xml:space="preserve"> i 70 x 70 x </w:t>
      </w:r>
      <w:smartTag w:uri="urn:schemas-microsoft-com:office:smarttags" w:element="metricconverter">
        <w:smartTagPr>
          <w:attr w:name="ProductID" w:val="7 mm"/>
        </w:smartTagPr>
        <w:r>
          <w:t>7 mm</w:t>
        </w:r>
      </w:smartTag>
      <w:r>
        <w:t xml:space="preserve">), o wymiarach klatek około 1,1 x </w:t>
      </w:r>
      <w:smartTag w:uri="urn:schemas-microsoft-com:office:smarttags" w:element="metricconverter">
        <w:smartTagPr>
          <w:attr w:name="ProductID" w:val="1,5 m"/>
        </w:smartTagPr>
        <w:r>
          <w:t>1,5 m</w:t>
        </w:r>
      </w:smartTag>
      <w:r>
        <w:t>,</w:t>
      </w:r>
    </w:p>
    <w:p w:rsidR="00E52B27" w:rsidRDefault="00E52B27" w:rsidP="00E52B27">
      <w:pPr>
        <w:numPr>
          <w:ilvl w:val="0"/>
          <w:numId w:val="1"/>
        </w:numPr>
        <w:tabs>
          <w:tab w:val="right" w:leader="dot" w:pos="-1985"/>
          <w:tab w:val="left" w:pos="426"/>
          <w:tab w:val="right" w:leader="dot" w:pos="8505"/>
        </w:tabs>
        <w:jc w:val="both"/>
      </w:pPr>
      <w:r>
        <w:t xml:space="preserve">rusztowań z rur stalowych średnicy od 33,5 do </w:t>
      </w:r>
      <w:smartTag w:uri="urn:schemas-microsoft-com:office:smarttags" w:element="metricconverter">
        <w:smartTagPr>
          <w:attr w:name="ProductID" w:val="76,1 mm"/>
        </w:smartTagPr>
        <w:r>
          <w:t>76,1 mm</w:t>
        </w:r>
      </w:smartTag>
      <w:r>
        <w:t xml:space="preserve"> połączonych łącznikami w ramownice i kratownice.</w:t>
      </w:r>
    </w:p>
    <w:p w:rsidR="00E52B27" w:rsidRDefault="00E52B27" w:rsidP="00E52B27">
      <w:pPr>
        <w:tabs>
          <w:tab w:val="right" w:leader="dot" w:pos="-1985"/>
          <w:tab w:val="left" w:pos="426"/>
          <w:tab w:val="right" w:leader="dot" w:pos="8505"/>
        </w:tabs>
        <w:jc w:val="both"/>
      </w:pPr>
      <w:r>
        <w:tab/>
        <w:t>Rusztowanie należy wykonać z materiałów odpowiadających następującym normom:</w:t>
      </w:r>
    </w:p>
    <w:p w:rsidR="00E52B27" w:rsidRDefault="00E52B27" w:rsidP="00E52B27">
      <w:pPr>
        <w:numPr>
          <w:ilvl w:val="0"/>
          <w:numId w:val="1"/>
        </w:numPr>
        <w:tabs>
          <w:tab w:val="right" w:leader="dot" w:pos="-1985"/>
          <w:tab w:val="left" w:pos="426"/>
          <w:tab w:val="right" w:leader="dot" w:pos="8505"/>
        </w:tabs>
        <w:jc w:val="both"/>
      </w:pPr>
      <w:r>
        <w:t>drewno i tarcica wg PN-D-95017 [1], PN-D-96000 [2], PN-D-96002 [3] lub innej zaakceptowanej przez Inżyniera,</w:t>
      </w:r>
    </w:p>
    <w:p w:rsidR="00E52B27" w:rsidRDefault="00E52B27" w:rsidP="00E52B27">
      <w:pPr>
        <w:numPr>
          <w:ilvl w:val="0"/>
          <w:numId w:val="1"/>
        </w:numPr>
        <w:tabs>
          <w:tab w:val="right" w:leader="dot" w:pos="-1985"/>
          <w:tab w:val="left" w:pos="426"/>
          <w:tab w:val="right" w:leader="dot" w:pos="8505"/>
        </w:tabs>
        <w:jc w:val="both"/>
      </w:pPr>
      <w:r>
        <w:t>gwoździe wg BN-87/5028-12 [8],</w:t>
      </w:r>
    </w:p>
    <w:p w:rsidR="00E52B27" w:rsidRDefault="00E52B27" w:rsidP="00E52B27">
      <w:pPr>
        <w:numPr>
          <w:ilvl w:val="0"/>
          <w:numId w:val="1"/>
        </w:numPr>
        <w:tabs>
          <w:tab w:val="right" w:leader="dot" w:pos="-1985"/>
          <w:tab w:val="left" w:pos="426"/>
          <w:tab w:val="right" w:leader="dot" w:pos="8505"/>
        </w:tabs>
        <w:jc w:val="both"/>
      </w:pPr>
      <w:r>
        <w:t>rury stalowe wg PN-H-74219 [4], PN-H-74220 [5] lub innej zaakceptowanej przez Inżyniera,</w:t>
      </w:r>
    </w:p>
    <w:p w:rsidR="00E52B27" w:rsidRDefault="00E52B27" w:rsidP="00E52B27">
      <w:pPr>
        <w:numPr>
          <w:ilvl w:val="0"/>
          <w:numId w:val="1"/>
        </w:numPr>
        <w:tabs>
          <w:tab w:val="right" w:leader="dot" w:pos="-1985"/>
          <w:tab w:val="left" w:pos="426"/>
          <w:tab w:val="right" w:leader="dot" w:pos="8505"/>
        </w:tabs>
        <w:jc w:val="both"/>
      </w:pPr>
      <w:r>
        <w:t>kątowniki wg PN-H-93401[6], PN-H-93402 [7] lub innej zaakceptowanej przez Inżyniera.</w:t>
      </w:r>
    </w:p>
    <w:p w:rsidR="00E52B27" w:rsidRDefault="00E52B27" w:rsidP="00E52B27">
      <w:pPr>
        <w:pStyle w:val="Nagwek1"/>
      </w:pPr>
      <w:bookmarkStart w:id="46" w:name="_Toc12507950"/>
      <w:r>
        <w:lastRenderedPageBreak/>
        <w:t>3. SPRZĘT</w:t>
      </w:r>
      <w:bookmarkEnd w:id="46"/>
    </w:p>
    <w:p w:rsidR="00E52B27" w:rsidRDefault="00E52B27" w:rsidP="00E52B27">
      <w:pPr>
        <w:pStyle w:val="Nagwek2"/>
      </w:pPr>
      <w:bookmarkStart w:id="47" w:name="_Toc12507951"/>
      <w:r>
        <w:t>3.1. Ogólne wymagania dotyczące sprzętu</w:t>
      </w:r>
      <w:bookmarkEnd w:id="47"/>
    </w:p>
    <w:p w:rsidR="00E52B27" w:rsidRDefault="00E52B27" w:rsidP="00E52B27">
      <w:pPr>
        <w:tabs>
          <w:tab w:val="right" w:leader="dot" w:pos="-1985"/>
          <w:tab w:val="left" w:pos="426"/>
          <w:tab w:val="right" w:leader="dot" w:pos="8505"/>
        </w:tabs>
        <w:jc w:val="both"/>
      </w:pPr>
      <w:r>
        <w:tab/>
        <w:t>Ogólne wymagania dotyczące sprzętu podano w SST D-M-00.00.00 „Wymagania ogólne” pkt 3.</w:t>
      </w:r>
    </w:p>
    <w:p w:rsidR="00E52B27" w:rsidRDefault="00E52B27" w:rsidP="00E52B27">
      <w:pPr>
        <w:pStyle w:val="Nagwek2"/>
      </w:pPr>
      <w:bookmarkStart w:id="48" w:name="_Toc12507952"/>
      <w:r>
        <w:t>3.2. Sprzęt do rozbiórki</w:t>
      </w:r>
      <w:bookmarkEnd w:id="48"/>
    </w:p>
    <w:p w:rsidR="00E52B27" w:rsidRDefault="00E52B27" w:rsidP="00E52B27">
      <w:pPr>
        <w:tabs>
          <w:tab w:val="right" w:leader="dot" w:pos="-1985"/>
          <w:tab w:val="left" w:pos="426"/>
          <w:tab w:val="right" w:leader="dot" w:pos="8505"/>
        </w:tabs>
        <w:jc w:val="both"/>
      </w:pPr>
      <w:r>
        <w:tab/>
        <w:t>Do wykonania robót związanych z rozbiórką elementów dróg, ogrodzeń i przepustów może być wykorzystany sprzęt podany poniżej, lub inny zaakceptowany przez Inżyniera:</w:t>
      </w:r>
    </w:p>
    <w:p w:rsidR="00E52B27" w:rsidRDefault="00E52B27" w:rsidP="00E52B27">
      <w:pPr>
        <w:numPr>
          <w:ilvl w:val="0"/>
          <w:numId w:val="1"/>
        </w:numPr>
        <w:tabs>
          <w:tab w:val="right" w:leader="dot" w:pos="-1985"/>
          <w:tab w:val="left" w:pos="426"/>
          <w:tab w:val="right" w:leader="dot" w:pos="8505"/>
        </w:tabs>
        <w:jc w:val="both"/>
      </w:pPr>
      <w:r>
        <w:t>spycharki,</w:t>
      </w:r>
    </w:p>
    <w:p w:rsidR="00E52B27" w:rsidRDefault="00E52B27" w:rsidP="00E52B27">
      <w:pPr>
        <w:numPr>
          <w:ilvl w:val="0"/>
          <w:numId w:val="1"/>
        </w:numPr>
        <w:tabs>
          <w:tab w:val="right" w:leader="dot" w:pos="-1985"/>
          <w:tab w:val="left" w:pos="426"/>
          <w:tab w:val="right" w:leader="dot" w:pos="8505"/>
        </w:tabs>
        <w:jc w:val="both"/>
      </w:pPr>
      <w:r>
        <w:t>ładowarki,</w:t>
      </w:r>
    </w:p>
    <w:p w:rsidR="00E52B27" w:rsidRDefault="00E52B27" w:rsidP="00E52B27">
      <w:pPr>
        <w:numPr>
          <w:ilvl w:val="0"/>
          <w:numId w:val="1"/>
        </w:numPr>
        <w:tabs>
          <w:tab w:val="right" w:leader="dot" w:pos="-1985"/>
          <w:tab w:val="left" w:pos="426"/>
          <w:tab w:val="right" w:leader="dot" w:pos="8505"/>
        </w:tabs>
        <w:jc w:val="both"/>
      </w:pPr>
      <w:r>
        <w:t>żurawie samochodowe,</w:t>
      </w:r>
    </w:p>
    <w:p w:rsidR="00E52B27" w:rsidRDefault="00E52B27" w:rsidP="00E52B27">
      <w:pPr>
        <w:numPr>
          <w:ilvl w:val="0"/>
          <w:numId w:val="1"/>
        </w:numPr>
        <w:tabs>
          <w:tab w:val="right" w:leader="dot" w:pos="-1985"/>
          <w:tab w:val="left" w:pos="426"/>
          <w:tab w:val="right" w:leader="dot" w:pos="8505"/>
        </w:tabs>
        <w:jc w:val="both"/>
      </w:pPr>
      <w:r>
        <w:t>samochody ciężarowe,</w:t>
      </w:r>
    </w:p>
    <w:p w:rsidR="00E52B27" w:rsidRDefault="00E52B27" w:rsidP="00E52B27">
      <w:pPr>
        <w:numPr>
          <w:ilvl w:val="0"/>
          <w:numId w:val="1"/>
        </w:numPr>
        <w:tabs>
          <w:tab w:val="right" w:leader="dot" w:pos="-1985"/>
          <w:tab w:val="left" w:pos="426"/>
          <w:tab w:val="right" w:leader="dot" w:pos="8505"/>
        </w:tabs>
        <w:jc w:val="both"/>
      </w:pPr>
      <w:r>
        <w:t>zrywarki,</w:t>
      </w:r>
    </w:p>
    <w:p w:rsidR="00E52B27" w:rsidRDefault="00E52B27" w:rsidP="00E52B27">
      <w:pPr>
        <w:numPr>
          <w:ilvl w:val="0"/>
          <w:numId w:val="1"/>
        </w:numPr>
        <w:tabs>
          <w:tab w:val="right" w:leader="dot" w:pos="-1985"/>
          <w:tab w:val="left" w:pos="426"/>
          <w:tab w:val="right" w:leader="dot" w:pos="8505"/>
        </w:tabs>
        <w:jc w:val="both"/>
      </w:pPr>
      <w:r>
        <w:t>młoty pneumatyczne,</w:t>
      </w:r>
    </w:p>
    <w:p w:rsidR="00E52B27" w:rsidRDefault="00E52B27" w:rsidP="00E52B27">
      <w:pPr>
        <w:numPr>
          <w:ilvl w:val="0"/>
          <w:numId w:val="1"/>
        </w:numPr>
        <w:tabs>
          <w:tab w:val="right" w:leader="dot" w:pos="-1985"/>
          <w:tab w:val="left" w:pos="426"/>
          <w:tab w:val="right" w:leader="dot" w:pos="8505"/>
        </w:tabs>
        <w:jc w:val="both"/>
      </w:pPr>
      <w:r>
        <w:t>piły mechaniczne,</w:t>
      </w:r>
    </w:p>
    <w:p w:rsidR="00E52B27" w:rsidRDefault="00E52B27" w:rsidP="00E52B27">
      <w:pPr>
        <w:numPr>
          <w:ilvl w:val="0"/>
          <w:numId w:val="1"/>
        </w:numPr>
        <w:tabs>
          <w:tab w:val="right" w:leader="dot" w:pos="-1985"/>
          <w:tab w:val="left" w:pos="426"/>
          <w:tab w:val="right" w:leader="dot" w:pos="8505"/>
        </w:tabs>
        <w:jc w:val="both"/>
      </w:pPr>
      <w:r>
        <w:t>frezarki nawierzchni,</w:t>
      </w:r>
    </w:p>
    <w:p w:rsidR="00E52B27" w:rsidRDefault="00E52B27" w:rsidP="00E52B27">
      <w:pPr>
        <w:numPr>
          <w:ilvl w:val="0"/>
          <w:numId w:val="1"/>
        </w:numPr>
        <w:tabs>
          <w:tab w:val="right" w:leader="dot" w:pos="-1985"/>
          <w:tab w:val="left" w:pos="426"/>
          <w:tab w:val="right" w:leader="dot" w:pos="8505"/>
        </w:tabs>
        <w:jc w:val="both"/>
      </w:pPr>
      <w:r>
        <w:t>koparki.</w:t>
      </w:r>
    </w:p>
    <w:p w:rsidR="00E52B27" w:rsidRDefault="00E52B27" w:rsidP="00E52B27">
      <w:pPr>
        <w:pStyle w:val="Nagwek1"/>
      </w:pPr>
      <w:bookmarkStart w:id="49" w:name="_Toc12507953"/>
      <w:r>
        <w:t>4. TRANSPORT</w:t>
      </w:r>
      <w:bookmarkEnd w:id="49"/>
    </w:p>
    <w:p w:rsidR="00E52B27" w:rsidRDefault="00E52B27" w:rsidP="00E52B27">
      <w:pPr>
        <w:pStyle w:val="Nagwek2"/>
      </w:pPr>
      <w:bookmarkStart w:id="50" w:name="_Toc12507954"/>
      <w:r>
        <w:t>4.1. Ogólne wymagania dotyczące transportu</w:t>
      </w:r>
      <w:bookmarkEnd w:id="50"/>
    </w:p>
    <w:p w:rsidR="00E52B27" w:rsidRDefault="00E52B27" w:rsidP="00E52B27">
      <w:pPr>
        <w:tabs>
          <w:tab w:val="right" w:leader="dot" w:pos="-1985"/>
          <w:tab w:val="left" w:pos="426"/>
          <w:tab w:val="right" w:leader="dot" w:pos="8505"/>
        </w:tabs>
        <w:jc w:val="both"/>
      </w:pPr>
      <w:r>
        <w:tab/>
        <w:t>Ogólne wymagania dotyczące transportu podano w SST D-M-00.00.00 „Wymagania ogólne” pkt 4.</w:t>
      </w:r>
    </w:p>
    <w:p w:rsidR="00E52B27" w:rsidRDefault="00E52B27" w:rsidP="00E52B27">
      <w:pPr>
        <w:pStyle w:val="Nagwek2"/>
      </w:pPr>
      <w:bookmarkStart w:id="51" w:name="_Toc12507955"/>
      <w:r>
        <w:t>4.2. Transport materiałów z rozbiórki</w:t>
      </w:r>
      <w:bookmarkEnd w:id="51"/>
    </w:p>
    <w:p w:rsidR="00E52B27" w:rsidRDefault="00E52B27" w:rsidP="00E52B27">
      <w:pPr>
        <w:tabs>
          <w:tab w:val="right" w:leader="dot" w:pos="-1985"/>
          <w:tab w:val="left" w:pos="426"/>
          <w:tab w:val="right" w:leader="dot" w:pos="8505"/>
        </w:tabs>
        <w:jc w:val="both"/>
      </w:pPr>
      <w:r>
        <w:tab/>
        <w:t>Materiał z rozbiórki można przewozić dowolnym środkiem transportu.</w:t>
      </w:r>
    </w:p>
    <w:p w:rsidR="00E52B27" w:rsidRDefault="00E52B27" w:rsidP="00E52B27">
      <w:pPr>
        <w:pStyle w:val="Nagwek1"/>
      </w:pPr>
      <w:bookmarkStart w:id="52" w:name="_Toc12507956"/>
      <w:r>
        <w:t>5. WYKONANIE ROBÓT</w:t>
      </w:r>
      <w:bookmarkEnd w:id="52"/>
    </w:p>
    <w:p w:rsidR="00E52B27" w:rsidRDefault="00E52B27" w:rsidP="00E52B27">
      <w:pPr>
        <w:pStyle w:val="Nagwek2"/>
      </w:pPr>
      <w:bookmarkStart w:id="53" w:name="_Toc12507957"/>
      <w:r>
        <w:t>5.1. Ogólne zasady wykonania robót</w:t>
      </w:r>
      <w:bookmarkEnd w:id="53"/>
    </w:p>
    <w:p w:rsidR="00E52B27" w:rsidRDefault="00E52B27" w:rsidP="00E52B27">
      <w:pPr>
        <w:tabs>
          <w:tab w:val="right" w:leader="dot" w:pos="-1985"/>
          <w:tab w:val="left" w:pos="426"/>
          <w:tab w:val="right" w:leader="dot" w:pos="8505"/>
        </w:tabs>
        <w:jc w:val="both"/>
      </w:pPr>
      <w:r>
        <w:tab/>
        <w:t>Ogólne zasady wykonania robót podano w SST D-M-00.00.00 „Wymagania ogólne” pkt 5.</w:t>
      </w:r>
    </w:p>
    <w:p w:rsidR="00E52B27" w:rsidRDefault="00E52B27" w:rsidP="00E52B27">
      <w:pPr>
        <w:pStyle w:val="Nagwek2"/>
      </w:pPr>
      <w:bookmarkStart w:id="54" w:name="_Toc12507958"/>
      <w:r>
        <w:t>5.2. Wykonanie robót rozbiórkowych</w:t>
      </w:r>
      <w:bookmarkEnd w:id="54"/>
    </w:p>
    <w:p w:rsidR="00E52B27" w:rsidRDefault="00E52B27" w:rsidP="00E52B27">
      <w:pPr>
        <w:tabs>
          <w:tab w:val="right" w:leader="dot" w:pos="-1985"/>
          <w:tab w:val="left" w:pos="426"/>
          <w:tab w:val="right" w:leader="dot" w:pos="8505"/>
        </w:tabs>
        <w:jc w:val="both"/>
      </w:pPr>
      <w:r>
        <w:tab/>
        <w:t>Roboty rozbiórkowe elementów dróg, ogrodzeń i przepustów obejmują usunięcie z terenu budowy wszystkich elementów wymienionych w pkt 1.3, zgodnie z dokumentacją projektową, SST lub wskazanych przez Inżyniera.</w:t>
      </w:r>
    </w:p>
    <w:p w:rsidR="00E52B27" w:rsidRDefault="00E52B27" w:rsidP="00E52B27">
      <w:pPr>
        <w:tabs>
          <w:tab w:val="right" w:leader="dot" w:pos="-1985"/>
          <w:tab w:val="left" w:pos="426"/>
          <w:tab w:val="right" w:leader="dot" w:pos="8505"/>
        </w:tabs>
        <w:jc w:val="both"/>
      </w:pPr>
      <w:r>
        <w:tab/>
        <w:t>Jeśli dokumentacja projektowa nie zawiera dokumentacji inwentaryzacyjnej lub/i rozbiórkowej, Inżynier może polecić Wykonawcy sporządzenie takiej dokumentacji, w której zostanie określony przewidziany odzysk materiałów.</w:t>
      </w:r>
    </w:p>
    <w:p w:rsidR="00E52B27" w:rsidRDefault="00E52B27" w:rsidP="00E52B27">
      <w:pPr>
        <w:tabs>
          <w:tab w:val="right" w:leader="dot" w:pos="-1985"/>
          <w:tab w:val="left" w:pos="426"/>
          <w:tab w:val="right" w:leader="dot" w:pos="8505"/>
        </w:tabs>
        <w:jc w:val="both"/>
      </w:pPr>
      <w:r>
        <w:tab/>
        <w:t>Roboty rozbiórkowe można wykonywać mechanicznie lub ręcznie w sposób określony w SST lub przez Inżyniera.</w:t>
      </w:r>
    </w:p>
    <w:p w:rsidR="00E52B27" w:rsidRDefault="00E52B27" w:rsidP="00E52B27">
      <w:pPr>
        <w:tabs>
          <w:tab w:val="right" w:leader="dot" w:pos="-1985"/>
          <w:tab w:val="left" w:pos="426"/>
          <w:tab w:val="right" w:leader="dot" w:pos="8505"/>
        </w:tabs>
        <w:jc w:val="both"/>
      </w:pPr>
      <w:r>
        <w:tab/>
        <w:t>W przypadku usuwania warstw nawierzchni z zastosowaniem frezarek drogowych, należy spełnić warunki określone w SST D-05.03.11 „Recykling”.</w:t>
      </w:r>
    </w:p>
    <w:p w:rsidR="00E52B27" w:rsidRDefault="00E52B27" w:rsidP="00E52B27">
      <w:pPr>
        <w:tabs>
          <w:tab w:val="right" w:leader="dot" w:pos="-1985"/>
          <w:tab w:val="left" w:pos="426"/>
          <w:tab w:val="right" w:leader="dot" w:pos="8505"/>
        </w:tabs>
        <w:jc w:val="both"/>
      </w:pPr>
      <w:r>
        <w:tab/>
        <w:t>W przypadku robót rozbiórkowych przepustu należy dokonać:</w:t>
      </w:r>
    </w:p>
    <w:p w:rsidR="00E52B27" w:rsidRDefault="00E52B27" w:rsidP="00E52B27">
      <w:pPr>
        <w:numPr>
          <w:ilvl w:val="0"/>
          <w:numId w:val="1"/>
        </w:numPr>
        <w:tabs>
          <w:tab w:val="right" w:leader="dot" w:pos="-1985"/>
          <w:tab w:val="left" w:pos="426"/>
          <w:tab w:val="right" w:leader="dot" w:pos="8505"/>
        </w:tabs>
        <w:jc w:val="both"/>
      </w:pPr>
      <w:r>
        <w:t>odkopania przepustu,</w:t>
      </w:r>
    </w:p>
    <w:p w:rsidR="00E52B27" w:rsidRDefault="00E52B27" w:rsidP="00E52B27">
      <w:pPr>
        <w:numPr>
          <w:ilvl w:val="0"/>
          <w:numId w:val="1"/>
        </w:numPr>
        <w:tabs>
          <w:tab w:val="right" w:leader="dot" w:pos="-1985"/>
          <w:tab w:val="left" w:pos="426"/>
          <w:tab w:val="right" w:leader="dot" w:pos="8505"/>
        </w:tabs>
        <w:jc w:val="both"/>
      </w:pPr>
      <w:r>
        <w:t xml:space="preserve">ew. ustawienia przenośnych rusztowań przy przepustach wyższych od około </w:t>
      </w:r>
      <w:smartTag w:uri="urn:schemas-microsoft-com:office:smarttags" w:element="metricconverter">
        <w:smartTagPr>
          <w:attr w:name="ProductID" w:val="2 m"/>
        </w:smartTagPr>
        <w:r>
          <w:t>2 m</w:t>
        </w:r>
      </w:smartTag>
      <w:r>
        <w:t>,</w:t>
      </w:r>
    </w:p>
    <w:p w:rsidR="00E52B27" w:rsidRDefault="00E52B27" w:rsidP="00E52B27">
      <w:pPr>
        <w:numPr>
          <w:ilvl w:val="0"/>
          <w:numId w:val="1"/>
        </w:numPr>
        <w:tabs>
          <w:tab w:val="right" w:leader="dot" w:pos="-1985"/>
          <w:tab w:val="left" w:pos="426"/>
          <w:tab w:val="right" w:leader="dot" w:pos="8505"/>
        </w:tabs>
        <w:jc w:val="both"/>
      </w:pPr>
      <w:r>
        <w:t>rozbicia elementów, których nie przewiduje się odzyskać, w sposób ręczny lub mechaniczny z ew. przecięciem prętów zbrojeniowych i ich odgięciem,</w:t>
      </w:r>
    </w:p>
    <w:p w:rsidR="00E52B27" w:rsidRDefault="00E52B27" w:rsidP="00E52B27">
      <w:pPr>
        <w:numPr>
          <w:ilvl w:val="0"/>
          <w:numId w:val="1"/>
        </w:numPr>
        <w:tabs>
          <w:tab w:val="right" w:leader="dot" w:pos="-1985"/>
          <w:tab w:val="left" w:pos="426"/>
          <w:tab w:val="right" w:leader="dot" w:pos="8505"/>
        </w:tabs>
        <w:jc w:val="both"/>
      </w:pPr>
      <w:r>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E52B27" w:rsidRDefault="00E52B27" w:rsidP="00E52B27">
      <w:pPr>
        <w:numPr>
          <w:ilvl w:val="0"/>
          <w:numId w:val="1"/>
        </w:numPr>
        <w:tabs>
          <w:tab w:val="right" w:leader="dot" w:pos="-1985"/>
          <w:tab w:val="left" w:pos="426"/>
          <w:tab w:val="right" w:leader="dot" w:pos="8505"/>
        </w:tabs>
        <w:jc w:val="both"/>
      </w:pPr>
      <w:r>
        <w:t>oczyszczenia rozebranych elementów, przewidzianych do powtórnego użycia                      (z zaprawy, kawałków betonu, izolacji itp.) i ich posortowania.</w:t>
      </w:r>
    </w:p>
    <w:p w:rsidR="00E52B27" w:rsidRDefault="00E52B27" w:rsidP="00E52B27">
      <w:pPr>
        <w:tabs>
          <w:tab w:val="right" w:leader="dot" w:pos="-1985"/>
          <w:tab w:val="left" w:pos="426"/>
          <w:tab w:val="right" w:leader="dot" w:pos="8505"/>
        </w:tabs>
        <w:jc w:val="both"/>
      </w:pPr>
      <w: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E52B27" w:rsidRDefault="00E52B27" w:rsidP="00E52B27">
      <w:pPr>
        <w:tabs>
          <w:tab w:val="right" w:leader="dot" w:pos="-1985"/>
          <w:tab w:val="left" w:pos="426"/>
          <w:tab w:val="right" w:leader="dot" w:pos="8505"/>
        </w:tabs>
        <w:jc w:val="both"/>
      </w:pPr>
      <w:r>
        <w:tab/>
        <w:t>Elementy i materiały, które zgodnie z SST stają się własnością Wykonawcy, powinny być usunięte z terenu budowy.</w:t>
      </w:r>
    </w:p>
    <w:p w:rsidR="00E52B27" w:rsidRDefault="00E52B27" w:rsidP="00E52B27">
      <w:pPr>
        <w:tabs>
          <w:tab w:val="right" w:leader="dot" w:pos="-1985"/>
          <w:tab w:val="left" w:pos="426"/>
          <w:tab w:val="right" w:leader="dot" w:pos="8505"/>
        </w:tabs>
        <w:jc w:val="both"/>
      </w:pPr>
      <w: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E52B27" w:rsidRDefault="00E52B27" w:rsidP="00E52B27">
      <w:pPr>
        <w:tabs>
          <w:tab w:val="right" w:leader="dot" w:pos="-1985"/>
          <w:tab w:val="left" w:pos="426"/>
          <w:tab w:val="right" w:leader="dot" w:pos="8505"/>
        </w:tabs>
        <w:jc w:val="both"/>
      </w:pPr>
      <w:r>
        <w:tab/>
        <w:t>Doły w miejscach, gdzie nie przewiduje się wykonania wykopów drogowych należy wypełnić, warstwami, odpowiednim gruntem do poziomu otaczającego terenu i zagęścić zgodnie z wymaganiami określonymi w SST D-02.00.00 „Roboty ziemne”.</w:t>
      </w:r>
    </w:p>
    <w:p w:rsidR="00E52B27" w:rsidRDefault="00E52B27" w:rsidP="00E52B27">
      <w:pPr>
        <w:pStyle w:val="Nagwek1"/>
      </w:pPr>
      <w:bookmarkStart w:id="55" w:name="_Toc12507959"/>
      <w:r>
        <w:lastRenderedPageBreak/>
        <w:t>6. KONTROLA JAKOŚCI ROBÓT</w:t>
      </w:r>
      <w:bookmarkEnd w:id="55"/>
    </w:p>
    <w:p w:rsidR="00E52B27" w:rsidRDefault="00E52B27" w:rsidP="00E52B27">
      <w:pPr>
        <w:pStyle w:val="Nagwek2"/>
      </w:pPr>
      <w:bookmarkStart w:id="56" w:name="_Toc12507960"/>
      <w:r>
        <w:t>6.1. Ogólne zasady kontroli jakości robót</w:t>
      </w:r>
      <w:bookmarkEnd w:id="56"/>
    </w:p>
    <w:p w:rsidR="00E52B27" w:rsidRDefault="00E52B27" w:rsidP="00E52B27">
      <w:pPr>
        <w:tabs>
          <w:tab w:val="right" w:leader="dot" w:pos="-1985"/>
          <w:tab w:val="left" w:pos="426"/>
          <w:tab w:val="right" w:leader="dot" w:pos="8505"/>
        </w:tabs>
        <w:jc w:val="both"/>
      </w:pPr>
      <w:r>
        <w:tab/>
        <w:t>Ogólne zasady kontroli jakości robót podano w SST D-M-00.00.00 „Wymagania ogólne” pkt 6.</w:t>
      </w:r>
    </w:p>
    <w:p w:rsidR="00E52B27" w:rsidRDefault="00E52B27" w:rsidP="00E52B27">
      <w:pPr>
        <w:pStyle w:val="Nagwek2"/>
      </w:pPr>
      <w:bookmarkStart w:id="57" w:name="_Toc12507961"/>
      <w:r>
        <w:t>6.2. Kontrola jakości robót rozbiórkowych</w:t>
      </w:r>
      <w:bookmarkEnd w:id="57"/>
    </w:p>
    <w:p w:rsidR="00E52B27" w:rsidRDefault="00E52B27" w:rsidP="00E52B27">
      <w:pPr>
        <w:tabs>
          <w:tab w:val="right" w:leader="dot" w:pos="-1985"/>
          <w:tab w:val="left" w:pos="426"/>
          <w:tab w:val="right" w:leader="dot" w:pos="8505"/>
        </w:tabs>
        <w:jc w:val="both"/>
      </w:pPr>
      <w:r>
        <w:tab/>
        <w:t>Kontrola jakości robót polega na wizualnej ocenie kompletności wykonanych robót rozbiórkowych oraz sprawdzeniu stopnia uszkodzenia elementów przewidzianych do powtórnego wykorzystania.</w:t>
      </w:r>
    </w:p>
    <w:p w:rsidR="00E52B27" w:rsidRDefault="00E52B27" w:rsidP="00E52B27">
      <w:pPr>
        <w:tabs>
          <w:tab w:val="right" w:leader="dot" w:pos="-1985"/>
          <w:tab w:val="left" w:pos="426"/>
          <w:tab w:val="right" w:leader="dot" w:pos="8505"/>
        </w:tabs>
        <w:jc w:val="both"/>
      </w:pPr>
      <w:r>
        <w:tab/>
        <w:t>Zagęszczenie gruntu wypełniającego ewentualne doły po usuniętych elementach nawierzchni, ogrodzeń i przepustów powinno spełniać odpowiednie wymagania określone w SST D-02.00.00 „Roboty ziemne”.</w:t>
      </w:r>
    </w:p>
    <w:p w:rsidR="00E52B27" w:rsidRDefault="00E52B27" w:rsidP="00E52B27">
      <w:pPr>
        <w:pStyle w:val="Nagwek1"/>
      </w:pPr>
      <w:bookmarkStart w:id="58" w:name="_Toc12507962"/>
      <w:r>
        <w:t>7. OBMIAR ROBÓT</w:t>
      </w:r>
      <w:bookmarkEnd w:id="58"/>
    </w:p>
    <w:p w:rsidR="00E52B27" w:rsidRDefault="00E52B27" w:rsidP="00E52B27">
      <w:pPr>
        <w:pStyle w:val="Nagwek2"/>
      </w:pPr>
      <w:bookmarkStart w:id="59" w:name="_Toc12507963"/>
      <w:r>
        <w:t>7.1. Ogólne zasady obmiaru robót</w:t>
      </w:r>
      <w:bookmarkEnd w:id="59"/>
    </w:p>
    <w:p w:rsidR="00E52B27" w:rsidRDefault="00E52B27" w:rsidP="00E52B27">
      <w:pPr>
        <w:tabs>
          <w:tab w:val="right" w:leader="dot" w:pos="-1985"/>
          <w:tab w:val="left" w:pos="426"/>
          <w:tab w:val="right" w:leader="dot" w:pos="8505"/>
        </w:tabs>
        <w:jc w:val="both"/>
      </w:pPr>
      <w:r>
        <w:rPr>
          <w:b/>
        </w:rPr>
        <w:tab/>
      </w:r>
      <w:r>
        <w:t>Ogólne zasady obmiaru robót podano w SST D-M-00.00.00 „Wymagania ogólne”     pkt 7.</w:t>
      </w:r>
    </w:p>
    <w:p w:rsidR="00E52B27" w:rsidRDefault="00E52B27" w:rsidP="00E52B27">
      <w:pPr>
        <w:pStyle w:val="Nagwek2"/>
      </w:pPr>
      <w:bookmarkStart w:id="60" w:name="_Toc12507964"/>
      <w:r>
        <w:t>7.2. Jednostka obmiarowa</w:t>
      </w:r>
      <w:bookmarkEnd w:id="60"/>
    </w:p>
    <w:p w:rsidR="00E52B27" w:rsidRDefault="00E52B27" w:rsidP="00E52B27">
      <w:pPr>
        <w:tabs>
          <w:tab w:val="right" w:leader="dot" w:pos="-1985"/>
          <w:tab w:val="left" w:pos="426"/>
          <w:tab w:val="right" w:leader="dot" w:pos="8505"/>
        </w:tabs>
        <w:jc w:val="both"/>
      </w:pPr>
      <w:r>
        <w:rPr>
          <w:b/>
        </w:rPr>
        <w:tab/>
      </w:r>
      <w:r>
        <w:t>Jednostką obmiarową robót związanych z rozbiórką elementów dróg i ogrodzeń jest:</w:t>
      </w:r>
    </w:p>
    <w:p w:rsidR="00E52B27" w:rsidRDefault="00E52B27" w:rsidP="00E52B27">
      <w:pPr>
        <w:numPr>
          <w:ilvl w:val="0"/>
          <w:numId w:val="1"/>
        </w:numPr>
        <w:tabs>
          <w:tab w:val="right" w:leader="dot" w:pos="-1985"/>
          <w:tab w:val="left" w:pos="426"/>
          <w:tab w:val="right" w:leader="dot" w:pos="8505"/>
        </w:tabs>
        <w:jc w:val="both"/>
      </w:pPr>
      <w:r>
        <w:t>dla nawierzchni i chodnika - m</w:t>
      </w:r>
      <w:r>
        <w:rPr>
          <w:vertAlign w:val="superscript"/>
        </w:rPr>
        <w:t>2</w:t>
      </w:r>
      <w:r>
        <w:t xml:space="preserve"> (metr kwadratowy),</w:t>
      </w:r>
    </w:p>
    <w:p w:rsidR="00E52B27" w:rsidRDefault="00E52B27" w:rsidP="00E52B27">
      <w:pPr>
        <w:numPr>
          <w:ilvl w:val="0"/>
          <w:numId w:val="1"/>
        </w:numPr>
        <w:tabs>
          <w:tab w:val="right" w:leader="dot" w:pos="-1985"/>
          <w:tab w:val="left" w:pos="426"/>
          <w:tab w:val="right" w:leader="dot" w:pos="8505"/>
        </w:tabs>
        <w:jc w:val="both"/>
      </w:pPr>
      <w:r>
        <w:t>dla krawężnika, opornika, obrzeża, ścieków prefabrykowanych, ogrodzeń, barier i poręczy - m (metr),</w:t>
      </w:r>
    </w:p>
    <w:p w:rsidR="00E52B27" w:rsidRDefault="00E52B27" w:rsidP="00E52B27">
      <w:pPr>
        <w:numPr>
          <w:ilvl w:val="0"/>
          <w:numId w:val="1"/>
        </w:numPr>
        <w:tabs>
          <w:tab w:val="right" w:leader="dot" w:pos="-1985"/>
          <w:tab w:val="left" w:pos="426"/>
          <w:tab w:val="right" w:leader="dot" w:pos="8505"/>
        </w:tabs>
        <w:jc w:val="both"/>
      </w:pPr>
      <w:r>
        <w:t>dla znaków drogowych - szt. (sztuka),</w:t>
      </w:r>
    </w:p>
    <w:p w:rsidR="00E52B27" w:rsidRDefault="00E52B27" w:rsidP="00E52B27">
      <w:pPr>
        <w:numPr>
          <w:ilvl w:val="0"/>
          <w:numId w:val="1"/>
        </w:numPr>
        <w:tabs>
          <w:tab w:val="right" w:leader="dot" w:pos="-1985"/>
          <w:tab w:val="left" w:pos="426"/>
          <w:tab w:val="right" w:leader="dot" w:pos="8505"/>
        </w:tabs>
        <w:jc w:val="both"/>
      </w:pPr>
      <w:r>
        <w:t>dla przepustów i ich elementów</w:t>
      </w:r>
    </w:p>
    <w:p w:rsidR="00E52B27" w:rsidRDefault="00E52B27" w:rsidP="00E52B27">
      <w:pPr>
        <w:tabs>
          <w:tab w:val="right" w:leader="dot" w:pos="-1985"/>
          <w:tab w:val="left" w:pos="426"/>
          <w:tab w:val="right" w:leader="dot" w:pos="8505"/>
        </w:tabs>
        <w:jc w:val="both"/>
      </w:pPr>
      <w:r>
        <w:tab/>
        <w:t>a) betonowych, kamiennych, ceglanych - m</w:t>
      </w:r>
      <w:r>
        <w:rPr>
          <w:vertAlign w:val="superscript"/>
        </w:rPr>
        <w:t>3</w:t>
      </w:r>
      <w:r>
        <w:t xml:space="preserve"> (metr sześcienny),</w:t>
      </w:r>
    </w:p>
    <w:p w:rsidR="00E52B27" w:rsidRDefault="00E52B27" w:rsidP="00E52B27">
      <w:pPr>
        <w:tabs>
          <w:tab w:val="right" w:leader="dot" w:pos="-1985"/>
          <w:tab w:val="left" w:pos="426"/>
          <w:tab w:val="right" w:leader="dot" w:pos="8505"/>
        </w:tabs>
        <w:jc w:val="both"/>
      </w:pPr>
      <w:r>
        <w:tab/>
        <w:t>b) prefabrykowanych betonowych, żelbetowych - m (metr).</w:t>
      </w:r>
    </w:p>
    <w:p w:rsidR="00E52B27" w:rsidRDefault="00E52B27" w:rsidP="00E52B27">
      <w:pPr>
        <w:pStyle w:val="Nagwek1"/>
      </w:pPr>
      <w:bookmarkStart w:id="61" w:name="_Toc12507965"/>
      <w:r>
        <w:t>8. ODBIÓR ROBÓT</w:t>
      </w:r>
      <w:bookmarkEnd w:id="61"/>
    </w:p>
    <w:p w:rsidR="00E52B27" w:rsidRDefault="00E52B27" w:rsidP="00E52B27">
      <w:pPr>
        <w:tabs>
          <w:tab w:val="right" w:leader="dot" w:pos="-1985"/>
          <w:tab w:val="left" w:pos="426"/>
          <w:tab w:val="right" w:leader="dot" w:pos="8505"/>
        </w:tabs>
        <w:jc w:val="both"/>
      </w:pPr>
      <w:r>
        <w:rPr>
          <w:b/>
        </w:rPr>
        <w:tab/>
      </w:r>
      <w:r>
        <w:t>Ogólne zasady odbioru robót podano w SST D-M-00.00.00 „Wymagania ogólne”            pkt 8.</w:t>
      </w:r>
    </w:p>
    <w:p w:rsidR="00E52B27" w:rsidRDefault="00E52B27" w:rsidP="00E52B27">
      <w:pPr>
        <w:pStyle w:val="Nagwek1"/>
      </w:pPr>
      <w:bookmarkStart w:id="62" w:name="_Toc12507966"/>
      <w:r>
        <w:t>9. PODSTAWA PŁATNOŚCI</w:t>
      </w:r>
      <w:bookmarkEnd w:id="62"/>
    </w:p>
    <w:p w:rsidR="00E52B27" w:rsidRDefault="00E52B27" w:rsidP="00E52B27">
      <w:pPr>
        <w:pStyle w:val="Nagwek2"/>
      </w:pPr>
      <w:bookmarkStart w:id="63" w:name="_Toc12507967"/>
      <w:r>
        <w:t>9.1. Ogólne ustalenia dotyczące podstawy płatności</w:t>
      </w:r>
      <w:bookmarkEnd w:id="63"/>
    </w:p>
    <w:p w:rsidR="00E52B27" w:rsidRDefault="00E52B27" w:rsidP="00E52B27">
      <w:pPr>
        <w:tabs>
          <w:tab w:val="right" w:leader="dot" w:pos="-1985"/>
          <w:tab w:val="left" w:pos="426"/>
          <w:tab w:val="right" w:leader="dot" w:pos="8505"/>
        </w:tabs>
        <w:jc w:val="both"/>
      </w:pPr>
      <w:r>
        <w:rPr>
          <w:b/>
        </w:rPr>
        <w:tab/>
      </w:r>
      <w:r>
        <w:t>Ogólne ustalenia dotyczące podstawy płatności podano w SST D-M-00.00.00 „Wymagania ogólne” pkt 9.</w:t>
      </w:r>
    </w:p>
    <w:p w:rsidR="00E52B27" w:rsidRDefault="00E52B27" w:rsidP="00E52B27">
      <w:pPr>
        <w:pStyle w:val="Nagwek2"/>
      </w:pPr>
      <w:bookmarkStart w:id="64" w:name="_Toc12507968"/>
      <w:r>
        <w:t>9.2. Cena jednostki obmiarowej</w:t>
      </w:r>
      <w:bookmarkEnd w:id="64"/>
    </w:p>
    <w:p w:rsidR="00E52B27" w:rsidRDefault="00E52B27" w:rsidP="00E52B27">
      <w:pPr>
        <w:tabs>
          <w:tab w:val="right" w:leader="dot" w:pos="-1985"/>
          <w:tab w:val="left" w:pos="426"/>
          <w:tab w:val="right" w:leader="dot" w:pos="8505"/>
        </w:tabs>
        <w:jc w:val="both"/>
      </w:pPr>
      <w:r>
        <w:tab/>
        <w:t>Cena wykonania robót obejmuje:</w:t>
      </w:r>
    </w:p>
    <w:p w:rsidR="00E52B27" w:rsidRDefault="00E52B27" w:rsidP="00E52B27">
      <w:pPr>
        <w:tabs>
          <w:tab w:val="right" w:leader="dot" w:pos="-1985"/>
          <w:tab w:val="left" w:pos="426"/>
          <w:tab w:val="right" w:leader="dot" w:pos="8505"/>
        </w:tabs>
        <w:jc w:val="both"/>
      </w:pPr>
      <w:r>
        <w:t>a) dla rozbiórki warstw nawierzchni:</w:t>
      </w:r>
    </w:p>
    <w:p w:rsidR="00E52B27" w:rsidRDefault="00E52B27" w:rsidP="00E52B27">
      <w:pPr>
        <w:numPr>
          <w:ilvl w:val="0"/>
          <w:numId w:val="1"/>
        </w:numPr>
        <w:tabs>
          <w:tab w:val="right" w:leader="dot" w:pos="-1985"/>
          <w:tab w:val="left" w:pos="426"/>
          <w:tab w:val="right" w:leader="dot" w:pos="8505"/>
        </w:tabs>
        <w:jc w:val="both"/>
      </w:pPr>
      <w:r>
        <w:t>wyznaczenie powierzchni przeznaczonej do rozbiórki,</w:t>
      </w:r>
    </w:p>
    <w:p w:rsidR="00E52B27" w:rsidRDefault="00E52B27" w:rsidP="00E52B27">
      <w:pPr>
        <w:numPr>
          <w:ilvl w:val="0"/>
          <w:numId w:val="1"/>
        </w:numPr>
        <w:tabs>
          <w:tab w:val="right" w:leader="dot" w:pos="-1985"/>
          <w:tab w:val="left" w:pos="426"/>
          <w:tab w:val="right" w:leader="dot" w:pos="8505"/>
        </w:tabs>
        <w:jc w:val="both"/>
      </w:pPr>
      <w:r>
        <w:t>rozkucie i zerwanie nawierzchni,</w:t>
      </w:r>
    </w:p>
    <w:p w:rsidR="00E52B27" w:rsidRDefault="00E52B27" w:rsidP="00E52B27">
      <w:pPr>
        <w:numPr>
          <w:ilvl w:val="0"/>
          <w:numId w:val="1"/>
        </w:numPr>
        <w:tabs>
          <w:tab w:val="right" w:leader="dot" w:pos="-1985"/>
          <w:tab w:val="left" w:pos="426"/>
          <w:tab w:val="right" w:leader="dot" w:pos="8505"/>
        </w:tabs>
        <w:jc w:val="both"/>
      </w:pPr>
      <w:r>
        <w:t>ew. przesortowanie materiału uzyskanego z rozbiórki, w celu ponownego jej użycia, z ułożeniem na poboczu,</w:t>
      </w:r>
    </w:p>
    <w:p w:rsidR="00E52B27" w:rsidRDefault="00E52B27" w:rsidP="00E52B27">
      <w:pPr>
        <w:numPr>
          <w:ilvl w:val="0"/>
          <w:numId w:val="1"/>
        </w:numPr>
        <w:tabs>
          <w:tab w:val="right" w:leader="dot" w:pos="-1985"/>
          <w:tab w:val="left" w:pos="426"/>
          <w:tab w:val="right" w:leader="dot" w:pos="8505"/>
        </w:tabs>
        <w:jc w:val="both"/>
      </w:pPr>
      <w:r>
        <w:t>załadunek i wywiezienie materiałów z rozbiórki,</w:t>
      </w:r>
    </w:p>
    <w:p w:rsidR="00E52B27" w:rsidRDefault="00E52B27" w:rsidP="00E52B27">
      <w:pPr>
        <w:numPr>
          <w:ilvl w:val="0"/>
          <w:numId w:val="1"/>
        </w:numPr>
        <w:tabs>
          <w:tab w:val="right" w:leader="dot" w:pos="-1985"/>
          <w:tab w:val="left" w:pos="426"/>
          <w:tab w:val="right" w:leader="dot" w:pos="8505"/>
        </w:tabs>
        <w:jc w:val="both"/>
      </w:pPr>
      <w:r>
        <w:t>wyrównanie podłoża i uporządkowanie terenu rozbiórki;</w:t>
      </w:r>
    </w:p>
    <w:p w:rsidR="00E52B27" w:rsidRDefault="00E52B27" w:rsidP="00E52B27">
      <w:pPr>
        <w:tabs>
          <w:tab w:val="right" w:leader="dot" w:pos="-1985"/>
          <w:tab w:val="left" w:pos="426"/>
          <w:tab w:val="right" w:leader="dot" w:pos="8505"/>
        </w:tabs>
        <w:jc w:val="both"/>
      </w:pPr>
      <w:r>
        <w:t>b) dla rozbiórki krawężników, obrzeży i oporników:</w:t>
      </w:r>
    </w:p>
    <w:p w:rsidR="00E52B27" w:rsidRDefault="00E52B27" w:rsidP="00E52B27">
      <w:pPr>
        <w:numPr>
          <w:ilvl w:val="0"/>
          <w:numId w:val="1"/>
        </w:numPr>
        <w:tabs>
          <w:tab w:val="right" w:leader="dot" w:pos="-1985"/>
          <w:tab w:val="left" w:pos="426"/>
          <w:tab w:val="right" w:leader="dot" w:pos="8505"/>
        </w:tabs>
        <w:jc w:val="both"/>
      </w:pPr>
      <w:r>
        <w:t>odkopanie krawężników, obrzeży i oporników wraz z wyjęciem i oczyszczeniem,</w:t>
      </w:r>
    </w:p>
    <w:p w:rsidR="00E52B27" w:rsidRDefault="00E52B27" w:rsidP="00E52B27">
      <w:pPr>
        <w:numPr>
          <w:ilvl w:val="0"/>
          <w:numId w:val="1"/>
        </w:numPr>
        <w:tabs>
          <w:tab w:val="right" w:leader="dot" w:pos="-1985"/>
          <w:tab w:val="left" w:pos="426"/>
          <w:tab w:val="right" w:leader="dot" w:pos="8505"/>
        </w:tabs>
        <w:jc w:val="both"/>
      </w:pPr>
      <w:r>
        <w:t>zerwanie podsypki cementowo-piaskowej i ew. ław,</w:t>
      </w:r>
    </w:p>
    <w:p w:rsidR="00E52B27" w:rsidRDefault="00E52B27" w:rsidP="00E52B27">
      <w:pPr>
        <w:numPr>
          <w:ilvl w:val="0"/>
          <w:numId w:val="1"/>
        </w:numPr>
        <w:tabs>
          <w:tab w:val="right" w:leader="dot" w:pos="-1985"/>
          <w:tab w:val="left" w:pos="426"/>
          <w:tab w:val="right" w:leader="dot" w:pos="8505"/>
        </w:tabs>
        <w:jc w:val="both"/>
      </w:pPr>
      <w:r>
        <w:t>załadunek i wywiezienie materiału z rozbiórki,</w:t>
      </w:r>
    </w:p>
    <w:p w:rsidR="00E52B27" w:rsidRDefault="00E52B27" w:rsidP="00E52B27">
      <w:pPr>
        <w:numPr>
          <w:ilvl w:val="0"/>
          <w:numId w:val="1"/>
        </w:numPr>
        <w:tabs>
          <w:tab w:val="right" w:leader="dot" w:pos="-1985"/>
          <w:tab w:val="left" w:pos="426"/>
          <w:tab w:val="right" w:leader="dot" w:pos="8505"/>
        </w:tabs>
        <w:jc w:val="both"/>
      </w:pPr>
      <w:r>
        <w:t>wyrównanie podłoża i uporządkowanie terenu rozbiórki;</w:t>
      </w:r>
    </w:p>
    <w:p w:rsidR="00E52B27" w:rsidRDefault="00E52B27" w:rsidP="00E52B27">
      <w:pPr>
        <w:tabs>
          <w:tab w:val="right" w:leader="dot" w:pos="-1985"/>
          <w:tab w:val="left" w:pos="426"/>
          <w:tab w:val="right" w:leader="dot" w:pos="8505"/>
        </w:tabs>
        <w:jc w:val="both"/>
      </w:pPr>
      <w:r>
        <w:t>d) dla rozbiórki chodników:</w:t>
      </w:r>
    </w:p>
    <w:p w:rsidR="00E52B27" w:rsidRDefault="00E52B27" w:rsidP="00E52B27">
      <w:pPr>
        <w:numPr>
          <w:ilvl w:val="0"/>
          <w:numId w:val="1"/>
        </w:numPr>
        <w:tabs>
          <w:tab w:val="right" w:leader="dot" w:pos="-1985"/>
          <w:tab w:val="left" w:pos="426"/>
          <w:tab w:val="right" w:leader="dot" w:pos="8505"/>
        </w:tabs>
        <w:jc w:val="both"/>
      </w:pPr>
      <w:r>
        <w:t>ręczne wyjęcie płyt chodnikowych, lub rozkucie i zerwanie innych materiałów chodnikowych,</w:t>
      </w:r>
    </w:p>
    <w:p w:rsidR="00E52B27" w:rsidRDefault="00E52B27" w:rsidP="00E52B27">
      <w:pPr>
        <w:numPr>
          <w:ilvl w:val="0"/>
          <w:numId w:val="1"/>
        </w:numPr>
        <w:tabs>
          <w:tab w:val="right" w:leader="dot" w:pos="-1985"/>
          <w:tab w:val="left" w:pos="426"/>
          <w:tab w:val="right" w:leader="dot" w:pos="8505"/>
        </w:tabs>
        <w:jc w:val="both"/>
      </w:pPr>
      <w:r>
        <w:t>ew. przesortowanie materiału uzyskanego z rozbiórki w celu ponownego jego użycia, z ułożeniem na poboczu,</w:t>
      </w:r>
    </w:p>
    <w:p w:rsidR="00E52B27" w:rsidRDefault="00E52B27" w:rsidP="00E52B27">
      <w:pPr>
        <w:numPr>
          <w:ilvl w:val="0"/>
          <w:numId w:val="1"/>
        </w:numPr>
        <w:tabs>
          <w:tab w:val="right" w:leader="dot" w:pos="-1985"/>
          <w:tab w:val="left" w:pos="426"/>
          <w:tab w:val="right" w:leader="dot" w:pos="8505"/>
        </w:tabs>
        <w:jc w:val="both"/>
      </w:pPr>
      <w:r>
        <w:t>zerwanie podsypki cementowo-piaskowej,</w:t>
      </w:r>
    </w:p>
    <w:p w:rsidR="00E52B27" w:rsidRDefault="00E52B27" w:rsidP="00E52B27">
      <w:pPr>
        <w:numPr>
          <w:ilvl w:val="0"/>
          <w:numId w:val="1"/>
        </w:numPr>
        <w:tabs>
          <w:tab w:val="right" w:leader="dot" w:pos="-1985"/>
          <w:tab w:val="left" w:pos="426"/>
          <w:tab w:val="right" w:leader="dot" w:pos="8505"/>
        </w:tabs>
        <w:jc w:val="both"/>
      </w:pPr>
      <w:r>
        <w:t>załadunek i wywiezienie materiałów z rozbiórki,</w:t>
      </w:r>
    </w:p>
    <w:p w:rsidR="00E52B27" w:rsidRDefault="00E52B27" w:rsidP="00E52B27">
      <w:pPr>
        <w:numPr>
          <w:ilvl w:val="0"/>
          <w:numId w:val="1"/>
        </w:numPr>
        <w:tabs>
          <w:tab w:val="right" w:leader="dot" w:pos="-1985"/>
          <w:tab w:val="left" w:pos="426"/>
          <w:tab w:val="right" w:leader="dot" w:pos="8505"/>
        </w:tabs>
        <w:jc w:val="both"/>
      </w:pPr>
      <w:r>
        <w:t>wyrównanie podłoża i uporządkowanie terenu rozbiórki;</w:t>
      </w:r>
    </w:p>
    <w:p w:rsidR="00E52B27" w:rsidRDefault="00E52B27" w:rsidP="00E52B27">
      <w:pPr>
        <w:numPr>
          <w:ilvl w:val="0"/>
          <w:numId w:val="1"/>
        </w:numPr>
        <w:tabs>
          <w:tab w:val="right" w:leader="dot" w:pos="-1985"/>
          <w:tab w:val="left" w:pos="426"/>
          <w:tab w:val="right" w:leader="dot" w:pos="8505"/>
        </w:tabs>
        <w:jc w:val="both"/>
      </w:pPr>
      <w:r>
        <w:t>załadunek i wywiezienie materiałów z rozbiórki,</w:t>
      </w:r>
    </w:p>
    <w:p w:rsidR="00E52B27" w:rsidRDefault="00E52B27" w:rsidP="00E52B27">
      <w:pPr>
        <w:numPr>
          <w:ilvl w:val="0"/>
          <w:numId w:val="1"/>
        </w:numPr>
        <w:tabs>
          <w:tab w:val="right" w:leader="dot" w:pos="-1985"/>
          <w:tab w:val="left" w:pos="426"/>
          <w:tab w:val="right" w:leader="dot" w:pos="8505"/>
        </w:tabs>
        <w:jc w:val="both"/>
      </w:pPr>
      <w:r>
        <w:t xml:space="preserve">zasypanie dołów (wykopów) gruntem z zagęszczeniem do uzyskania </w:t>
      </w:r>
      <w:proofErr w:type="spellStart"/>
      <w:r>
        <w:t>Is</w:t>
      </w:r>
      <w:proofErr w:type="spellEnd"/>
      <w:r>
        <w:t xml:space="preserve"> </w:t>
      </w:r>
      <w:r>
        <w:sym w:font="Symbol" w:char="F0B3"/>
      </w:r>
      <w:r>
        <w:t xml:space="preserve"> 1,00 wg BN</w:t>
      </w:r>
      <w:r>
        <w:noBreakHyphen/>
        <w:t>77/8931-12 [9],</w:t>
      </w:r>
    </w:p>
    <w:p w:rsidR="00E52B27" w:rsidRDefault="00E52B27" w:rsidP="00E52B27">
      <w:pPr>
        <w:numPr>
          <w:ilvl w:val="0"/>
          <w:numId w:val="1"/>
        </w:numPr>
        <w:tabs>
          <w:tab w:val="right" w:leader="dot" w:pos="-1985"/>
          <w:tab w:val="left" w:pos="426"/>
          <w:tab w:val="right" w:leader="dot" w:pos="8505"/>
        </w:tabs>
        <w:jc w:val="both"/>
      </w:pPr>
      <w:r>
        <w:t>uporządkowanie terenu rozbiórki.</w:t>
      </w:r>
    </w:p>
    <w:p w:rsidR="00E52B27" w:rsidRDefault="00E52B27" w:rsidP="00E52B27">
      <w:pPr>
        <w:pStyle w:val="Nagwek1"/>
      </w:pPr>
      <w:bookmarkStart w:id="65" w:name="_Toc12507969"/>
      <w:r>
        <w:t>10. PRZEPISY ZWIĄZANE</w:t>
      </w:r>
      <w:bookmarkEnd w:id="65"/>
    </w:p>
    <w:p w:rsidR="00E52B27" w:rsidRDefault="00E52B27" w:rsidP="00E52B27">
      <w:pPr>
        <w:pStyle w:val="Nagwek2"/>
        <w:spacing w:before="0"/>
      </w:pPr>
      <w:bookmarkStart w:id="66" w:name="_Toc12507970"/>
      <w:r>
        <w:t>Normy</w:t>
      </w:r>
      <w:bookmarkEnd w:id="66"/>
    </w:p>
    <w:tbl>
      <w:tblPr>
        <w:tblW w:w="0" w:type="auto"/>
        <w:tblLayout w:type="fixed"/>
        <w:tblCellMar>
          <w:left w:w="70" w:type="dxa"/>
          <w:right w:w="70" w:type="dxa"/>
        </w:tblCellMar>
        <w:tblLook w:val="0000" w:firstRow="0" w:lastRow="0" w:firstColumn="0" w:lastColumn="0" w:noHBand="0" w:noVBand="0"/>
      </w:tblPr>
      <w:tblGrid>
        <w:gridCol w:w="496"/>
        <w:gridCol w:w="2551"/>
        <w:gridCol w:w="4394"/>
      </w:tblGrid>
      <w:tr w:rsidR="00E52B27" w:rsidTr="00E52B27">
        <w:tc>
          <w:tcPr>
            <w:tcW w:w="496" w:type="dxa"/>
          </w:tcPr>
          <w:p w:rsidR="00E52B27" w:rsidRDefault="00E52B27" w:rsidP="00E52B27">
            <w:pPr>
              <w:tabs>
                <w:tab w:val="right" w:leader="dot" w:pos="-1985"/>
                <w:tab w:val="left" w:pos="426"/>
                <w:tab w:val="right" w:leader="dot" w:pos="8505"/>
              </w:tabs>
              <w:jc w:val="both"/>
            </w:pPr>
            <w:r>
              <w:t>1.</w:t>
            </w:r>
          </w:p>
        </w:tc>
        <w:tc>
          <w:tcPr>
            <w:tcW w:w="2551" w:type="dxa"/>
          </w:tcPr>
          <w:p w:rsidR="00E52B27" w:rsidRDefault="00E52B27" w:rsidP="00E52B27">
            <w:pPr>
              <w:tabs>
                <w:tab w:val="right" w:leader="dot" w:pos="-1985"/>
                <w:tab w:val="left" w:pos="426"/>
                <w:tab w:val="right" w:leader="dot" w:pos="8505"/>
              </w:tabs>
              <w:jc w:val="both"/>
            </w:pPr>
            <w:r>
              <w:t>PN-D-95017</w:t>
            </w:r>
          </w:p>
        </w:tc>
        <w:tc>
          <w:tcPr>
            <w:tcW w:w="4394" w:type="dxa"/>
          </w:tcPr>
          <w:p w:rsidR="00E52B27" w:rsidRDefault="00E52B27" w:rsidP="00E52B27">
            <w:pPr>
              <w:tabs>
                <w:tab w:val="right" w:leader="dot" w:pos="-1985"/>
                <w:tab w:val="left" w:pos="426"/>
                <w:tab w:val="right" w:leader="dot" w:pos="8505"/>
              </w:tabs>
            </w:pPr>
            <w:r>
              <w:t>Surowiec drzewny. Drewno tartaczne iglaste.</w:t>
            </w:r>
          </w:p>
        </w:tc>
      </w:tr>
      <w:tr w:rsidR="00E52B27" w:rsidTr="00E52B27">
        <w:tc>
          <w:tcPr>
            <w:tcW w:w="496" w:type="dxa"/>
          </w:tcPr>
          <w:p w:rsidR="00E52B27" w:rsidRDefault="00E52B27" w:rsidP="00E52B27">
            <w:pPr>
              <w:tabs>
                <w:tab w:val="right" w:leader="dot" w:pos="-1985"/>
                <w:tab w:val="left" w:pos="426"/>
                <w:tab w:val="right" w:leader="dot" w:pos="8505"/>
              </w:tabs>
              <w:jc w:val="both"/>
            </w:pPr>
            <w:r>
              <w:t>2.</w:t>
            </w:r>
          </w:p>
        </w:tc>
        <w:tc>
          <w:tcPr>
            <w:tcW w:w="2551" w:type="dxa"/>
          </w:tcPr>
          <w:p w:rsidR="00E52B27" w:rsidRDefault="00E52B27" w:rsidP="00E52B27">
            <w:pPr>
              <w:tabs>
                <w:tab w:val="right" w:leader="dot" w:pos="-1985"/>
                <w:tab w:val="left" w:pos="426"/>
                <w:tab w:val="right" w:leader="dot" w:pos="8505"/>
              </w:tabs>
              <w:jc w:val="both"/>
            </w:pPr>
            <w:r>
              <w:t>PN-D-96000</w:t>
            </w:r>
          </w:p>
        </w:tc>
        <w:tc>
          <w:tcPr>
            <w:tcW w:w="4394" w:type="dxa"/>
          </w:tcPr>
          <w:p w:rsidR="00E52B27" w:rsidRDefault="00E52B27" w:rsidP="00E52B27">
            <w:pPr>
              <w:tabs>
                <w:tab w:val="right" w:leader="dot" w:pos="-1985"/>
                <w:tab w:val="left" w:pos="426"/>
                <w:tab w:val="right" w:leader="dot" w:pos="8505"/>
              </w:tabs>
              <w:jc w:val="both"/>
            </w:pPr>
            <w:r>
              <w:t>Tarcica iglasta ogólnego przeznaczenia</w:t>
            </w:r>
          </w:p>
        </w:tc>
      </w:tr>
      <w:tr w:rsidR="00E52B27" w:rsidTr="00E52B27">
        <w:tc>
          <w:tcPr>
            <w:tcW w:w="496" w:type="dxa"/>
          </w:tcPr>
          <w:p w:rsidR="00E52B27" w:rsidRDefault="00E52B27" w:rsidP="00E52B27">
            <w:pPr>
              <w:tabs>
                <w:tab w:val="right" w:leader="dot" w:pos="-1985"/>
                <w:tab w:val="left" w:pos="426"/>
                <w:tab w:val="right" w:leader="dot" w:pos="8505"/>
              </w:tabs>
              <w:jc w:val="both"/>
            </w:pPr>
            <w:r>
              <w:lastRenderedPageBreak/>
              <w:t>3.</w:t>
            </w:r>
          </w:p>
        </w:tc>
        <w:tc>
          <w:tcPr>
            <w:tcW w:w="2551" w:type="dxa"/>
          </w:tcPr>
          <w:p w:rsidR="00E52B27" w:rsidRDefault="00E52B27" w:rsidP="00E52B27">
            <w:pPr>
              <w:tabs>
                <w:tab w:val="right" w:leader="dot" w:pos="-1985"/>
                <w:tab w:val="left" w:pos="426"/>
                <w:tab w:val="right" w:leader="dot" w:pos="8505"/>
              </w:tabs>
              <w:jc w:val="both"/>
            </w:pPr>
            <w:r>
              <w:t>PN-D-96002</w:t>
            </w:r>
          </w:p>
        </w:tc>
        <w:tc>
          <w:tcPr>
            <w:tcW w:w="4394" w:type="dxa"/>
          </w:tcPr>
          <w:p w:rsidR="00E52B27" w:rsidRDefault="00E52B27" w:rsidP="00E52B27">
            <w:pPr>
              <w:tabs>
                <w:tab w:val="right" w:leader="dot" w:pos="-1985"/>
                <w:tab w:val="left" w:pos="426"/>
                <w:tab w:val="right" w:leader="dot" w:pos="8505"/>
              </w:tabs>
              <w:jc w:val="both"/>
            </w:pPr>
            <w:r>
              <w:t>Tarcica liściasta ogólnego przeznaczenia</w:t>
            </w:r>
          </w:p>
        </w:tc>
      </w:tr>
      <w:tr w:rsidR="00E52B27" w:rsidTr="00E52B27">
        <w:tc>
          <w:tcPr>
            <w:tcW w:w="496" w:type="dxa"/>
          </w:tcPr>
          <w:p w:rsidR="00E52B27" w:rsidRDefault="00E52B27" w:rsidP="00E52B27">
            <w:pPr>
              <w:tabs>
                <w:tab w:val="right" w:leader="dot" w:pos="-1985"/>
                <w:tab w:val="left" w:pos="426"/>
                <w:tab w:val="right" w:leader="dot" w:pos="8505"/>
              </w:tabs>
              <w:jc w:val="both"/>
            </w:pPr>
            <w:r>
              <w:t>4.</w:t>
            </w:r>
          </w:p>
        </w:tc>
        <w:tc>
          <w:tcPr>
            <w:tcW w:w="2551" w:type="dxa"/>
          </w:tcPr>
          <w:p w:rsidR="00E52B27" w:rsidRDefault="00E52B27" w:rsidP="00E52B27">
            <w:pPr>
              <w:tabs>
                <w:tab w:val="right" w:leader="dot" w:pos="-1985"/>
                <w:tab w:val="left" w:pos="426"/>
                <w:tab w:val="right" w:leader="dot" w:pos="8505"/>
              </w:tabs>
              <w:jc w:val="both"/>
            </w:pPr>
            <w:r>
              <w:t>PN-H-74219</w:t>
            </w:r>
          </w:p>
        </w:tc>
        <w:tc>
          <w:tcPr>
            <w:tcW w:w="4394" w:type="dxa"/>
          </w:tcPr>
          <w:p w:rsidR="00E52B27" w:rsidRDefault="00E52B27" w:rsidP="00E52B27">
            <w:pPr>
              <w:tabs>
                <w:tab w:val="right" w:leader="dot" w:pos="-1985"/>
                <w:tab w:val="left" w:pos="426"/>
                <w:tab w:val="right" w:leader="dot" w:pos="8505"/>
              </w:tabs>
            </w:pPr>
            <w:r>
              <w:t>Rury stalowe bez szwu walcowane na gorąco ogólnego stosowania</w:t>
            </w:r>
          </w:p>
        </w:tc>
      </w:tr>
      <w:tr w:rsidR="00E52B27" w:rsidTr="00E52B27">
        <w:tc>
          <w:tcPr>
            <w:tcW w:w="496" w:type="dxa"/>
          </w:tcPr>
          <w:p w:rsidR="00E52B27" w:rsidRDefault="00E52B27" w:rsidP="00E52B27">
            <w:pPr>
              <w:tabs>
                <w:tab w:val="right" w:leader="dot" w:pos="-1985"/>
                <w:tab w:val="left" w:pos="426"/>
                <w:tab w:val="right" w:leader="dot" w:pos="8505"/>
              </w:tabs>
              <w:jc w:val="both"/>
            </w:pPr>
            <w:r>
              <w:t>5.</w:t>
            </w:r>
          </w:p>
        </w:tc>
        <w:tc>
          <w:tcPr>
            <w:tcW w:w="2551" w:type="dxa"/>
          </w:tcPr>
          <w:p w:rsidR="00E52B27" w:rsidRDefault="00E52B27" w:rsidP="00E52B27">
            <w:pPr>
              <w:tabs>
                <w:tab w:val="right" w:leader="dot" w:pos="-1985"/>
                <w:tab w:val="left" w:pos="426"/>
                <w:tab w:val="right" w:leader="dot" w:pos="8505"/>
              </w:tabs>
              <w:jc w:val="both"/>
            </w:pPr>
            <w:r>
              <w:t>PN-H-74220</w:t>
            </w:r>
          </w:p>
        </w:tc>
        <w:tc>
          <w:tcPr>
            <w:tcW w:w="4394" w:type="dxa"/>
          </w:tcPr>
          <w:p w:rsidR="00E52B27" w:rsidRDefault="00E52B27" w:rsidP="00E52B27">
            <w:pPr>
              <w:tabs>
                <w:tab w:val="right" w:leader="dot" w:pos="-1985"/>
                <w:tab w:val="left" w:pos="426"/>
                <w:tab w:val="right" w:leader="dot" w:pos="8505"/>
              </w:tabs>
            </w:pPr>
            <w:r>
              <w:t>Rury stalowe bez szwu ciągnione i walcowane na zimno ogólnego przeznaczenia</w:t>
            </w:r>
          </w:p>
        </w:tc>
      </w:tr>
      <w:tr w:rsidR="00E52B27" w:rsidTr="00E52B27">
        <w:tc>
          <w:tcPr>
            <w:tcW w:w="496" w:type="dxa"/>
          </w:tcPr>
          <w:p w:rsidR="00E52B27" w:rsidRDefault="00E52B27" w:rsidP="00E52B27">
            <w:pPr>
              <w:tabs>
                <w:tab w:val="right" w:leader="dot" w:pos="-1985"/>
                <w:tab w:val="left" w:pos="426"/>
                <w:tab w:val="right" w:leader="dot" w:pos="8505"/>
              </w:tabs>
              <w:jc w:val="both"/>
            </w:pPr>
            <w:r>
              <w:t>6.</w:t>
            </w:r>
          </w:p>
        </w:tc>
        <w:tc>
          <w:tcPr>
            <w:tcW w:w="2551" w:type="dxa"/>
          </w:tcPr>
          <w:p w:rsidR="00E52B27" w:rsidRDefault="00E52B27" w:rsidP="00E52B27">
            <w:pPr>
              <w:tabs>
                <w:tab w:val="right" w:leader="dot" w:pos="-1985"/>
                <w:tab w:val="left" w:pos="426"/>
                <w:tab w:val="right" w:leader="dot" w:pos="8505"/>
              </w:tabs>
              <w:jc w:val="both"/>
            </w:pPr>
            <w:r>
              <w:t>PN-H-93401</w:t>
            </w:r>
          </w:p>
        </w:tc>
        <w:tc>
          <w:tcPr>
            <w:tcW w:w="4394" w:type="dxa"/>
          </w:tcPr>
          <w:p w:rsidR="00E52B27" w:rsidRDefault="00E52B27" w:rsidP="00E52B27">
            <w:pPr>
              <w:tabs>
                <w:tab w:val="right" w:leader="dot" w:pos="-1985"/>
                <w:tab w:val="left" w:pos="426"/>
                <w:tab w:val="right" w:leader="dot" w:pos="8505"/>
              </w:tabs>
            </w:pPr>
            <w:r>
              <w:t>Stal walcowana. Kątowniki równoramienne</w:t>
            </w:r>
          </w:p>
        </w:tc>
      </w:tr>
      <w:tr w:rsidR="00E52B27" w:rsidTr="00E52B27">
        <w:tc>
          <w:tcPr>
            <w:tcW w:w="496" w:type="dxa"/>
          </w:tcPr>
          <w:p w:rsidR="00E52B27" w:rsidRDefault="00E52B27" w:rsidP="00E52B27">
            <w:pPr>
              <w:tabs>
                <w:tab w:val="right" w:leader="dot" w:pos="-1985"/>
                <w:tab w:val="left" w:pos="426"/>
                <w:tab w:val="right" w:leader="dot" w:pos="8505"/>
              </w:tabs>
              <w:jc w:val="both"/>
            </w:pPr>
            <w:r>
              <w:t>7.</w:t>
            </w:r>
          </w:p>
        </w:tc>
        <w:tc>
          <w:tcPr>
            <w:tcW w:w="2551" w:type="dxa"/>
          </w:tcPr>
          <w:p w:rsidR="00E52B27" w:rsidRDefault="00E52B27" w:rsidP="00E52B27">
            <w:pPr>
              <w:tabs>
                <w:tab w:val="right" w:leader="dot" w:pos="-1985"/>
                <w:tab w:val="left" w:pos="426"/>
                <w:tab w:val="right" w:leader="dot" w:pos="8505"/>
              </w:tabs>
              <w:jc w:val="both"/>
            </w:pPr>
            <w:r>
              <w:t>PN-H-93402</w:t>
            </w:r>
          </w:p>
        </w:tc>
        <w:tc>
          <w:tcPr>
            <w:tcW w:w="4394" w:type="dxa"/>
          </w:tcPr>
          <w:p w:rsidR="00E52B27" w:rsidRDefault="00E52B27" w:rsidP="00E52B27">
            <w:pPr>
              <w:tabs>
                <w:tab w:val="right" w:leader="dot" w:pos="-1985"/>
                <w:tab w:val="left" w:pos="426"/>
                <w:tab w:val="right" w:leader="dot" w:pos="8505"/>
              </w:tabs>
            </w:pPr>
            <w:r>
              <w:t>Kątowniki nierównoramienne stalowe walcowane na gorąco</w:t>
            </w:r>
          </w:p>
        </w:tc>
      </w:tr>
      <w:tr w:rsidR="00E52B27" w:rsidTr="00E52B27">
        <w:tc>
          <w:tcPr>
            <w:tcW w:w="496" w:type="dxa"/>
          </w:tcPr>
          <w:p w:rsidR="00E52B27" w:rsidRDefault="00E52B27" w:rsidP="00E52B27">
            <w:pPr>
              <w:tabs>
                <w:tab w:val="right" w:leader="dot" w:pos="-1985"/>
                <w:tab w:val="left" w:pos="426"/>
                <w:tab w:val="right" w:leader="dot" w:pos="8505"/>
              </w:tabs>
              <w:jc w:val="both"/>
            </w:pPr>
            <w:r>
              <w:t>8.</w:t>
            </w:r>
          </w:p>
        </w:tc>
        <w:tc>
          <w:tcPr>
            <w:tcW w:w="2551" w:type="dxa"/>
          </w:tcPr>
          <w:p w:rsidR="00E52B27" w:rsidRDefault="00E52B27" w:rsidP="00E52B27">
            <w:pPr>
              <w:tabs>
                <w:tab w:val="right" w:leader="dot" w:pos="-1985"/>
                <w:tab w:val="left" w:pos="426"/>
                <w:tab w:val="right" w:leader="dot" w:pos="8505"/>
              </w:tabs>
              <w:jc w:val="both"/>
            </w:pPr>
            <w:r>
              <w:t>BN-87/5028-12</w:t>
            </w:r>
          </w:p>
        </w:tc>
        <w:tc>
          <w:tcPr>
            <w:tcW w:w="4394" w:type="dxa"/>
          </w:tcPr>
          <w:p w:rsidR="00E52B27" w:rsidRDefault="00E52B27" w:rsidP="00E52B27">
            <w:pPr>
              <w:tabs>
                <w:tab w:val="right" w:leader="dot" w:pos="-1985"/>
                <w:tab w:val="left" w:pos="426"/>
                <w:tab w:val="right" w:leader="dot" w:pos="8505"/>
              </w:tabs>
            </w:pPr>
            <w:r>
              <w:t>Gwoździe budowlane. Gwoździe z trzpieniem gładkim, okrągłym i kwadratowym</w:t>
            </w:r>
          </w:p>
        </w:tc>
      </w:tr>
      <w:tr w:rsidR="00E52B27" w:rsidTr="00E52B27">
        <w:tc>
          <w:tcPr>
            <w:tcW w:w="496" w:type="dxa"/>
          </w:tcPr>
          <w:p w:rsidR="00E52B27" w:rsidRDefault="00E52B27" w:rsidP="00E52B27">
            <w:pPr>
              <w:tabs>
                <w:tab w:val="right" w:leader="dot" w:pos="-1985"/>
                <w:tab w:val="left" w:pos="426"/>
                <w:tab w:val="right" w:leader="dot" w:pos="8505"/>
              </w:tabs>
              <w:jc w:val="both"/>
            </w:pPr>
            <w:r>
              <w:t>9.</w:t>
            </w:r>
          </w:p>
        </w:tc>
        <w:tc>
          <w:tcPr>
            <w:tcW w:w="2551" w:type="dxa"/>
          </w:tcPr>
          <w:p w:rsidR="00E52B27" w:rsidRDefault="00E52B27" w:rsidP="00E52B27">
            <w:pPr>
              <w:tabs>
                <w:tab w:val="right" w:leader="dot" w:pos="-1985"/>
                <w:tab w:val="left" w:pos="426"/>
                <w:tab w:val="right" w:leader="dot" w:pos="8505"/>
              </w:tabs>
              <w:jc w:val="both"/>
            </w:pPr>
            <w:r>
              <w:t>BN-77/8931-12</w:t>
            </w:r>
          </w:p>
        </w:tc>
        <w:tc>
          <w:tcPr>
            <w:tcW w:w="4394" w:type="dxa"/>
          </w:tcPr>
          <w:p w:rsidR="00E52B27" w:rsidRDefault="00E52B27" w:rsidP="00E52B27">
            <w:pPr>
              <w:tabs>
                <w:tab w:val="right" w:leader="dot" w:pos="-1985"/>
                <w:tab w:val="left" w:pos="426"/>
                <w:tab w:val="right" w:leader="dot" w:pos="8505"/>
              </w:tabs>
            </w:pPr>
            <w:r>
              <w:t>Oznaczenie wskaźnika zagęszczenia gruntu.</w:t>
            </w:r>
          </w:p>
        </w:tc>
      </w:tr>
    </w:tbl>
    <w:p w:rsidR="00E52B27" w:rsidRDefault="00E52B27" w:rsidP="00E52B27"/>
    <w:p w:rsidR="00E52B27" w:rsidRDefault="00E52B27"/>
    <w:p w:rsidR="00E52B27" w:rsidRDefault="00E52B27"/>
    <w:p w:rsidR="00E52B27" w:rsidRDefault="00E52B27"/>
    <w:p w:rsidR="00E52B27" w:rsidRDefault="00E52B27"/>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A36FDB" w:rsidRDefault="00A36FDB"/>
    <w:p w:rsidR="00E52B27" w:rsidRDefault="00E52B27" w:rsidP="00E52B27">
      <w:pPr>
        <w:pStyle w:val="Standardowytekst"/>
        <w:rPr>
          <w:b/>
          <w:sz w:val="28"/>
        </w:rPr>
      </w:pPr>
      <w:bookmarkStart w:id="67" w:name="_Hlk15765038"/>
      <w:r>
        <w:rPr>
          <w:b/>
          <w:sz w:val="28"/>
        </w:rPr>
        <w:lastRenderedPageBreak/>
        <w:t>D-04.01.01.    KORYTO  WRAZ  Z  PROFILOWANIEM</w:t>
      </w:r>
    </w:p>
    <w:p w:rsidR="00E52B27" w:rsidRDefault="00E52B27" w:rsidP="00E52B27">
      <w:pPr>
        <w:pStyle w:val="Standardowytekst"/>
        <w:rPr>
          <w:b/>
          <w:sz w:val="28"/>
        </w:rPr>
      </w:pPr>
      <w:r>
        <w:rPr>
          <w:b/>
          <w:sz w:val="28"/>
        </w:rPr>
        <w:t xml:space="preserve">                        I  ZAGĘSZCZANIEM  PODŁOŻA</w:t>
      </w:r>
    </w:p>
    <w:bookmarkEnd w:id="67"/>
    <w:p w:rsidR="00E52B27" w:rsidRDefault="00E52B27" w:rsidP="00E52B27">
      <w:pPr>
        <w:pStyle w:val="Standardowytekst"/>
        <w:rPr>
          <w:b/>
          <w:sz w:val="28"/>
        </w:rPr>
      </w:pPr>
    </w:p>
    <w:p w:rsidR="00E52B27" w:rsidRDefault="00E52B27" w:rsidP="00E52B27">
      <w:pPr>
        <w:pStyle w:val="Nagwek1"/>
      </w:pPr>
      <w:r>
        <w:t>1. WSTĘP</w:t>
      </w:r>
    </w:p>
    <w:p w:rsidR="00E52B27" w:rsidRDefault="00E52B27" w:rsidP="00E52B27">
      <w:pPr>
        <w:pStyle w:val="Nagwek2"/>
      </w:pPr>
      <w:r>
        <w:t>1.1. Przedmiot SST</w:t>
      </w:r>
    </w:p>
    <w:p w:rsidR="00E52B27" w:rsidRDefault="00E52B27" w:rsidP="00E52B27">
      <w:pPr>
        <w:pStyle w:val="tekstost"/>
      </w:pPr>
      <w:r>
        <w:tab/>
        <w:t xml:space="preserve">Przedmiotem niniejszej szczegółowej specyfikacji technicznej (SST) są wymagania dotyczące wykonania i odbioru robót związanych z wykonywaniem koryta wraz z profilowaniem i zagęszczaniem podłoża gruntowego </w:t>
      </w:r>
    </w:p>
    <w:p w:rsidR="00E52B27" w:rsidRDefault="00E52B27" w:rsidP="00E52B27">
      <w:pPr>
        <w:pStyle w:val="Nagwek2"/>
        <w:tabs>
          <w:tab w:val="left" w:pos="5482"/>
        </w:tabs>
      </w:pPr>
      <w:r>
        <w:t>1.2. Zakres stosowania SST</w:t>
      </w:r>
      <w:r>
        <w:tab/>
      </w:r>
    </w:p>
    <w:p w:rsidR="00E52B27" w:rsidRDefault="00E52B27" w:rsidP="00E52B27">
      <w:pPr>
        <w:jc w:val="both"/>
      </w:pPr>
      <w:r>
        <w:tab/>
        <w:t>Szczegółowa specyfikacja techniczna (SST) stanowi jako dokument przetargowy i kontraktowy przy zlecaniu i realizacji robót na drogach .</w:t>
      </w:r>
    </w:p>
    <w:p w:rsidR="00E52B27" w:rsidRDefault="00E52B27" w:rsidP="00E52B27">
      <w:pPr>
        <w:pStyle w:val="Nagwek2"/>
      </w:pPr>
      <w:r>
        <w:t>1.3. Zakres robót objętych SST</w:t>
      </w:r>
    </w:p>
    <w:p w:rsidR="00E52B27" w:rsidRDefault="00E52B27" w:rsidP="00E52B27">
      <w:pPr>
        <w:jc w:val="both"/>
      </w:pPr>
      <w:r>
        <w:tab/>
        <w:t xml:space="preserve">Ustalenia zawarte w niniejszej specyfikacji dotyczą zasad prowadzenia robót związanych z wykonaniem koryta przeznaczonego do ułożenia konstrukcji nawierzchni. </w:t>
      </w:r>
    </w:p>
    <w:p w:rsidR="00E52B27" w:rsidRDefault="00E52B27" w:rsidP="00E52B27">
      <w:pPr>
        <w:pStyle w:val="Nagwek2"/>
      </w:pPr>
      <w:r>
        <w:t>1.4. Określenia podstawowe</w:t>
      </w:r>
    </w:p>
    <w:p w:rsidR="00E52B27" w:rsidRDefault="00E52B27" w:rsidP="00E52B27">
      <w:pPr>
        <w:jc w:val="both"/>
      </w:pPr>
      <w:r>
        <w:tab/>
        <w:t>Określenia podstawowe są zgodne z obowiązującymi, odpowiednimi polskimi normami i definicjami podanymi w SST D-00.00.00 „Wymagania ogólne” pkt 1.4.</w:t>
      </w:r>
    </w:p>
    <w:p w:rsidR="00E52B27" w:rsidRDefault="00E52B27" w:rsidP="00E52B27">
      <w:pPr>
        <w:pStyle w:val="Nagwek2"/>
      </w:pPr>
      <w:r>
        <w:t>1.5. Ogólne wymagania dotyczące robót</w:t>
      </w:r>
    </w:p>
    <w:p w:rsidR="00E52B27" w:rsidRDefault="00E52B27" w:rsidP="00E52B27">
      <w:pPr>
        <w:jc w:val="both"/>
      </w:pPr>
      <w:r>
        <w:tab/>
        <w:t>Ogólne wymagania dotyczące robót podano w SST D-00.00.00 „Wymagania ogólne” pkt 1.5.</w:t>
      </w:r>
    </w:p>
    <w:p w:rsidR="00E52B27" w:rsidRDefault="00E52B27" w:rsidP="00E52B27">
      <w:pPr>
        <w:pStyle w:val="Nagwek1"/>
      </w:pPr>
      <w:r>
        <w:t>2. materiały</w:t>
      </w:r>
    </w:p>
    <w:p w:rsidR="00E52B27" w:rsidRDefault="00E52B27" w:rsidP="00E52B27">
      <w:pPr>
        <w:jc w:val="both"/>
      </w:pPr>
      <w:r>
        <w:tab/>
        <w:t>Nie występują.</w:t>
      </w:r>
    </w:p>
    <w:p w:rsidR="00E52B27" w:rsidRDefault="00E52B27" w:rsidP="00E52B27">
      <w:pPr>
        <w:pStyle w:val="Nagwek1"/>
      </w:pPr>
      <w:r>
        <w:t>3. sprzęt</w:t>
      </w:r>
    </w:p>
    <w:p w:rsidR="00E52B27" w:rsidRDefault="00E52B27" w:rsidP="00E52B27">
      <w:pPr>
        <w:pStyle w:val="Nagwek2"/>
      </w:pPr>
      <w:r>
        <w:t>3.1. Ogólne wymagania dotyczące sprzętu</w:t>
      </w:r>
    </w:p>
    <w:p w:rsidR="00E52B27" w:rsidRDefault="00E52B27" w:rsidP="00E52B27">
      <w:pPr>
        <w:jc w:val="both"/>
      </w:pPr>
      <w:r>
        <w:tab/>
        <w:t>Ogólne wymagania dotyczące sprzętu podano w SST D-00.00.00 „Wymagania ogólne” pkt 3.</w:t>
      </w:r>
    </w:p>
    <w:p w:rsidR="00E52B27" w:rsidRDefault="00E52B27" w:rsidP="00E52B27">
      <w:pPr>
        <w:pStyle w:val="Nagwek2"/>
      </w:pPr>
      <w:r>
        <w:t>3.2. Sprzęt do wykonania robót</w:t>
      </w:r>
    </w:p>
    <w:p w:rsidR="00E52B27" w:rsidRDefault="00E52B27" w:rsidP="00E52B27">
      <w:pPr>
        <w:jc w:val="both"/>
      </w:pPr>
      <w:r>
        <w:tab/>
        <w:t>Wykonawca przystępujący do wykonania koryta i profilowania podłoża powinien wykazać się możliwością korzystania z następującego sprzętu:</w:t>
      </w:r>
    </w:p>
    <w:p w:rsidR="00E52B27" w:rsidRDefault="00E52B27" w:rsidP="00E52B27">
      <w:pPr>
        <w:numPr>
          <w:ilvl w:val="0"/>
          <w:numId w:val="1"/>
        </w:numPr>
        <w:ind w:left="284" w:hanging="284"/>
        <w:jc w:val="both"/>
      </w:pPr>
      <w:r>
        <w:t>równiarek lub spycharek uniwersalnych z ukośnie ustawianym lemieszem; Inżynier może dopuścić wykonanie koryta i profilowanie podłoża z zastosowaniem spycharki z lemieszem ustawionym prostopadle do kierunku pracy maszyny,</w:t>
      </w:r>
    </w:p>
    <w:p w:rsidR="00E52B27" w:rsidRDefault="00E52B27" w:rsidP="00E52B27">
      <w:pPr>
        <w:numPr>
          <w:ilvl w:val="0"/>
          <w:numId w:val="1"/>
        </w:numPr>
        <w:jc w:val="both"/>
      </w:pPr>
      <w:r>
        <w:t>koparek z czerpakami profilowymi (przy wykonywaniu wąskich koryt),</w:t>
      </w:r>
    </w:p>
    <w:p w:rsidR="00E52B27" w:rsidRDefault="00E52B27" w:rsidP="00E52B27">
      <w:pPr>
        <w:numPr>
          <w:ilvl w:val="0"/>
          <w:numId w:val="1"/>
        </w:numPr>
        <w:jc w:val="both"/>
      </w:pPr>
      <w:r>
        <w:t>walców statycznych, wibracyjnych lub płyt wibracyjnych.</w:t>
      </w:r>
    </w:p>
    <w:p w:rsidR="00E52B27" w:rsidRDefault="00E52B27" w:rsidP="00E52B27">
      <w:pPr>
        <w:jc w:val="both"/>
      </w:pPr>
      <w:r>
        <w:tab/>
        <w:t>Stosowany sprzęt nie może spowodować niekorzystnego wpływu na właściwości gruntu podłoża.</w:t>
      </w:r>
    </w:p>
    <w:p w:rsidR="00E52B27" w:rsidRDefault="00E52B27" w:rsidP="00E52B27">
      <w:pPr>
        <w:pStyle w:val="Nagwek1"/>
      </w:pPr>
      <w:r>
        <w:t>4. transport</w:t>
      </w:r>
    </w:p>
    <w:p w:rsidR="00E52B27" w:rsidRDefault="00E52B27" w:rsidP="00E52B27">
      <w:pPr>
        <w:pStyle w:val="Nagwek2"/>
      </w:pPr>
      <w:r>
        <w:t>4.1. Ogólne wymagania dotyczące transportu</w:t>
      </w:r>
    </w:p>
    <w:p w:rsidR="00E52B27" w:rsidRDefault="00E52B27" w:rsidP="00E52B27">
      <w:pPr>
        <w:jc w:val="both"/>
      </w:pPr>
      <w:r>
        <w:tab/>
        <w:t>Ogólne wymagania dotyczące transportu podano w SST D-00.00.00 „Wymagania ogólne” pkt 4.</w:t>
      </w:r>
    </w:p>
    <w:p w:rsidR="00E52B27" w:rsidRDefault="00E52B27" w:rsidP="00E52B27">
      <w:pPr>
        <w:pStyle w:val="Nagwek2"/>
      </w:pPr>
      <w:r>
        <w:t>4.2. Transport materiałów</w:t>
      </w:r>
    </w:p>
    <w:p w:rsidR="00E52B27" w:rsidRDefault="00E52B27" w:rsidP="00E52B27">
      <w:pPr>
        <w:jc w:val="both"/>
      </w:pPr>
      <w:r>
        <w:tab/>
        <w:t>Wymagania dotyczące transportu materiałów podano w OST D-04.02.01, , D-04.03.01 pkt 4.</w:t>
      </w:r>
    </w:p>
    <w:p w:rsidR="00E52B27" w:rsidRDefault="00E52B27" w:rsidP="00E52B27">
      <w:pPr>
        <w:pStyle w:val="Nagwek1"/>
      </w:pPr>
      <w:r>
        <w:t>5. wykonanie robót</w:t>
      </w:r>
    </w:p>
    <w:p w:rsidR="00E52B27" w:rsidRDefault="00E52B27" w:rsidP="00E52B27">
      <w:pPr>
        <w:pStyle w:val="Nagwek2"/>
      </w:pPr>
      <w:r>
        <w:t>5.1. Ogólne zasady wykonania robót</w:t>
      </w:r>
    </w:p>
    <w:p w:rsidR="00E52B27" w:rsidRDefault="00E52B27" w:rsidP="00E52B27">
      <w:pPr>
        <w:jc w:val="both"/>
      </w:pPr>
      <w:r>
        <w:tab/>
        <w:t>Ogólne zasady wykonania robót podano w SST D-00.00.00 „Wymagania ogólne” pkt 5.</w:t>
      </w:r>
    </w:p>
    <w:p w:rsidR="00E52B27" w:rsidRDefault="00E52B27" w:rsidP="00E52B27">
      <w:pPr>
        <w:pStyle w:val="Nagwek2"/>
      </w:pPr>
      <w:r>
        <w:t>5.2. Warunki przystąpienia do robót</w:t>
      </w:r>
    </w:p>
    <w:p w:rsidR="00E52B27" w:rsidRDefault="00E52B27" w:rsidP="00E52B27">
      <w:pPr>
        <w:jc w:val="both"/>
      </w:pPr>
      <w:r>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rsidR="00E52B27" w:rsidRDefault="00E52B27" w:rsidP="00E52B27">
      <w:pPr>
        <w:jc w:val="both"/>
      </w:pPr>
      <w:r>
        <w:lastRenderedPageBreak/>
        <w:tab/>
        <w:t>W wykonanym korycie oraz po wyprofilowanym i zagęszczonym podłożu nie może odbywać się ruch budowlany, niezwiązany bezpośrednio z wykonaniem pierwszej warstwy nawierzchni.</w:t>
      </w:r>
    </w:p>
    <w:p w:rsidR="00E52B27" w:rsidRDefault="00E52B27" w:rsidP="00E52B27">
      <w:pPr>
        <w:pStyle w:val="Nagwek2"/>
      </w:pPr>
      <w:r>
        <w:t>5.3. Wykonanie koryta</w:t>
      </w:r>
    </w:p>
    <w:p w:rsidR="00E52B27" w:rsidRDefault="00E52B27" w:rsidP="00E52B27">
      <w:pPr>
        <w:jc w:val="both"/>
      </w:pPr>
      <w:r>
        <w:tab/>
        <w:t>Paliki lub szpilki do prawidłowego ukształtowania koryta w planie i profilu powinny być wcześniej przygotowane.</w:t>
      </w:r>
    </w:p>
    <w:p w:rsidR="00E52B27" w:rsidRDefault="00E52B27" w:rsidP="00E52B27">
      <w:pPr>
        <w:jc w:val="both"/>
      </w:pPr>
      <w:r>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E52B27" w:rsidRDefault="00E52B27" w:rsidP="00E52B27">
      <w:pPr>
        <w:jc w:val="both"/>
      </w:pPr>
      <w:r>
        <w:tab/>
        <w:t xml:space="preserve">Rodzaj sprzętu, a w szczególności jego moc należy dostosować do rodzaju gruntu, w którym prowadzone są roboty i do trudności jego odspojenia. </w:t>
      </w:r>
    </w:p>
    <w:p w:rsidR="00E52B27" w:rsidRDefault="00E52B27" w:rsidP="00E52B27">
      <w:pPr>
        <w:jc w:val="both"/>
      </w:pPr>
      <w:r>
        <w:tab/>
        <w:t>Koryto można wykonywać ręcznie, gdy jego szerokość nie pozwala na zastosowanie maszyn, na przykład na poszerzeniach lub w przypadku robót o małym zakresie. Sposób wykonania musi być zaakceptowany przez Inżyniera.</w:t>
      </w:r>
    </w:p>
    <w:p w:rsidR="00E52B27" w:rsidRDefault="00E52B27" w:rsidP="00E52B27">
      <w:pPr>
        <w:jc w:val="both"/>
      </w:pPr>
      <w:r>
        <w:tab/>
        <w:t>Grunt odspojony w czasie wykonywania koryta powinien być wykorzystany zgodnie z ustaleniami dokumentacji projektowej i SST, tj. wbudowany w nasyp lub odwieziony na odkład w miejsce wskazane przez Inżyniera.</w:t>
      </w:r>
    </w:p>
    <w:p w:rsidR="00E52B27" w:rsidRDefault="00E52B27" w:rsidP="00E52B27">
      <w:pPr>
        <w:jc w:val="both"/>
      </w:pPr>
      <w:r>
        <w:tab/>
        <w:t>Profilowanie i zagęszczenie podłoża należy wykonać zgodnie z zasadami określonymi w pkt 5.4.</w:t>
      </w:r>
    </w:p>
    <w:p w:rsidR="00E52B27" w:rsidRDefault="00E52B27" w:rsidP="00E52B27">
      <w:pPr>
        <w:pStyle w:val="Nagwek2"/>
      </w:pPr>
      <w:r>
        <w:t>5.4. Profilowanie i zagęszczanie podłoża</w:t>
      </w:r>
    </w:p>
    <w:p w:rsidR="00E52B27" w:rsidRDefault="00E52B27" w:rsidP="00E52B27">
      <w:pPr>
        <w:jc w:val="both"/>
      </w:pPr>
      <w:r>
        <w:tab/>
        <w:t>Przed przystąpieniem do profilowania podłoże powinno być oczyszczone ze wszelkich zanieczyszczeń.</w:t>
      </w:r>
    </w:p>
    <w:p w:rsidR="00E52B27" w:rsidRDefault="00E52B27" w:rsidP="00E52B27">
      <w:pPr>
        <w:jc w:val="both"/>
      </w:pPr>
      <w: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E52B27" w:rsidRDefault="00E52B27" w:rsidP="00E52B27">
      <w:pPr>
        <w:jc w:val="both"/>
      </w:pPr>
      <w: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E52B27" w:rsidRDefault="00E52B27" w:rsidP="00E52B27">
      <w:pPr>
        <w:jc w:val="both"/>
      </w:pPr>
      <w:r>
        <w:tab/>
        <w:t>Do profilowania podłoża należy stosować równiarki. Ścięty grunt powinien być wykorzystany w robotach ziemnych lub w inny sposób zaakceptowany przez Inżyniera.</w:t>
      </w:r>
    </w:p>
    <w:p w:rsidR="00E52B27" w:rsidRDefault="00E52B27" w:rsidP="00E52B27">
      <w:pPr>
        <w:jc w:val="both"/>
      </w:pPr>
      <w: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E52B27" w:rsidRDefault="00E52B27" w:rsidP="00E52B27">
      <w:pPr>
        <w:spacing w:before="120" w:after="120"/>
        <w:jc w:val="both"/>
      </w:pPr>
      <w:r>
        <w:t>Tablica 1. Minimalne wartości wskaźnika zagęszczenia podłoża (</w:t>
      </w:r>
      <w:proofErr w:type="spellStart"/>
      <w:r>
        <w:t>I</w:t>
      </w:r>
      <w:r>
        <w:rPr>
          <w:vertAlign w:val="subscript"/>
        </w:rPr>
        <w:t>s</w:t>
      </w:r>
      <w:proofErr w:type="spellEnd"/>
      <w:r>
        <w:t>)</w:t>
      </w:r>
    </w:p>
    <w:tbl>
      <w:tblPr>
        <w:tblW w:w="0" w:type="auto"/>
        <w:tblLayout w:type="fixed"/>
        <w:tblCellMar>
          <w:left w:w="70" w:type="dxa"/>
          <w:right w:w="70" w:type="dxa"/>
        </w:tblCellMar>
        <w:tblLook w:val="0000" w:firstRow="0" w:lastRow="0" w:firstColumn="0" w:lastColumn="0" w:noHBand="0" w:noVBand="0"/>
      </w:tblPr>
      <w:tblGrid>
        <w:gridCol w:w="2905"/>
        <w:gridCol w:w="2410"/>
      </w:tblGrid>
      <w:tr w:rsidR="00E52B27" w:rsidTr="00E52B27">
        <w:tc>
          <w:tcPr>
            <w:tcW w:w="2905" w:type="dxa"/>
            <w:tcBorders>
              <w:top w:val="single" w:sz="6" w:space="0" w:color="auto"/>
              <w:left w:val="single" w:sz="6" w:space="0" w:color="auto"/>
            </w:tcBorders>
          </w:tcPr>
          <w:p w:rsidR="00E52B27" w:rsidRDefault="00E52B27" w:rsidP="00E52B27">
            <w:pPr>
              <w:jc w:val="both"/>
            </w:pPr>
          </w:p>
        </w:tc>
        <w:tc>
          <w:tcPr>
            <w:tcW w:w="2410" w:type="dxa"/>
            <w:tcBorders>
              <w:top w:val="single" w:sz="6" w:space="0" w:color="auto"/>
              <w:left w:val="single" w:sz="6" w:space="0" w:color="auto"/>
              <w:bottom w:val="single" w:sz="6" w:space="0" w:color="auto"/>
              <w:right w:val="single" w:sz="6" w:space="0" w:color="auto"/>
            </w:tcBorders>
          </w:tcPr>
          <w:p w:rsidR="00E52B27" w:rsidRDefault="00E52B27" w:rsidP="00E52B27">
            <w:pPr>
              <w:jc w:val="center"/>
            </w:pPr>
            <w:r>
              <w:t xml:space="preserve">Minimalna wartość </w:t>
            </w:r>
            <w:proofErr w:type="spellStart"/>
            <w:r>
              <w:t>I</w:t>
            </w:r>
            <w:r>
              <w:rPr>
                <w:vertAlign w:val="subscript"/>
              </w:rPr>
              <w:t>s</w:t>
            </w:r>
            <w:proofErr w:type="spellEnd"/>
            <w:r>
              <w:t xml:space="preserve"> dla</w:t>
            </w:r>
          </w:p>
        </w:tc>
      </w:tr>
      <w:tr w:rsidR="00E52B27" w:rsidTr="00E52B27">
        <w:trPr>
          <w:cantSplit/>
        </w:trPr>
        <w:tc>
          <w:tcPr>
            <w:tcW w:w="2905" w:type="dxa"/>
            <w:tcBorders>
              <w:left w:val="single" w:sz="6" w:space="0" w:color="auto"/>
            </w:tcBorders>
          </w:tcPr>
          <w:p w:rsidR="00E52B27" w:rsidRDefault="00E52B27" w:rsidP="00E52B27">
            <w:pPr>
              <w:jc w:val="both"/>
            </w:pPr>
            <w:r>
              <w:t>Strefa</w:t>
            </w:r>
          </w:p>
        </w:tc>
        <w:tc>
          <w:tcPr>
            <w:tcW w:w="2410" w:type="dxa"/>
            <w:tcBorders>
              <w:left w:val="single" w:sz="6" w:space="0" w:color="auto"/>
              <w:right w:val="single" w:sz="6" w:space="0" w:color="auto"/>
            </w:tcBorders>
          </w:tcPr>
          <w:p w:rsidR="00E52B27" w:rsidRDefault="00E52B27" w:rsidP="00E52B27">
            <w:pPr>
              <w:jc w:val="center"/>
            </w:pPr>
            <w:r>
              <w:t>Innych dróg</w:t>
            </w:r>
          </w:p>
        </w:tc>
      </w:tr>
      <w:tr w:rsidR="00E52B27" w:rsidTr="00E52B27">
        <w:trPr>
          <w:cantSplit/>
        </w:trPr>
        <w:tc>
          <w:tcPr>
            <w:tcW w:w="2905" w:type="dxa"/>
            <w:tcBorders>
              <w:left w:val="single" w:sz="6" w:space="0" w:color="auto"/>
              <w:bottom w:val="double" w:sz="6" w:space="0" w:color="auto"/>
            </w:tcBorders>
          </w:tcPr>
          <w:p w:rsidR="00E52B27" w:rsidRDefault="00E52B27" w:rsidP="00E52B27">
            <w:pPr>
              <w:jc w:val="both"/>
            </w:pPr>
            <w:r>
              <w:t>korpusu</w:t>
            </w:r>
          </w:p>
        </w:tc>
        <w:tc>
          <w:tcPr>
            <w:tcW w:w="2410" w:type="dxa"/>
            <w:tcBorders>
              <w:left w:val="single" w:sz="6" w:space="0" w:color="auto"/>
              <w:bottom w:val="double" w:sz="6" w:space="0" w:color="auto"/>
              <w:right w:val="single" w:sz="6" w:space="0" w:color="auto"/>
            </w:tcBorders>
          </w:tcPr>
          <w:p w:rsidR="00E52B27" w:rsidRDefault="00E52B27" w:rsidP="00E52B27">
            <w:pPr>
              <w:jc w:val="center"/>
              <w:rPr>
                <w:sz w:val="16"/>
              </w:rPr>
            </w:pPr>
            <w:r>
              <w:rPr>
                <w:b/>
              </w:rPr>
              <w:t>KR2</w:t>
            </w:r>
          </w:p>
        </w:tc>
      </w:tr>
      <w:tr w:rsidR="00E52B27" w:rsidTr="00E52B27">
        <w:trPr>
          <w:cantSplit/>
        </w:trPr>
        <w:tc>
          <w:tcPr>
            <w:tcW w:w="2905" w:type="dxa"/>
            <w:tcBorders>
              <w:left w:val="single" w:sz="6" w:space="0" w:color="auto"/>
              <w:bottom w:val="single" w:sz="6" w:space="0" w:color="auto"/>
              <w:right w:val="single" w:sz="6" w:space="0" w:color="auto"/>
            </w:tcBorders>
          </w:tcPr>
          <w:p w:rsidR="00E52B27" w:rsidRDefault="00E52B27" w:rsidP="00E52B27">
            <w:pPr>
              <w:spacing w:before="60"/>
              <w:jc w:val="both"/>
            </w:pPr>
            <w:r>
              <w:t>Górna warstwa o grubości 20 cm</w:t>
            </w:r>
          </w:p>
        </w:tc>
        <w:tc>
          <w:tcPr>
            <w:tcW w:w="2410" w:type="dxa"/>
            <w:tcBorders>
              <w:left w:val="single" w:sz="6" w:space="0" w:color="auto"/>
              <w:bottom w:val="single" w:sz="6" w:space="0" w:color="auto"/>
              <w:right w:val="single" w:sz="6" w:space="0" w:color="auto"/>
            </w:tcBorders>
          </w:tcPr>
          <w:p w:rsidR="00E52B27" w:rsidRDefault="00E52B27" w:rsidP="00E52B27">
            <w:pPr>
              <w:spacing w:before="60"/>
              <w:jc w:val="center"/>
            </w:pPr>
            <w:r>
              <w:t>1,00</w:t>
            </w:r>
          </w:p>
        </w:tc>
      </w:tr>
      <w:tr w:rsidR="00E52B27" w:rsidTr="00E52B27">
        <w:trPr>
          <w:cantSplit/>
        </w:trPr>
        <w:tc>
          <w:tcPr>
            <w:tcW w:w="2905" w:type="dxa"/>
            <w:tcBorders>
              <w:top w:val="single" w:sz="6" w:space="0" w:color="auto"/>
              <w:left w:val="single" w:sz="6" w:space="0" w:color="auto"/>
              <w:bottom w:val="single" w:sz="6" w:space="0" w:color="auto"/>
              <w:right w:val="single" w:sz="6" w:space="0" w:color="auto"/>
            </w:tcBorders>
          </w:tcPr>
          <w:p w:rsidR="00E52B27" w:rsidRDefault="00E52B27" w:rsidP="00E52B27">
            <w:pPr>
              <w:jc w:val="both"/>
            </w:pPr>
            <w:r>
              <w:t>Na głębokości od 20 do 50 cm od powierzchni podłoża</w:t>
            </w:r>
          </w:p>
        </w:tc>
        <w:tc>
          <w:tcPr>
            <w:tcW w:w="2410" w:type="dxa"/>
            <w:tcBorders>
              <w:top w:val="single" w:sz="6" w:space="0" w:color="auto"/>
              <w:left w:val="single" w:sz="6" w:space="0" w:color="auto"/>
              <w:bottom w:val="single" w:sz="6" w:space="0" w:color="auto"/>
              <w:right w:val="single" w:sz="6" w:space="0" w:color="auto"/>
            </w:tcBorders>
          </w:tcPr>
          <w:p w:rsidR="00E52B27" w:rsidRDefault="00E52B27" w:rsidP="00E52B27">
            <w:pPr>
              <w:jc w:val="center"/>
            </w:pPr>
          </w:p>
          <w:p w:rsidR="00E52B27" w:rsidRDefault="00E52B27" w:rsidP="00E52B27">
            <w:pPr>
              <w:jc w:val="center"/>
            </w:pPr>
            <w:r>
              <w:t>1,00</w:t>
            </w:r>
          </w:p>
        </w:tc>
      </w:tr>
    </w:tbl>
    <w:p w:rsidR="00E52B27" w:rsidRDefault="00E52B27" w:rsidP="00E52B27">
      <w:pPr>
        <w:pStyle w:val="tekstost"/>
      </w:pPr>
    </w:p>
    <w:p w:rsidR="00E52B27" w:rsidRDefault="00E52B27" w:rsidP="00E52B27">
      <w:pPr>
        <w:pStyle w:val="tekstost"/>
      </w:pPr>
      <w:r>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E52B27" w:rsidRDefault="00E52B27" w:rsidP="00E52B27">
      <w:pPr>
        <w:pStyle w:val="tekstost"/>
      </w:pPr>
      <w:r>
        <w:tab/>
        <w:t>Wilgotność gruntu podłoża podczas zagęszczania powinna być równa wilgotności optymalnej z tolerancją od -20% do +10%.</w:t>
      </w:r>
    </w:p>
    <w:p w:rsidR="00E52B27" w:rsidRDefault="00E52B27" w:rsidP="00E52B27">
      <w:pPr>
        <w:pStyle w:val="Nagwek2"/>
      </w:pPr>
      <w:r>
        <w:t>5.5. Utrzymanie koryta oraz wyprofilowanego i zagęszczonego podłoża</w:t>
      </w:r>
    </w:p>
    <w:p w:rsidR="00E52B27" w:rsidRDefault="00E52B27" w:rsidP="00E52B27">
      <w:pPr>
        <w:jc w:val="both"/>
      </w:pPr>
      <w:r>
        <w:tab/>
        <w:t>Podłoże (koryto) po wyprofilowaniu i zagęszczeniu powinno być utrzymywane w dobrym stanie.</w:t>
      </w:r>
    </w:p>
    <w:p w:rsidR="00E52B27" w:rsidRDefault="00E52B27" w:rsidP="00E52B27">
      <w:pPr>
        <w:jc w:val="both"/>
      </w:pPr>
      <w: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E52B27" w:rsidRDefault="00E52B27" w:rsidP="00E52B27">
      <w:pPr>
        <w:jc w:val="both"/>
      </w:pPr>
      <w:r>
        <w:tab/>
        <w:t>Jeżeli wyprofilowane i zagęszczone podłoże uległo nadmiernemu zawilgoceniu, to do układania kolejnej warstwy można przystąpić dopiero po jego naturalnym osuszeniu.</w:t>
      </w:r>
    </w:p>
    <w:p w:rsidR="00E52B27" w:rsidRDefault="00E52B27" w:rsidP="00E52B27">
      <w:pPr>
        <w:jc w:val="both"/>
      </w:pPr>
      <w:r>
        <w:tab/>
        <w:t>Po osuszeniu podłoża Inżynier oceni jego stan i ewentualnie zaleci wykonanie niezbędnych napraw. Jeżeli zawilgocenie nastąpiło wskutek zaniedbania Wykonawcy, to naprawę wykona on na własny koszt.</w:t>
      </w:r>
    </w:p>
    <w:p w:rsidR="00E52B27" w:rsidRDefault="00E52B27" w:rsidP="00E52B27">
      <w:pPr>
        <w:pStyle w:val="Nagwek1"/>
      </w:pPr>
      <w:r>
        <w:lastRenderedPageBreak/>
        <w:t>6. kontrola jakości robót</w:t>
      </w:r>
    </w:p>
    <w:p w:rsidR="00E52B27" w:rsidRDefault="00E52B27" w:rsidP="00E52B27">
      <w:pPr>
        <w:pStyle w:val="Nagwek2"/>
      </w:pPr>
      <w:r>
        <w:t>6.1. Ogólne zasady kontroli jakości robót</w:t>
      </w:r>
    </w:p>
    <w:p w:rsidR="00E52B27" w:rsidRDefault="00E52B27" w:rsidP="00E52B27">
      <w:pPr>
        <w:jc w:val="both"/>
      </w:pPr>
      <w:r>
        <w:tab/>
        <w:t>Ogólne zasady kontroli jakości robót podano w SST D-00.00.00 „Wymagania ogólne” pkt 6.</w:t>
      </w:r>
    </w:p>
    <w:p w:rsidR="00E52B27" w:rsidRDefault="00E52B27" w:rsidP="00E52B27">
      <w:pPr>
        <w:pStyle w:val="Nagwek2"/>
      </w:pPr>
      <w:r>
        <w:t>6.2. Badania w czasie robót</w:t>
      </w:r>
    </w:p>
    <w:p w:rsidR="00E52B27" w:rsidRDefault="00E52B27" w:rsidP="00E52B27">
      <w:pPr>
        <w:spacing w:after="120"/>
        <w:jc w:val="both"/>
      </w:pPr>
      <w:r>
        <w:rPr>
          <w:b/>
        </w:rPr>
        <w:t xml:space="preserve">6.2.1. </w:t>
      </w:r>
      <w:r>
        <w:t>Częstotliwość oraz zakres badań i pomiarów</w:t>
      </w:r>
    </w:p>
    <w:p w:rsidR="00E52B27" w:rsidRDefault="00E52B27" w:rsidP="00E52B27">
      <w:pPr>
        <w:jc w:val="both"/>
      </w:pPr>
      <w:r>
        <w:tab/>
        <w:t>Częstotliwość oraz zakres badań i pomiarów dotyczących cech geometrycznych i zagęszczenia koryta i wyprofilowanego podłoża podaje tablica 2.</w:t>
      </w:r>
    </w:p>
    <w:p w:rsidR="00E52B27" w:rsidRDefault="00E52B27" w:rsidP="00E52B27">
      <w:pPr>
        <w:spacing w:before="120" w:after="120"/>
        <w:ind w:left="1134" w:hanging="1134"/>
        <w:jc w:val="both"/>
      </w:pPr>
      <w:r>
        <w:t>Tablica 2.</w:t>
      </w:r>
      <w:r>
        <w:tab/>
        <w:t>Częstotliwość oraz zakres badań i pomiarów wykonanego koryta 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2247"/>
        <w:gridCol w:w="4703"/>
      </w:tblGrid>
      <w:tr w:rsidR="00E52B27" w:rsidTr="00E52B27">
        <w:tc>
          <w:tcPr>
            <w:tcW w:w="491" w:type="dxa"/>
            <w:tcBorders>
              <w:top w:val="single" w:sz="6" w:space="0" w:color="auto"/>
              <w:left w:val="single" w:sz="6" w:space="0" w:color="auto"/>
              <w:bottom w:val="double" w:sz="6" w:space="0" w:color="auto"/>
              <w:right w:val="single" w:sz="6" w:space="0" w:color="auto"/>
            </w:tcBorders>
          </w:tcPr>
          <w:p w:rsidR="00E52B27" w:rsidRDefault="00E52B27" w:rsidP="00E52B27">
            <w:pPr>
              <w:spacing w:before="120"/>
              <w:jc w:val="both"/>
            </w:pPr>
            <w:r>
              <w:t>Lp.</w:t>
            </w:r>
          </w:p>
        </w:tc>
        <w:tc>
          <w:tcPr>
            <w:tcW w:w="2247" w:type="dxa"/>
            <w:tcBorders>
              <w:top w:val="single" w:sz="6" w:space="0" w:color="auto"/>
              <w:left w:val="single" w:sz="6" w:space="0" w:color="auto"/>
              <w:bottom w:val="double" w:sz="6" w:space="0" w:color="auto"/>
              <w:right w:val="single" w:sz="6" w:space="0" w:color="auto"/>
            </w:tcBorders>
          </w:tcPr>
          <w:p w:rsidR="00E52B27" w:rsidRDefault="00E52B27" w:rsidP="00E52B27">
            <w:pPr>
              <w:spacing w:before="60"/>
              <w:jc w:val="both"/>
            </w:pPr>
            <w:r>
              <w:t>Wyszczególnienie badań</w:t>
            </w:r>
          </w:p>
          <w:p w:rsidR="00E52B27" w:rsidRDefault="00E52B27" w:rsidP="00E52B27">
            <w:pPr>
              <w:jc w:val="both"/>
            </w:pPr>
            <w:r>
              <w:t>i pomiarów</w:t>
            </w:r>
          </w:p>
        </w:tc>
        <w:tc>
          <w:tcPr>
            <w:tcW w:w="4702" w:type="dxa"/>
            <w:tcBorders>
              <w:top w:val="single" w:sz="6" w:space="0" w:color="auto"/>
              <w:left w:val="single" w:sz="6" w:space="0" w:color="auto"/>
              <w:bottom w:val="double" w:sz="6" w:space="0" w:color="auto"/>
              <w:right w:val="single" w:sz="6" w:space="0" w:color="auto"/>
            </w:tcBorders>
          </w:tcPr>
          <w:p w:rsidR="00E52B27" w:rsidRDefault="00E52B27" w:rsidP="00E52B27">
            <w:pPr>
              <w:spacing w:before="60"/>
              <w:jc w:val="both"/>
            </w:pPr>
            <w:r>
              <w:t>Minimalna częstotliwość</w:t>
            </w:r>
          </w:p>
          <w:p w:rsidR="00E52B27" w:rsidRDefault="00E52B27" w:rsidP="00E52B27">
            <w:pPr>
              <w:jc w:val="both"/>
            </w:pPr>
            <w:r>
              <w:t>badań i pomiarów</w:t>
            </w:r>
          </w:p>
        </w:tc>
      </w:tr>
      <w:tr w:rsidR="00E52B27" w:rsidTr="00E52B27">
        <w:tc>
          <w:tcPr>
            <w:tcW w:w="491" w:type="dxa"/>
            <w:tcBorders>
              <w:left w:val="single" w:sz="6" w:space="0" w:color="auto"/>
              <w:bottom w:val="single" w:sz="6" w:space="0" w:color="auto"/>
              <w:right w:val="single" w:sz="6" w:space="0" w:color="auto"/>
            </w:tcBorders>
          </w:tcPr>
          <w:p w:rsidR="00E52B27" w:rsidRDefault="00E52B27" w:rsidP="00E52B27">
            <w:pPr>
              <w:spacing w:before="60" w:after="60"/>
              <w:jc w:val="both"/>
            </w:pPr>
            <w:r>
              <w:t>1</w:t>
            </w:r>
          </w:p>
        </w:tc>
        <w:tc>
          <w:tcPr>
            <w:tcW w:w="2247" w:type="dxa"/>
            <w:tcBorders>
              <w:left w:val="single" w:sz="6" w:space="0" w:color="auto"/>
              <w:bottom w:val="single" w:sz="6" w:space="0" w:color="auto"/>
              <w:right w:val="single" w:sz="6" w:space="0" w:color="auto"/>
            </w:tcBorders>
          </w:tcPr>
          <w:p w:rsidR="00E52B27" w:rsidRDefault="00E52B27" w:rsidP="00E52B27">
            <w:pPr>
              <w:spacing w:before="60" w:after="60"/>
              <w:jc w:val="both"/>
            </w:pPr>
            <w:r>
              <w:t>Szerokość koryta</w:t>
            </w:r>
          </w:p>
        </w:tc>
        <w:tc>
          <w:tcPr>
            <w:tcW w:w="4702" w:type="dxa"/>
            <w:tcBorders>
              <w:left w:val="single" w:sz="6" w:space="0" w:color="auto"/>
              <w:bottom w:val="single" w:sz="6" w:space="0" w:color="auto"/>
              <w:right w:val="single" w:sz="6" w:space="0" w:color="auto"/>
            </w:tcBorders>
          </w:tcPr>
          <w:p w:rsidR="00E52B27" w:rsidRDefault="00E52B27" w:rsidP="00E52B27">
            <w:pPr>
              <w:spacing w:before="60" w:after="60"/>
              <w:jc w:val="both"/>
            </w:pPr>
            <w:r>
              <w:t>10 razy na 1 km</w:t>
            </w:r>
          </w:p>
        </w:tc>
      </w:tr>
      <w:tr w:rsidR="00E52B27" w:rsidTr="00E52B27">
        <w:tc>
          <w:tcPr>
            <w:tcW w:w="491"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2</w:t>
            </w:r>
          </w:p>
        </w:tc>
        <w:tc>
          <w:tcPr>
            <w:tcW w:w="2247"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Równość podłużna</w:t>
            </w:r>
          </w:p>
        </w:tc>
        <w:tc>
          <w:tcPr>
            <w:tcW w:w="4702"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co 20 m na każdym pasie ruchu</w:t>
            </w:r>
          </w:p>
        </w:tc>
      </w:tr>
      <w:tr w:rsidR="00E52B27" w:rsidTr="00E52B27">
        <w:tc>
          <w:tcPr>
            <w:tcW w:w="491"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3</w:t>
            </w:r>
          </w:p>
        </w:tc>
        <w:tc>
          <w:tcPr>
            <w:tcW w:w="2247"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Równość poprzeczna</w:t>
            </w:r>
          </w:p>
        </w:tc>
        <w:tc>
          <w:tcPr>
            <w:tcW w:w="4702"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10 razy na 1 km</w:t>
            </w:r>
          </w:p>
        </w:tc>
      </w:tr>
      <w:tr w:rsidR="00E52B27" w:rsidTr="00E52B27">
        <w:tc>
          <w:tcPr>
            <w:tcW w:w="491"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4</w:t>
            </w:r>
          </w:p>
        </w:tc>
        <w:tc>
          <w:tcPr>
            <w:tcW w:w="2247"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 xml:space="preserve">Spadki poprzeczne </w:t>
            </w:r>
            <w:r>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60" w:after="60"/>
              <w:jc w:val="both"/>
            </w:pPr>
            <w:r>
              <w:t>10 razy na 1 km</w:t>
            </w:r>
          </w:p>
        </w:tc>
      </w:tr>
      <w:tr w:rsidR="00E52B27" w:rsidTr="00E52B27">
        <w:tc>
          <w:tcPr>
            <w:tcW w:w="491"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120"/>
              <w:jc w:val="both"/>
            </w:pPr>
            <w:r>
              <w:t>5</w:t>
            </w:r>
          </w:p>
        </w:tc>
        <w:tc>
          <w:tcPr>
            <w:tcW w:w="2247"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120"/>
              <w:jc w:val="both"/>
            </w:pPr>
            <w:r>
              <w:t>Rzędne wysokościowe</w:t>
            </w:r>
          </w:p>
        </w:tc>
        <w:tc>
          <w:tcPr>
            <w:tcW w:w="4702"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20"/>
              <w:jc w:val="both"/>
            </w:pPr>
            <w:r>
              <w:t>co 25 m w osi jezdni i na jej krawędziach dla autostrad       i dróg ekspresowych, co 100 m dla pozostałych dróg</w:t>
            </w:r>
          </w:p>
        </w:tc>
      </w:tr>
      <w:tr w:rsidR="00E52B27" w:rsidTr="00E52B27">
        <w:tc>
          <w:tcPr>
            <w:tcW w:w="491"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120"/>
              <w:jc w:val="both"/>
            </w:pPr>
            <w:r>
              <w:t>6</w:t>
            </w:r>
          </w:p>
        </w:tc>
        <w:tc>
          <w:tcPr>
            <w:tcW w:w="2247" w:type="dxa"/>
            <w:tcBorders>
              <w:top w:val="single" w:sz="6" w:space="0" w:color="auto"/>
              <w:left w:val="single" w:sz="6" w:space="0" w:color="auto"/>
              <w:bottom w:val="single" w:sz="6" w:space="0" w:color="auto"/>
              <w:right w:val="single" w:sz="6" w:space="0" w:color="auto"/>
            </w:tcBorders>
          </w:tcPr>
          <w:p w:rsidR="00E52B27" w:rsidRDefault="00E52B27" w:rsidP="00E52B27">
            <w:pPr>
              <w:spacing w:after="60"/>
              <w:jc w:val="both"/>
            </w:pPr>
            <w:r>
              <w:t xml:space="preserve">Ukształtowanie osi w planie </w:t>
            </w:r>
            <w:r>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E52B27" w:rsidRDefault="00E52B27" w:rsidP="00E52B27">
            <w:pPr>
              <w:spacing w:after="60"/>
              <w:jc w:val="both"/>
            </w:pPr>
            <w:r>
              <w:t>co 25 m w osi jezdni i na jej krawędziach dla autostrad           i dróg ekspresowych, co 100 m dla pozostałych dróg</w:t>
            </w:r>
          </w:p>
        </w:tc>
      </w:tr>
      <w:tr w:rsidR="00E52B27" w:rsidTr="00E52B27">
        <w:tc>
          <w:tcPr>
            <w:tcW w:w="491"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120"/>
              <w:jc w:val="both"/>
            </w:pPr>
            <w:r>
              <w:t>7</w:t>
            </w:r>
          </w:p>
        </w:tc>
        <w:tc>
          <w:tcPr>
            <w:tcW w:w="2247"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20"/>
              <w:jc w:val="both"/>
            </w:pPr>
            <w: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tcPr>
          <w:p w:rsidR="00E52B27" w:rsidRDefault="00E52B27" w:rsidP="00E52B27">
            <w:pPr>
              <w:spacing w:before="20" w:after="60"/>
              <w:jc w:val="both"/>
            </w:pPr>
            <w:r>
              <w:t>w 2 punktach na dziennej działce roboczej, lecz nie rzadziej niż raz na 600 m</w:t>
            </w:r>
            <w:r>
              <w:rPr>
                <w:vertAlign w:val="superscript"/>
              </w:rPr>
              <w:t>2</w:t>
            </w:r>
          </w:p>
        </w:tc>
      </w:tr>
      <w:tr w:rsidR="00E52B27" w:rsidTr="00E52B27">
        <w:tc>
          <w:tcPr>
            <w:tcW w:w="7441" w:type="dxa"/>
            <w:gridSpan w:val="3"/>
            <w:tcBorders>
              <w:top w:val="single" w:sz="6" w:space="0" w:color="auto"/>
              <w:left w:val="single" w:sz="6" w:space="0" w:color="auto"/>
              <w:bottom w:val="single" w:sz="6" w:space="0" w:color="auto"/>
              <w:right w:val="single" w:sz="6" w:space="0" w:color="auto"/>
            </w:tcBorders>
          </w:tcPr>
          <w:p w:rsidR="00E52B27" w:rsidRDefault="00E52B27" w:rsidP="00E52B27">
            <w:pPr>
              <w:spacing w:before="20" w:after="60"/>
              <w:jc w:val="both"/>
            </w:pPr>
            <w:r>
              <w:t>*) Dodatkowe pomiary spadków poprzecznych i ukształtowania osi w planie należy wykonać w punktach głównych łuków poziomych</w:t>
            </w:r>
            <w:r>
              <w:tab/>
            </w:r>
          </w:p>
        </w:tc>
      </w:tr>
    </w:tbl>
    <w:p w:rsidR="00E52B27" w:rsidRDefault="00E52B27" w:rsidP="00E52B27">
      <w:pPr>
        <w:spacing w:before="240" w:after="120"/>
        <w:jc w:val="both"/>
      </w:pPr>
      <w:r>
        <w:rPr>
          <w:b/>
        </w:rPr>
        <w:t xml:space="preserve">6.2.2. </w:t>
      </w:r>
      <w:r>
        <w:t>Szerokość koryta (profilowanego podłoża)</w:t>
      </w:r>
    </w:p>
    <w:p w:rsidR="00E52B27" w:rsidRDefault="00E52B27" w:rsidP="00E52B27">
      <w:pPr>
        <w:jc w:val="both"/>
      </w:pPr>
      <w:r>
        <w:tab/>
        <w:t>Szerokość koryta i profilowanego podłoża nie może różnić się od szerokości projektowanej o więcej niż +10 cm i -5 cm.</w:t>
      </w:r>
    </w:p>
    <w:p w:rsidR="00E52B27" w:rsidRDefault="00E52B27" w:rsidP="00E52B27">
      <w:pPr>
        <w:spacing w:before="120" w:after="120"/>
        <w:jc w:val="both"/>
      </w:pPr>
      <w:r>
        <w:rPr>
          <w:b/>
        </w:rPr>
        <w:t xml:space="preserve">6.2.3. </w:t>
      </w:r>
      <w:r>
        <w:t>Równość koryta (profilowanego podłoża)</w:t>
      </w:r>
    </w:p>
    <w:p w:rsidR="00E52B27" w:rsidRDefault="00E52B27" w:rsidP="00E52B27">
      <w:pPr>
        <w:jc w:val="both"/>
      </w:pPr>
      <w:r>
        <w:tab/>
        <w:t>Nierówności podłużne koryta i profilowanego podłoża należy mierzyć 4-metrową łatą zgodnie z normą BN-68/8931-04 [4].</w:t>
      </w:r>
    </w:p>
    <w:p w:rsidR="00E52B27" w:rsidRDefault="00E52B27" w:rsidP="00E52B27">
      <w:pPr>
        <w:jc w:val="both"/>
      </w:pPr>
      <w:r>
        <w:tab/>
        <w:t>Nierówności poprzeczne należy mierzyć 4-metrową łatą.</w:t>
      </w:r>
    </w:p>
    <w:p w:rsidR="00E52B27" w:rsidRDefault="00E52B27" w:rsidP="00E52B27">
      <w:pPr>
        <w:jc w:val="both"/>
      </w:pPr>
      <w:r>
        <w:tab/>
        <w:t>Nierówności nie mogą przekraczać 20 mm.</w:t>
      </w:r>
    </w:p>
    <w:p w:rsidR="00E52B27" w:rsidRDefault="00E52B27" w:rsidP="00E52B27">
      <w:pPr>
        <w:spacing w:before="120" w:after="120"/>
        <w:jc w:val="both"/>
      </w:pPr>
      <w:r>
        <w:rPr>
          <w:b/>
        </w:rPr>
        <w:t xml:space="preserve">6.2.4. </w:t>
      </w:r>
      <w:r>
        <w:t>Spadki poprzeczne</w:t>
      </w:r>
    </w:p>
    <w:p w:rsidR="00E52B27" w:rsidRDefault="00E52B27" w:rsidP="00E52B27">
      <w:pPr>
        <w:jc w:val="both"/>
      </w:pPr>
      <w:r>
        <w:tab/>
        <w:t xml:space="preserve">Spadki poprzeczne koryta i profilowanego podłoża powinny być zgodne z dokumentacją projektową z tolerancją </w:t>
      </w:r>
      <w:r>
        <w:sym w:font="Symbol" w:char="F0B1"/>
      </w:r>
      <w:r>
        <w:t xml:space="preserve"> 0,5%.</w:t>
      </w:r>
    </w:p>
    <w:p w:rsidR="00E52B27" w:rsidRDefault="00E52B27" w:rsidP="00E52B27">
      <w:pPr>
        <w:spacing w:before="120" w:after="120"/>
        <w:jc w:val="both"/>
      </w:pPr>
      <w:r>
        <w:rPr>
          <w:b/>
        </w:rPr>
        <w:t xml:space="preserve">6.2.5. </w:t>
      </w:r>
      <w:r>
        <w:t>Rzędne wysokościowe</w:t>
      </w:r>
    </w:p>
    <w:p w:rsidR="00E52B27" w:rsidRDefault="00E52B27" w:rsidP="00E52B27">
      <w:pPr>
        <w:jc w:val="both"/>
      </w:pPr>
      <w:r>
        <w:tab/>
        <w:t>Różnice pomiędzy rzędnymi wysokościowymi koryta lub wyprofilowanego podłoża i rzędnymi projektowanymi nie powinny przekraczać +1 cm, -2 cm.</w:t>
      </w:r>
    </w:p>
    <w:p w:rsidR="00E52B27" w:rsidRDefault="00E52B27" w:rsidP="00E52B27">
      <w:pPr>
        <w:spacing w:before="120" w:after="120"/>
        <w:jc w:val="both"/>
      </w:pPr>
      <w:r>
        <w:rPr>
          <w:b/>
        </w:rPr>
        <w:t xml:space="preserve">6.2.6. </w:t>
      </w:r>
      <w:r>
        <w:t>Ukształtowanie osi w planie</w:t>
      </w:r>
    </w:p>
    <w:p w:rsidR="00E52B27" w:rsidRDefault="00E52B27" w:rsidP="00E52B27">
      <w:pPr>
        <w:jc w:val="both"/>
      </w:pPr>
      <w:r>
        <w:tab/>
        <w:t xml:space="preserve">Oś w planie nie może być przesunięta w stosunku do osi projektowanej o więcej niż </w:t>
      </w:r>
      <w:r>
        <w:sym w:font="Symbol" w:char="F0B1"/>
      </w:r>
      <w:r>
        <w:t xml:space="preserve"> 3 cm dla autostrad i dróg ekspresowych lub więcej niż </w:t>
      </w:r>
      <w:r>
        <w:sym w:font="Symbol" w:char="F0B1"/>
      </w:r>
      <w:r>
        <w:t xml:space="preserve"> 5 cm dla pozostałych dróg.</w:t>
      </w:r>
    </w:p>
    <w:p w:rsidR="00E52B27" w:rsidRDefault="00E52B27" w:rsidP="00E52B27">
      <w:pPr>
        <w:spacing w:before="120" w:after="120"/>
        <w:jc w:val="both"/>
      </w:pPr>
      <w:r>
        <w:rPr>
          <w:b/>
        </w:rPr>
        <w:t xml:space="preserve">6.2.7. </w:t>
      </w:r>
      <w:r>
        <w:t>Zagęszczenie koryta (profilowanego podłoża)</w:t>
      </w:r>
    </w:p>
    <w:p w:rsidR="00E52B27" w:rsidRDefault="00E52B27" w:rsidP="00E52B27">
      <w:pPr>
        <w:jc w:val="both"/>
      </w:pPr>
      <w:r>
        <w:tab/>
        <w:t>Wskaźnik zagęszczenia koryta i wyprofilowanego podłoża określony wg BN-77/8931-12 [5] nie powinien być mniejszy od podanego w tablicy 1.</w:t>
      </w:r>
    </w:p>
    <w:p w:rsidR="00E52B27" w:rsidRDefault="00E52B27" w:rsidP="00E52B27">
      <w:pPr>
        <w:jc w:val="both"/>
      </w:pPr>
      <w:r>
        <w:tab/>
        <w:t>Jeśli jako kryterium dobrego zagęszczenia stosuje się porównanie wartości modułów odkształcenia, to wartość stosunku wtórnego do pierwotnego modułu odkształcenia, określonych zgodnie z normą BN-64/8931-02 [3] nie powinna być większa od 2,2.</w:t>
      </w:r>
    </w:p>
    <w:p w:rsidR="00E52B27" w:rsidRDefault="00E52B27" w:rsidP="00E52B27">
      <w:pPr>
        <w:jc w:val="both"/>
      </w:pPr>
      <w:r>
        <w:lastRenderedPageBreak/>
        <w:tab/>
        <w:t>Wilgotność w czasie zagęszczania należy badać według PN-B-06714-17 [2]. Wilgotność gruntu podłoża powinna być równa wilgotności optymalnej z tolerancją od               -20% do + 10%.</w:t>
      </w:r>
    </w:p>
    <w:p w:rsidR="00E52B27" w:rsidRDefault="00E52B27" w:rsidP="00E52B27">
      <w:pPr>
        <w:jc w:val="both"/>
      </w:pPr>
      <w:r>
        <w:t xml:space="preserve"> </w:t>
      </w:r>
    </w:p>
    <w:p w:rsidR="00E52B27" w:rsidRDefault="00E52B27" w:rsidP="00E52B27">
      <w:pPr>
        <w:pStyle w:val="Nagwek2"/>
        <w:ind w:left="426" w:hanging="426"/>
        <w:rPr>
          <w:b w:val="0"/>
        </w:rPr>
      </w:pPr>
      <w:r>
        <w:t>6.3. Zasady postępowania z wadliwie wykonanymi odcinkami koryta (profilowanego podłoża)</w:t>
      </w:r>
    </w:p>
    <w:p w:rsidR="00E52B27" w:rsidRDefault="00E52B27" w:rsidP="00E52B27">
      <w:pPr>
        <w:jc w:val="both"/>
      </w:pPr>
      <w:r>
        <w:rPr>
          <w:b/>
        </w:rPr>
        <w:tab/>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E52B27" w:rsidRDefault="00E52B27" w:rsidP="00E52B27">
      <w:pPr>
        <w:pStyle w:val="Nagwek1"/>
      </w:pPr>
      <w:r>
        <w:t>7. obmiar robót</w:t>
      </w:r>
    </w:p>
    <w:p w:rsidR="00E52B27" w:rsidRDefault="00E52B27" w:rsidP="00E52B27">
      <w:pPr>
        <w:pStyle w:val="Nagwek2"/>
      </w:pPr>
      <w:r>
        <w:t>7.1. Ogólne zasady obmiaru robót</w:t>
      </w:r>
    </w:p>
    <w:p w:rsidR="00E52B27" w:rsidRDefault="00E52B27" w:rsidP="00E52B27">
      <w:pPr>
        <w:jc w:val="both"/>
      </w:pPr>
      <w:r>
        <w:tab/>
        <w:t>Ogólne zasady obmiaru robót podano w SST D-00.00.00 „Wymagania ogólne” pkt 7.</w:t>
      </w:r>
    </w:p>
    <w:p w:rsidR="00E52B27" w:rsidRDefault="00E52B27" w:rsidP="00E52B27">
      <w:pPr>
        <w:pStyle w:val="Nagwek2"/>
      </w:pPr>
      <w:r>
        <w:t>7.2. Jednostka obmiarowa</w:t>
      </w:r>
    </w:p>
    <w:p w:rsidR="00E52B27" w:rsidRDefault="00E52B27" w:rsidP="00E52B27">
      <w:pPr>
        <w:jc w:val="both"/>
      </w:pPr>
      <w:r>
        <w:tab/>
        <w:t>Jednostką obmiarową jest m</w:t>
      </w:r>
      <w:r>
        <w:rPr>
          <w:vertAlign w:val="superscript"/>
        </w:rPr>
        <w:t>2</w:t>
      </w:r>
      <w:r>
        <w:t xml:space="preserve"> (metr kwadratowy) wykonanego i odebranego koryta.</w:t>
      </w:r>
    </w:p>
    <w:p w:rsidR="00E52B27" w:rsidRDefault="00E52B27" w:rsidP="00E52B27">
      <w:pPr>
        <w:pStyle w:val="Nagwek1"/>
      </w:pPr>
      <w:r>
        <w:t>8. odbiór robót</w:t>
      </w:r>
    </w:p>
    <w:p w:rsidR="00E52B27" w:rsidRDefault="00E52B27" w:rsidP="00E52B27">
      <w:pPr>
        <w:jc w:val="both"/>
      </w:pPr>
      <w:r>
        <w:tab/>
        <w:t>Ogólne zasady odbioru robót podano w SST D-00.00.00 „Wymagania ogólne” pkt 8.</w:t>
      </w:r>
    </w:p>
    <w:p w:rsidR="00E52B27" w:rsidRDefault="00E52B27" w:rsidP="00E52B27">
      <w:pPr>
        <w:jc w:val="both"/>
      </w:pPr>
      <w:r>
        <w:tab/>
        <w:t>Roboty uznaje się za wykonane zgodnie z dokumentacja projektową, SST i wymaganiami Inżyniera, jeżeli wszystkie pomiary i badania z zachowaniem tolerancji wg punktu 6 dały wyniki pozytywne.</w:t>
      </w:r>
    </w:p>
    <w:p w:rsidR="00E52B27" w:rsidRDefault="00E52B27" w:rsidP="00E52B27">
      <w:pPr>
        <w:pStyle w:val="Nagwek1"/>
      </w:pPr>
      <w:r>
        <w:t>9. podstawa płatności</w:t>
      </w:r>
    </w:p>
    <w:p w:rsidR="00E52B27" w:rsidRDefault="00E52B27" w:rsidP="00E52B27">
      <w:pPr>
        <w:pStyle w:val="Nagwek2"/>
      </w:pPr>
      <w:r>
        <w:t>9.1. Ogólne ustalenia dotyczące podstawy płatności</w:t>
      </w:r>
    </w:p>
    <w:p w:rsidR="00E52B27" w:rsidRDefault="00E52B27" w:rsidP="00E52B27">
      <w:pPr>
        <w:jc w:val="both"/>
      </w:pPr>
      <w:r>
        <w:tab/>
        <w:t>Ogólne ustalenia dotyczące podstawy płatności podano w SST D-00.00.00 „Wymagania ogólne” pkt 9.</w:t>
      </w:r>
    </w:p>
    <w:p w:rsidR="00E52B27" w:rsidRDefault="00E52B27" w:rsidP="00E52B27">
      <w:pPr>
        <w:pStyle w:val="Nagwek2"/>
      </w:pPr>
      <w:r>
        <w:t>9.2. Cena jednostki obmiarowej</w:t>
      </w:r>
    </w:p>
    <w:p w:rsidR="00E52B27" w:rsidRDefault="00E52B27" w:rsidP="00E52B27">
      <w:pPr>
        <w:jc w:val="both"/>
      </w:pPr>
      <w:r>
        <w:tab/>
        <w:t>Cena wykonania 1 m</w:t>
      </w:r>
      <w:r>
        <w:rPr>
          <w:vertAlign w:val="superscript"/>
        </w:rPr>
        <w:t>2</w:t>
      </w:r>
      <w:r>
        <w:t xml:space="preserve"> koryta obejmuje:</w:t>
      </w:r>
    </w:p>
    <w:p w:rsidR="00E52B27" w:rsidRDefault="00E52B27" w:rsidP="00E52B27">
      <w:pPr>
        <w:numPr>
          <w:ilvl w:val="0"/>
          <w:numId w:val="1"/>
        </w:numPr>
        <w:jc w:val="both"/>
      </w:pPr>
      <w:r>
        <w:t>prace pomiarowe i roboty przygotowawcze,</w:t>
      </w:r>
    </w:p>
    <w:p w:rsidR="00E52B27" w:rsidRDefault="00E52B27" w:rsidP="00E52B27">
      <w:pPr>
        <w:numPr>
          <w:ilvl w:val="0"/>
          <w:numId w:val="1"/>
        </w:numPr>
        <w:jc w:val="both"/>
      </w:pPr>
      <w:r>
        <w:t>odspojenie gruntu z przerzutem na pobocze i rozplantowaniem,</w:t>
      </w:r>
    </w:p>
    <w:p w:rsidR="00E52B27" w:rsidRDefault="00E52B27" w:rsidP="00E52B27">
      <w:pPr>
        <w:numPr>
          <w:ilvl w:val="0"/>
          <w:numId w:val="1"/>
        </w:numPr>
        <w:jc w:val="both"/>
      </w:pPr>
      <w:r>
        <w:t>załadunek nadmiaru odspojonego gruntu na środki transportowe i odwiezienie na odkład lub nasyp,</w:t>
      </w:r>
    </w:p>
    <w:p w:rsidR="00E52B27" w:rsidRDefault="00E52B27" w:rsidP="00E52B27">
      <w:pPr>
        <w:numPr>
          <w:ilvl w:val="0"/>
          <w:numId w:val="1"/>
        </w:numPr>
        <w:jc w:val="both"/>
      </w:pPr>
      <w:r>
        <w:t>profilowanie dna koryta lub podłoża,</w:t>
      </w:r>
    </w:p>
    <w:p w:rsidR="00E52B27" w:rsidRDefault="00E52B27" w:rsidP="00E52B27">
      <w:pPr>
        <w:numPr>
          <w:ilvl w:val="0"/>
          <w:numId w:val="1"/>
        </w:numPr>
        <w:jc w:val="both"/>
      </w:pPr>
      <w:r>
        <w:t>zagęszczenie,</w:t>
      </w:r>
    </w:p>
    <w:p w:rsidR="00E52B27" w:rsidRDefault="00E52B27" w:rsidP="00E52B27">
      <w:pPr>
        <w:numPr>
          <w:ilvl w:val="0"/>
          <w:numId w:val="1"/>
        </w:numPr>
        <w:jc w:val="both"/>
      </w:pPr>
      <w:r>
        <w:t>utrzymanie koryta lub podłoża,</w:t>
      </w:r>
    </w:p>
    <w:p w:rsidR="00E52B27" w:rsidRDefault="00E52B27" w:rsidP="00E52B27">
      <w:pPr>
        <w:numPr>
          <w:ilvl w:val="0"/>
          <w:numId w:val="1"/>
        </w:numPr>
        <w:jc w:val="both"/>
      </w:pPr>
      <w:r>
        <w:t>przeprowadzenie pomiarów i badań laboratoryjnych, wymaganych w specyfikacji technicznej.</w:t>
      </w:r>
      <w:r>
        <w:tab/>
      </w:r>
    </w:p>
    <w:p w:rsidR="00E52B27" w:rsidRDefault="00E52B27" w:rsidP="00E52B27">
      <w:pPr>
        <w:pStyle w:val="Nagwek1"/>
      </w:pPr>
      <w:r>
        <w:t>10. przepisy związane</w:t>
      </w:r>
    </w:p>
    <w:p w:rsidR="00E52B27" w:rsidRDefault="00E52B27" w:rsidP="00E52B27">
      <w:pPr>
        <w:pStyle w:val="Nagwek2"/>
      </w:pPr>
      <w:r>
        <w:t>Normy</w:t>
      </w:r>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E52B27" w:rsidTr="00E52B27">
        <w:tc>
          <w:tcPr>
            <w:tcW w:w="496" w:type="dxa"/>
          </w:tcPr>
          <w:p w:rsidR="00E52B27" w:rsidRDefault="00E52B27" w:rsidP="00E52B27">
            <w:pPr>
              <w:jc w:val="both"/>
            </w:pPr>
            <w:r>
              <w:t>1.</w:t>
            </w:r>
          </w:p>
        </w:tc>
        <w:tc>
          <w:tcPr>
            <w:tcW w:w="1701" w:type="dxa"/>
          </w:tcPr>
          <w:p w:rsidR="00E52B27" w:rsidRDefault="00E52B27" w:rsidP="00E52B27">
            <w:pPr>
              <w:jc w:val="both"/>
            </w:pPr>
            <w:r>
              <w:t>PN-B-04481</w:t>
            </w:r>
          </w:p>
        </w:tc>
        <w:tc>
          <w:tcPr>
            <w:tcW w:w="5313" w:type="dxa"/>
          </w:tcPr>
          <w:p w:rsidR="00E52B27" w:rsidRDefault="00E52B27" w:rsidP="00E52B27">
            <w:pPr>
              <w:jc w:val="both"/>
            </w:pPr>
            <w:r>
              <w:t>Grunty budowlane. Badania próbek gruntu</w:t>
            </w:r>
          </w:p>
        </w:tc>
      </w:tr>
      <w:tr w:rsidR="00E52B27" w:rsidTr="00E52B27">
        <w:tc>
          <w:tcPr>
            <w:tcW w:w="496" w:type="dxa"/>
          </w:tcPr>
          <w:p w:rsidR="00E52B27" w:rsidRDefault="00E52B27" w:rsidP="00E52B27">
            <w:pPr>
              <w:jc w:val="both"/>
            </w:pPr>
            <w:r>
              <w:t>2.</w:t>
            </w:r>
          </w:p>
        </w:tc>
        <w:tc>
          <w:tcPr>
            <w:tcW w:w="1701" w:type="dxa"/>
          </w:tcPr>
          <w:p w:rsidR="00E52B27" w:rsidRDefault="00E52B27" w:rsidP="00E52B27">
            <w:pPr>
              <w:jc w:val="both"/>
            </w:pPr>
            <w:r>
              <w:t>PN-/B-06714-17</w:t>
            </w:r>
          </w:p>
        </w:tc>
        <w:tc>
          <w:tcPr>
            <w:tcW w:w="5313" w:type="dxa"/>
          </w:tcPr>
          <w:p w:rsidR="00E52B27" w:rsidRDefault="00E52B27" w:rsidP="00E52B27">
            <w:pPr>
              <w:jc w:val="both"/>
            </w:pPr>
            <w:r>
              <w:t>Kruszywa mineralne. Badania. Oznaczanie wilgotności</w:t>
            </w:r>
          </w:p>
        </w:tc>
      </w:tr>
      <w:tr w:rsidR="00E52B27" w:rsidTr="00E52B27">
        <w:tc>
          <w:tcPr>
            <w:tcW w:w="496" w:type="dxa"/>
          </w:tcPr>
          <w:p w:rsidR="00E52B27" w:rsidRDefault="00E52B27" w:rsidP="00E52B27">
            <w:pPr>
              <w:jc w:val="both"/>
            </w:pPr>
            <w:r>
              <w:t>3.</w:t>
            </w:r>
          </w:p>
        </w:tc>
        <w:tc>
          <w:tcPr>
            <w:tcW w:w="1701" w:type="dxa"/>
          </w:tcPr>
          <w:p w:rsidR="00E52B27" w:rsidRDefault="00E52B27" w:rsidP="00E52B27">
            <w:pPr>
              <w:jc w:val="both"/>
            </w:pPr>
            <w:r>
              <w:t>BN-64/8931-02</w:t>
            </w:r>
          </w:p>
        </w:tc>
        <w:tc>
          <w:tcPr>
            <w:tcW w:w="5313" w:type="dxa"/>
          </w:tcPr>
          <w:p w:rsidR="00E52B27" w:rsidRDefault="00E52B27" w:rsidP="00E52B27">
            <w:pPr>
              <w:jc w:val="both"/>
            </w:pPr>
            <w:r>
              <w:t>Drogi samochodowe. Oznaczanie modułu odkształcenia nawierzchni podatnych i podłoża przez obciążenie płytą</w:t>
            </w:r>
          </w:p>
        </w:tc>
      </w:tr>
      <w:tr w:rsidR="00E52B27" w:rsidTr="00E52B27">
        <w:tc>
          <w:tcPr>
            <w:tcW w:w="496" w:type="dxa"/>
          </w:tcPr>
          <w:p w:rsidR="00E52B27" w:rsidRDefault="00E52B27" w:rsidP="00E52B27">
            <w:pPr>
              <w:jc w:val="both"/>
            </w:pPr>
            <w:r>
              <w:t>4.</w:t>
            </w:r>
          </w:p>
        </w:tc>
        <w:tc>
          <w:tcPr>
            <w:tcW w:w="1701" w:type="dxa"/>
          </w:tcPr>
          <w:p w:rsidR="00E52B27" w:rsidRDefault="00E52B27" w:rsidP="00E52B27">
            <w:pPr>
              <w:jc w:val="both"/>
            </w:pPr>
            <w:r>
              <w:t>BN-68/8931-04</w:t>
            </w:r>
          </w:p>
        </w:tc>
        <w:tc>
          <w:tcPr>
            <w:tcW w:w="5313" w:type="dxa"/>
          </w:tcPr>
          <w:p w:rsidR="00E52B27" w:rsidRDefault="00E52B27" w:rsidP="00E52B27">
            <w:pPr>
              <w:jc w:val="both"/>
            </w:pPr>
            <w:r>
              <w:t xml:space="preserve">Drogi samochodowe. Pomiar równości nawierzchni </w:t>
            </w:r>
            <w:proofErr w:type="spellStart"/>
            <w:r>
              <w:t>planografem</w:t>
            </w:r>
            <w:proofErr w:type="spellEnd"/>
            <w:r>
              <w:t xml:space="preserve"> i łatą</w:t>
            </w:r>
          </w:p>
        </w:tc>
      </w:tr>
      <w:tr w:rsidR="00E52B27" w:rsidTr="00E52B27">
        <w:tc>
          <w:tcPr>
            <w:tcW w:w="496" w:type="dxa"/>
          </w:tcPr>
          <w:p w:rsidR="00E52B27" w:rsidRDefault="00E52B27" w:rsidP="00E52B27">
            <w:pPr>
              <w:jc w:val="both"/>
            </w:pPr>
            <w:r>
              <w:t>5.</w:t>
            </w:r>
          </w:p>
        </w:tc>
        <w:tc>
          <w:tcPr>
            <w:tcW w:w="1701" w:type="dxa"/>
          </w:tcPr>
          <w:p w:rsidR="00E52B27" w:rsidRDefault="00E52B27" w:rsidP="00E52B27">
            <w:pPr>
              <w:jc w:val="both"/>
            </w:pPr>
            <w:r>
              <w:t>BN-77/8931-12</w:t>
            </w:r>
          </w:p>
        </w:tc>
        <w:tc>
          <w:tcPr>
            <w:tcW w:w="5313" w:type="dxa"/>
          </w:tcPr>
          <w:p w:rsidR="00E52B27" w:rsidRDefault="00E52B27" w:rsidP="00E52B27">
            <w:pPr>
              <w:jc w:val="both"/>
            </w:pPr>
            <w:r>
              <w:t>Oznaczanie wskaźnika zagęszczenia gruntu</w:t>
            </w:r>
          </w:p>
        </w:tc>
      </w:tr>
    </w:tbl>
    <w:p w:rsidR="00E52B27" w:rsidRPr="009400D7" w:rsidRDefault="00E52B27" w:rsidP="00E52B27"/>
    <w:p w:rsidR="00E52B27" w:rsidRDefault="00E52B27"/>
    <w:p w:rsidR="00E52B27" w:rsidRDefault="00E52B27"/>
    <w:p w:rsidR="00E52B27" w:rsidRDefault="00E52B27"/>
    <w:p w:rsidR="00E52B27" w:rsidRDefault="00E52B27"/>
    <w:p w:rsidR="00E52B27" w:rsidRDefault="00E52B27"/>
    <w:p w:rsidR="00B718AA" w:rsidRDefault="00E52B27" w:rsidP="00E52B27">
      <w:pPr>
        <w:pStyle w:val="Nagwek1"/>
        <w:rPr>
          <w:rFonts w:ascii="Verdana" w:hAnsi="Verdana"/>
          <w:bCs/>
          <w:sz w:val="24"/>
          <w:szCs w:val="24"/>
        </w:rPr>
      </w:pPr>
      <w:bookmarkStart w:id="68" w:name="_Toc316558683"/>
      <w:bookmarkStart w:id="69" w:name="_Hlk15765058"/>
      <w:bookmarkStart w:id="70" w:name="_Hlk521957353"/>
      <w:r w:rsidRPr="00B718AA">
        <w:rPr>
          <w:rFonts w:ascii="Verdana" w:hAnsi="Verdana"/>
          <w:bCs/>
          <w:sz w:val="24"/>
          <w:szCs w:val="24"/>
        </w:rPr>
        <w:lastRenderedPageBreak/>
        <w:t>D-04.04.02. PODBUDOWA Z MIESZANKI NIEZWIĄZANEJ</w:t>
      </w:r>
      <w:bookmarkStart w:id="71" w:name="_Toc316558684"/>
      <w:bookmarkEnd w:id="68"/>
      <w:r w:rsidRPr="00B718AA">
        <w:rPr>
          <w:rFonts w:ascii="Verdana" w:hAnsi="Verdana"/>
          <w:bCs/>
          <w:sz w:val="24"/>
          <w:szCs w:val="24"/>
        </w:rPr>
        <w:t xml:space="preserve"> KŁSM </w:t>
      </w:r>
      <w:r w:rsidR="00B718AA">
        <w:rPr>
          <w:rFonts w:ascii="Verdana" w:hAnsi="Verdana"/>
          <w:bCs/>
          <w:sz w:val="24"/>
          <w:szCs w:val="24"/>
        </w:rPr>
        <w:t xml:space="preserve">  </w:t>
      </w:r>
    </w:p>
    <w:p w:rsidR="00E52B27" w:rsidRPr="00B718AA" w:rsidRDefault="00B718AA" w:rsidP="00E52B27">
      <w:pPr>
        <w:pStyle w:val="Nagwek1"/>
        <w:rPr>
          <w:rFonts w:ascii="Verdana" w:hAnsi="Verdana"/>
          <w:bCs/>
          <w:caps w:val="0"/>
          <w:sz w:val="24"/>
          <w:szCs w:val="24"/>
        </w:rPr>
      </w:pPr>
      <w:r>
        <w:rPr>
          <w:rFonts w:ascii="Verdana" w:hAnsi="Verdana"/>
          <w:bCs/>
          <w:sz w:val="24"/>
          <w:szCs w:val="24"/>
        </w:rPr>
        <w:t xml:space="preserve">                    </w:t>
      </w:r>
      <w:r w:rsidR="00E52B27" w:rsidRPr="00B718AA">
        <w:rPr>
          <w:rFonts w:ascii="Verdana" w:hAnsi="Verdana"/>
          <w:bCs/>
          <w:sz w:val="24"/>
          <w:szCs w:val="24"/>
        </w:rPr>
        <w:t>0/31,5 mm</w:t>
      </w:r>
    </w:p>
    <w:bookmarkEnd w:id="69"/>
    <w:p w:rsidR="00E52B27" w:rsidRPr="008857E5" w:rsidRDefault="00E52B27" w:rsidP="00E52B27">
      <w:pPr>
        <w:pStyle w:val="Nagwek1"/>
        <w:rPr>
          <w:rFonts w:ascii="Verdana" w:hAnsi="Verdana" w:cs="Tahoma"/>
          <w:bCs/>
          <w:caps w:val="0"/>
        </w:rPr>
      </w:pPr>
    </w:p>
    <w:p w:rsidR="00E52B27" w:rsidRPr="00B718AA" w:rsidRDefault="00E52B27" w:rsidP="00E52B27">
      <w:pPr>
        <w:pStyle w:val="Nagwek1"/>
        <w:spacing w:after="240"/>
      </w:pPr>
      <w:r w:rsidRPr="00B718AA">
        <w:t>1. WSTĘP</w:t>
      </w:r>
      <w:bookmarkEnd w:id="71"/>
    </w:p>
    <w:p w:rsidR="00E52B27" w:rsidRPr="00B718AA" w:rsidRDefault="00E52B27" w:rsidP="00E52B27">
      <w:pPr>
        <w:pStyle w:val="Nagwek1"/>
      </w:pPr>
      <w:bookmarkStart w:id="72" w:name="_Toc316558685"/>
      <w:r w:rsidRPr="00B718AA">
        <w:t>1.1. Przedmiot SST</w:t>
      </w:r>
      <w:bookmarkEnd w:id="72"/>
    </w:p>
    <w:p w:rsidR="00E52B27" w:rsidRPr="00B718AA" w:rsidRDefault="00E52B27" w:rsidP="00E52B27">
      <w:r w:rsidRPr="00B718AA">
        <w:tab/>
        <w:t>Przedmiotem niniejszej szczegółowej specyfikacji technicznej (SST) są wymagania ogólne dotyczące wykonania i odbioru robót związanych z wykonywaniem podbudowy z kruszywa łamanego stabilizowanego mechanicznie.</w:t>
      </w:r>
    </w:p>
    <w:p w:rsidR="00E52B27" w:rsidRPr="00B718AA" w:rsidRDefault="00E52B27" w:rsidP="00E52B27">
      <w:pPr>
        <w:pStyle w:val="Tekstpodstawowywcity"/>
        <w:ind w:left="0"/>
        <w:jc w:val="both"/>
        <w:rPr>
          <w:rFonts w:ascii="Times New Roman" w:hAnsi="Times New Roman"/>
          <w:sz w:val="20"/>
        </w:rPr>
      </w:pPr>
    </w:p>
    <w:p w:rsidR="00E52B27" w:rsidRPr="00B718AA" w:rsidRDefault="00E52B27" w:rsidP="00E52B27">
      <w:pPr>
        <w:pStyle w:val="Nagwek2"/>
        <w:spacing w:before="0" w:after="0" w:line="360" w:lineRule="auto"/>
        <w:rPr>
          <w:bCs/>
          <w:i/>
        </w:rPr>
      </w:pPr>
      <w:bookmarkStart w:id="73" w:name="_Toc316558686"/>
      <w:r w:rsidRPr="00B718AA">
        <w:t>1.2. Zakres stosowania SST</w:t>
      </w:r>
      <w:bookmarkEnd w:id="73"/>
    </w:p>
    <w:p w:rsidR="00E52B27" w:rsidRPr="00B718AA" w:rsidRDefault="00E52B27" w:rsidP="00E52B27">
      <w:r w:rsidRPr="00B718AA">
        <w:tab/>
        <w:t>Szczegółowa specyfikacja techniczna (SST) stanowi obowiązującą podstawę  jako dokument przetargowy i kontraktowy przy zlecaniu i realizacji robót na drogach.</w:t>
      </w:r>
    </w:p>
    <w:p w:rsidR="00E52B27" w:rsidRPr="00B718AA" w:rsidRDefault="00E52B27" w:rsidP="00E52B27">
      <w:pPr>
        <w:pStyle w:val="Tekstpodstawowywcity"/>
        <w:ind w:left="0"/>
        <w:jc w:val="both"/>
        <w:rPr>
          <w:rFonts w:ascii="Times New Roman" w:hAnsi="Times New Roman"/>
          <w:sz w:val="20"/>
        </w:rPr>
      </w:pPr>
    </w:p>
    <w:p w:rsidR="00E52B27" w:rsidRPr="00B718AA" w:rsidRDefault="00E52B27" w:rsidP="00E52B27">
      <w:pPr>
        <w:pStyle w:val="Nagwek2"/>
        <w:spacing w:before="0" w:after="0" w:line="360" w:lineRule="auto"/>
        <w:rPr>
          <w:bCs/>
          <w:i/>
        </w:rPr>
      </w:pPr>
      <w:bookmarkStart w:id="74" w:name="_Toc316558687"/>
      <w:r w:rsidRPr="00B718AA">
        <w:t>1.3. Zakres robót objętych SST</w:t>
      </w:r>
      <w:bookmarkEnd w:id="74"/>
    </w:p>
    <w:p w:rsidR="00E52B27" w:rsidRPr="00B718AA" w:rsidRDefault="00E52B27" w:rsidP="00E52B27">
      <w:pPr>
        <w:pStyle w:val="Tekstpodstawowywcity"/>
        <w:ind w:left="0"/>
        <w:jc w:val="both"/>
        <w:rPr>
          <w:rFonts w:ascii="Times New Roman" w:hAnsi="Times New Roman"/>
          <w:sz w:val="20"/>
        </w:rPr>
      </w:pPr>
      <w:r w:rsidRPr="00B718AA">
        <w:rPr>
          <w:rFonts w:ascii="Times New Roman" w:hAnsi="Times New Roman"/>
          <w:sz w:val="20"/>
        </w:rPr>
        <w:tab/>
        <w:t xml:space="preserve">Ustalenia zawarte w niniejszej specyfikacji dotyczą zasad prowadzenia robót związanych z wykonywaniem podbudów z mieszanki niezwiązanej 0/31,5 mm o grubości określonej w dokumentacji kontraktowej przy realizacji remontu nawierzchni z kostki kamiennej w ciągu drogi krajowej nr 58 od km 0+480 do km 0+950 w m. Olsztynek wraz z remontem instalacji wodociągowej. </w:t>
      </w:r>
    </w:p>
    <w:p w:rsidR="00E52B27" w:rsidRPr="00B718AA" w:rsidRDefault="00E52B27" w:rsidP="00E52B27">
      <w:pPr>
        <w:spacing w:line="360" w:lineRule="auto"/>
        <w:jc w:val="both"/>
      </w:pPr>
      <w:r w:rsidRPr="00B718AA">
        <w:tab/>
      </w:r>
    </w:p>
    <w:p w:rsidR="00E52B27" w:rsidRPr="00B718AA" w:rsidRDefault="00E52B27" w:rsidP="00E52B27">
      <w:pPr>
        <w:pStyle w:val="Nagwek2"/>
        <w:spacing w:before="0" w:line="360" w:lineRule="auto"/>
        <w:rPr>
          <w:bCs/>
          <w:i/>
        </w:rPr>
      </w:pPr>
      <w:bookmarkStart w:id="75" w:name="_Toc316558688"/>
      <w:r w:rsidRPr="00B718AA">
        <w:t>1.4. Określenia podstawowe</w:t>
      </w:r>
      <w:bookmarkEnd w:id="75"/>
    </w:p>
    <w:p w:rsidR="00E52B27" w:rsidRPr="00B718AA" w:rsidRDefault="00E52B27" w:rsidP="00E52B27">
      <w:pPr>
        <w:pStyle w:val="Bezodstpw"/>
        <w:spacing w:line="360" w:lineRule="auto"/>
        <w:ind w:firstLine="0"/>
        <w:rPr>
          <w:sz w:val="20"/>
          <w:szCs w:val="20"/>
        </w:rPr>
      </w:pPr>
      <w:r w:rsidRPr="00B718AA">
        <w:rPr>
          <w:b/>
          <w:sz w:val="20"/>
          <w:szCs w:val="20"/>
        </w:rPr>
        <w:t>1.4.1.</w:t>
      </w:r>
      <w:r w:rsidRPr="00B718AA">
        <w:rPr>
          <w:sz w:val="20"/>
          <w:szCs w:val="20"/>
        </w:rPr>
        <w:t xml:space="preserve"> 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E52B27" w:rsidRPr="00B718AA" w:rsidRDefault="00E52B27" w:rsidP="00E52B27">
      <w:pPr>
        <w:pStyle w:val="Bezodstpw"/>
        <w:spacing w:before="120" w:line="360" w:lineRule="auto"/>
        <w:ind w:firstLine="0"/>
        <w:rPr>
          <w:sz w:val="20"/>
          <w:szCs w:val="20"/>
        </w:rPr>
      </w:pPr>
      <w:r w:rsidRPr="00B718AA">
        <w:rPr>
          <w:b/>
          <w:sz w:val="20"/>
          <w:szCs w:val="20"/>
        </w:rPr>
        <w:t>1.4.2.</w:t>
      </w:r>
      <w:r w:rsidRPr="00B718AA">
        <w:rPr>
          <w:sz w:val="20"/>
          <w:szCs w:val="20"/>
        </w:rPr>
        <w:t xml:space="preserve"> Kategoria – charakterystyczny poziom właściwości kruszywa lub mieszanki niezwiązanej, wyrażony, jako przedział wartości lub wartość graniczna. Nie ma zależności pomiędzy kategoriami różnych właściwości.</w:t>
      </w:r>
    </w:p>
    <w:p w:rsidR="00E52B27" w:rsidRPr="00B718AA" w:rsidRDefault="00E52B27" w:rsidP="00E52B27">
      <w:pPr>
        <w:pStyle w:val="Bezodstpw"/>
        <w:spacing w:before="120" w:line="360" w:lineRule="auto"/>
        <w:ind w:firstLine="0"/>
        <w:rPr>
          <w:sz w:val="20"/>
          <w:szCs w:val="20"/>
        </w:rPr>
      </w:pPr>
      <w:r w:rsidRPr="00B718AA">
        <w:rPr>
          <w:b/>
          <w:sz w:val="20"/>
          <w:szCs w:val="20"/>
        </w:rPr>
        <w:t>1.4.3.</w:t>
      </w:r>
      <w:r w:rsidRPr="00B718AA">
        <w:rPr>
          <w:sz w:val="20"/>
          <w:szCs w:val="20"/>
        </w:rPr>
        <w:t xml:space="preserve"> Kruszywo – materiał ziarnisty stosowany w budownictwie, który może być naturalny, sztuczny lub z recyklingu.</w:t>
      </w:r>
    </w:p>
    <w:p w:rsidR="00E52B27" w:rsidRPr="00B718AA" w:rsidRDefault="00E52B27" w:rsidP="00E52B27">
      <w:pPr>
        <w:pStyle w:val="Bezodstpw"/>
        <w:spacing w:before="120" w:line="360" w:lineRule="auto"/>
        <w:ind w:firstLine="0"/>
        <w:rPr>
          <w:sz w:val="20"/>
          <w:szCs w:val="20"/>
        </w:rPr>
      </w:pPr>
      <w:r w:rsidRPr="00B718AA">
        <w:rPr>
          <w:b/>
          <w:sz w:val="20"/>
          <w:szCs w:val="20"/>
        </w:rPr>
        <w:t>1.4.4.</w:t>
      </w:r>
      <w:r w:rsidRPr="00B718AA">
        <w:rPr>
          <w:sz w:val="20"/>
          <w:szCs w:val="20"/>
        </w:rPr>
        <w:t xml:space="preserve"> 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E52B27" w:rsidRPr="00B718AA" w:rsidRDefault="00E52B27" w:rsidP="00E52B27">
      <w:pPr>
        <w:pStyle w:val="Bezodstpw"/>
        <w:spacing w:before="120" w:line="360" w:lineRule="auto"/>
        <w:ind w:firstLine="0"/>
        <w:rPr>
          <w:sz w:val="20"/>
          <w:szCs w:val="20"/>
        </w:rPr>
      </w:pPr>
      <w:r w:rsidRPr="00B718AA">
        <w:rPr>
          <w:b/>
          <w:sz w:val="20"/>
          <w:szCs w:val="20"/>
        </w:rPr>
        <w:t>1.4.5.</w:t>
      </w:r>
      <w:r w:rsidRPr="00B718AA">
        <w:rPr>
          <w:sz w:val="20"/>
          <w:szCs w:val="20"/>
        </w:rPr>
        <w:t xml:space="preserve"> Kruszywo kamienne – kruszywo z mineralnych surowców jak żwir kruszony, mechanicznie rozdrobnione skały, nadziarno żwirowe.</w:t>
      </w:r>
    </w:p>
    <w:p w:rsidR="00E52B27" w:rsidRPr="00B718AA" w:rsidRDefault="00E52B27" w:rsidP="00E52B27">
      <w:pPr>
        <w:pStyle w:val="Bezodstpw"/>
        <w:spacing w:before="120" w:line="360" w:lineRule="auto"/>
        <w:ind w:firstLine="0"/>
        <w:rPr>
          <w:sz w:val="20"/>
          <w:szCs w:val="20"/>
        </w:rPr>
      </w:pPr>
      <w:r w:rsidRPr="00B718AA">
        <w:rPr>
          <w:b/>
          <w:sz w:val="20"/>
          <w:szCs w:val="20"/>
        </w:rPr>
        <w:t>1.4.6.</w:t>
      </w:r>
      <w:r w:rsidRPr="00B718AA">
        <w:rPr>
          <w:sz w:val="20"/>
          <w:szCs w:val="20"/>
        </w:rPr>
        <w:t xml:space="preserve"> Kategoria ruchu (KR1÷KR7) – obciążenie drogi ruchem samochodowym, wyrażone w osiach obliczeniowych (100 </w:t>
      </w:r>
      <w:proofErr w:type="spellStart"/>
      <w:r w:rsidRPr="00B718AA">
        <w:rPr>
          <w:sz w:val="20"/>
          <w:szCs w:val="20"/>
        </w:rPr>
        <w:t>kN</w:t>
      </w:r>
      <w:proofErr w:type="spellEnd"/>
      <w:r w:rsidRPr="00B718AA">
        <w:rPr>
          <w:sz w:val="20"/>
          <w:szCs w:val="20"/>
        </w:rPr>
        <w:t>) według „Katalogu typowych konstrukcji nawierzchni podatnych i półsztywnych”. Generalna Dyrekcja Dróg Publicznych – Instytut Badawczy Dróg i Mostów, Warszawa 1997 [25].</w:t>
      </w:r>
    </w:p>
    <w:p w:rsidR="00E52B27" w:rsidRPr="00B718AA" w:rsidRDefault="00E52B27" w:rsidP="00E52B27">
      <w:pPr>
        <w:pStyle w:val="Bezodstpw"/>
        <w:spacing w:before="120" w:line="360" w:lineRule="auto"/>
        <w:ind w:firstLine="0"/>
        <w:rPr>
          <w:sz w:val="20"/>
          <w:szCs w:val="20"/>
        </w:rPr>
      </w:pPr>
      <w:r w:rsidRPr="00B718AA">
        <w:rPr>
          <w:b/>
          <w:sz w:val="20"/>
          <w:szCs w:val="20"/>
        </w:rPr>
        <w:t>1.4.7</w:t>
      </w:r>
      <w:r w:rsidRPr="00B718AA">
        <w:rPr>
          <w:sz w:val="20"/>
          <w:szCs w:val="20"/>
        </w:rPr>
        <w:t xml:space="preserve">. Kruszywo grube (wg PN-EN 13242) – oznaczenie kruszywa o wymiarach ziaren </w:t>
      </w:r>
      <w:r w:rsidRPr="00B718AA">
        <w:rPr>
          <w:sz w:val="20"/>
          <w:szCs w:val="20"/>
        </w:rPr>
        <w:br/>
      </w:r>
      <w:r w:rsidRPr="00B718AA">
        <w:rPr>
          <w:i/>
          <w:sz w:val="20"/>
          <w:szCs w:val="20"/>
        </w:rPr>
        <w:t xml:space="preserve">d </w:t>
      </w:r>
      <w:r w:rsidRPr="00B718AA">
        <w:rPr>
          <w:sz w:val="20"/>
          <w:szCs w:val="20"/>
        </w:rPr>
        <w:t xml:space="preserve">(dolnego) równym lub większym niż </w:t>
      </w:r>
      <w:smartTag w:uri="urn:schemas-microsoft-com:office:smarttags" w:element="metricconverter">
        <w:smartTagPr>
          <w:attr w:name="ProductID" w:val="1 mm"/>
        </w:smartTagPr>
        <w:r w:rsidRPr="00B718AA">
          <w:rPr>
            <w:sz w:val="20"/>
            <w:szCs w:val="20"/>
          </w:rPr>
          <w:t>1 mm</w:t>
        </w:r>
      </w:smartTag>
      <w:r w:rsidRPr="00B718AA">
        <w:rPr>
          <w:sz w:val="20"/>
          <w:szCs w:val="20"/>
        </w:rPr>
        <w:t xml:space="preserve"> oraz </w:t>
      </w:r>
      <w:r w:rsidRPr="00B718AA">
        <w:rPr>
          <w:i/>
          <w:sz w:val="20"/>
          <w:szCs w:val="20"/>
        </w:rPr>
        <w:t xml:space="preserve">D </w:t>
      </w:r>
      <w:r w:rsidRPr="00B718AA">
        <w:rPr>
          <w:sz w:val="20"/>
          <w:szCs w:val="20"/>
        </w:rPr>
        <w:t xml:space="preserve">(górnego) większym niż </w:t>
      </w:r>
      <w:smartTag w:uri="urn:schemas-microsoft-com:office:smarttags" w:element="metricconverter">
        <w:smartTagPr>
          <w:attr w:name="ProductID" w:val="2 mm"/>
        </w:smartTagPr>
        <w:r w:rsidRPr="00B718AA">
          <w:rPr>
            <w:sz w:val="20"/>
            <w:szCs w:val="20"/>
          </w:rPr>
          <w:t>2 mm</w:t>
        </w:r>
      </w:smartTag>
      <w:r w:rsidRPr="00B718AA">
        <w:rPr>
          <w:sz w:val="20"/>
          <w:szCs w:val="20"/>
        </w:rPr>
        <w:t>.</w:t>
      </w:r>
    </w:p>
    <w:p w:rsidR="00E52B27" w:rsidRPr="00B718AA" w:rsidRDefault="00E52B27" w:rsidP="00E52B27">
      <w:pPr>
        <w:pStyle w:val="Bezodstpw"/>
        <w:spacing w:before="120" w:line="360" w:lineRule="auto"/>
        <w:ind w:firstLine="0"/>
        <w:rPr>
          <w:sz w:val="20"/>
          <w:szCs w:val="20"/>
        </w:rPr>
      </w:pPr>
      <w:r w:rsidRPr="00B718AA">
        <w:rPr>
          <w:b/>
          <w:sz w:val="20"/>
          <w:szCs w:val="20"/>
        </w:rPr>
        <w:lastRenderedPageBreak/>
        <w:t>1.4.8.</w:t>
      </w:r>
      <w:r w:rsidRPr="00B718AA">
        <w:rPr>
          <w:sz w:val="20"/>
          <w:szCs w:val="20"/>
        </w:rPr>
        <w:t xml:space="preserve"> Kruszywo drobne (wg PN-EN 13242) – oznaczenie kruszywa o wymiarach ziaren </w:t>
      </w:r>
      <w:r w:rsidRPr="00B718AA">
        <w:rPr>
          <w:sz w:val="20"/>
          <w:szCs w:val="20"/>
        </w:rPr>
        <w:br/>
      </w:r>
      <w:r w:rsidRPr="00B718AA">
        <w:rPr>
          <w:i/>
          <w:sz w:val="20"/>
          <w:szCs w:val="20"/>
        </w:rPr>
        <w:t>d</w:t>
      </w:r>
      <w:r w:rsidRPr="00B718AA">
        <w:rPr>
          <w:sz w:val="20"/>
          <w:szCs w:val="20"/>
        </w:rPr>
        <w:t xml:space="preserve"> równym 0 oraz </w:t>
      </w:r>
      <w:r w:rsidRPr="00B718AA">
        <w:rPr>
          <w:i/>
          <w:sz w:val="20"/>
          <w:szCs w:val="20"/>
        </w:rPr>
        <w:t>D</w:t>
      </w:r>
      <w:r w:rsidRPr="00B718AA">
        <w:rPr>
          <w:sz w:val="20"/>
          <w:szCs w:val="20"/>
        </w:rPr>
        <w:t xml:space="preserve"> równym </w:t>
      </w:r>
      <w:smartTag w:uri="urn:schemas-microsoft-com:office:smarttags" w:element="metricconverter">
        <w:smartTagPr>
          <w:attr w:name="ProductID" w:val="6,3 mm"/>
        </w:smartTagPr>
        <w:r w:rsidRPr="00B718AA">
          <w:rPr>
            <w:sz w:val="20"/>
            <w:szCs w:val="20"/>
          </w:rPr>
          <w:t>6,3 mm</w:t>
        </w:r>
      </w:smartTag>
      <w:r w:rsidRPr="00B718AA">
        <w:rPr>
          <w:sz w:val="20"/>
          <w:szCs w:val="20"/>
        </w:rPr>
        <w:t xml:space="preserve"> lub mniejszym. </w:t>
      </w:r>
    </w:p>
    <w:p w:rsidR="00E52B27" w:rsidRPr="00B718AA" w:rsidRDefault="00E52B27" w:rsidP="00E52B27">
      <w:pPr>
        <w:pStyle w:val="Bezodstpw"/>
        <w:spacing w:before="120" w:line="360" w:lineRule="auto"/>
        <w:ind w:firstLine="0"/>
        <w:rPr>
          <w:sz w:val="20"/>
          <w:szCs w:val="20"/>
        </w:rPr>
      </w:pPr>
      <w:r w:rsidRPr="00B718AA">
        <w:rPr>
          <w:b/>
          <w:sz w:val="20"/>
          <w:szCs w:val="20"/>
        </w:rPr>
        <w:t>1.4.9.</w:t>
      </w:r>
      <w:r w:rsidRPr="00B718AA">
        <w:rPr>
          <w:sz w:val="20"/>
          <w:szCs w:val="20"/>
        </w:rPr>
        <w:t xml:space="preserve"> Kruszywo o ciągłym uziarnieniu (wg PN-EN 13242) – kruszywo stanowiące mieszankę kruszyw grubych i drobnych, w której </w:t>
      </w:r>
      <w:r w:rsidRPr="00B718AA">
        <w:rPr>
          <w:i/>
          <w:sz w:val="20"/>
          <w:szCs w:val="20"/>
        </w:rPr>
        <w:t>D</w:t>
      </w:r>
      <w:r w:rsidRPr="00B718AA">
        <w:rPr>
          <w:sz w:val="20"/>
          <w:szCs w:val="20"/>
        </w:rPr>
        <w:t xml:space="preserve"> jest większe niż </w:t>
      </w:r>
      <w:smartTag w:uri="urn:schemas-microsoft-com:office:smarttags" w:element="metricconverter">
        <w:smartTagPr>
          <w:attr w:name="ProductID" w:val="6,3 mm"/>
        </w:smartTagPr>
        <w:r w:rsidRPr="00B718AA">
          <w:rPr>
            <w:sz w:val="20"/>
            <w:szCs w:val="20"/>
          </w:rPr>
          <w:t>6,3 mm</w:t>
        </w:r>
      </w:smartTag>
      <w:r w:rsidRPr="00B718AA">
        <w:rPr>
          <w:sz w:val="20"/>
          <w:szCs w:val="20"/>
        </w:rPr>
        <w:t>.</w:t>
      </w:r>
    </w:p>
    <w:p w:rsidR="00E52B27" w:rsidRPr="00B718AA" w:rsidRDefault="00E52B27" w:rsidP="00E52B27">
      <w:pPr>
        <w:pStyle w:val="Bezodstpw"/>
        <w:spacing w:before="120" w:line="360" w:lineRule="auto"/>
        <w:ind w:firstLine="0"/>
        <w:rPr>
          <w:sz w:val="20"/>
          <w:szCs w:val="20"/>
        </w:rPr>
      </w:pPr>
      <w:r w:rsidRPr="00B718AA">
        <w:rPr>
          <w:b/>
          <w:sz w:val="20"/>
          <w:szCs w:val="20"/>
        </w:rPr>
        <w:t>1.4.10.</w:t>
      </w:r>
      <w:r w:rsidRPr="00B718AA">
        <w:rPr>
          <w:sz w:val="20"/>
          <w:szCs w:val="20"/>
        </w:rPr>
        <w:t xml:space="preserve"> Kruszywo słabe – kruszywo przewidziane do zastosowania w mieszance przeznaczonej do wykonywania warstw nawierzchni drogowej lub podłoża ulepszonego, które charakteryzuje się różnicami w uziarnieniu przed i po 5-krotnym zagęszczeniu metodą </w:t>
      </w:r>
      <w:proofErr w:type="spellStart"/>
      <w:r w:rsidRPr="00B718AA">
        <w:rPr>
          <w:sz w:val="20"/>
          <w:szCs w:val="20"/>
        </w:rPr>
        <w:t>Proctora</w:t>
      </w:r>
      <w:proofErr w:type="spellEnd"/>
      <w:r w:rsidRPr="00B718AA">
        <w:rPr>
          <w:sz w:val="20"/>
          <w:szCs w:val="20"/>
        </w:rPr>
        <w:t xml:space="preserve">, przekraczającymi ± 8%. Uziarnienie kruszywa należy sprawdzać </w:t>
      </w:r>
      <w:r w:rsidRPr="00B718AA">
        <w:rPr>
          <w:sz w:val="20"/>
          <w:szCs w:val="20"/>
        </w:rPr>
        <w:br/>
        <w:t xml:space="preserve">na sitach przewidzianych do kontroli uziarnienia wg PN-EN 13285 i niniejszej SST. </w:t>
      </w:r>
      <w:r w:rsidRPr="00B718AA">
        <w:rPr>
          <w:sz w:val="20"/>
          <w:szCs w:val="20"/>
        </w:rPr>
        <w:br/>
        <w:t xml:space="preserve">O zakwalifikowaniu kruszywa do kruszyw słabych decyduje największa różnica wartości przesiewów na jednym z sit kontrolnych. </w:t>
      </w:r>
    </w:p>
    <w:p w:rsidR="00E52B27" w:rsidRPr="00B718AA" w:rsidRDefault="00E52B27" w:rsidP="00E52B27">
      <w:pPr>
        <w:pStyle w:val="Bezodstpw"/>
        <w:spacing w:before="120" w:line="360" w:lineRule="auto"/>
        <w:ind w:firstLine="0"/>
        <w:rPr>
          <w:sz w:val="20"/>
          <w:szCs w:val="20"/>
        </w:rPr>
      </w:pPr>
      <w:r w:rsidRPr="00B718AA">
        <w:rPr>
          <w:b/>
          <w:sz w:val="20"/>
          <w:szCs w:val="20"/>
        </w:rPr>
        <w:t>1.4.11.</w:t>
      </w:r>
      <w:r w:rsidRPr="00B718AA">
        <w:rPr>
          <w:sz w:val="20"/>
          <w:szCs w:val="20"/>
        </w:rPr>
        <w:t xml:space="preserve"> Podbudowa – dolna część konstrukcji nawierzchni drogi, służąca do przenoszenia obciążeń z ruchu na podłoże. Podbudowa może składać się z podbudowy zasadniczej </w:t>
      </w:r>
      <w:r w:rsidRPr="00B718AA">
        <w:rPr>
          <w:sz w:val="20"/>
          <w:szCs w:val="20"/>
        </w:rPr>
        <w:br/>
        <w:t>i pomocniczej, które mogą być wykonywane w kilku warstwach technologicznych.</w:t>
      </w:r>
    </w:p>
    <w:p w:rsidR="00E52B27" w:rsidRPr="00B718AA" w:rsidRDefault="00E52B27" w:rsidP="00E52B27">
      <w:pPr>
        <w:pStyle w:val="Bezodstpw"/>
        <w:spacing w:before="120" w:line="360" w:lineRule="auto"/>
        <w:ind w:firstLine="0"/>
        <w:rPr>
          <w:sz w:val="20"/>
          <w:szCs w:val="20"/>
        </w:rPr>
      </w:pPr>
      <w:r w:rsidRPr="00B718AA">
        <w:rPr>
          <w:b/>
          <w:sz w:val="20"/>
          <w:szCs w:val="20"/>
        </w:rPr>
        <w:t>1.4.12.</w:t>
      </w:r>
      <w:r w:rsidRPr="00B718AA">
        <w:rPr>
          <w:sz w:val="20"/>
          <w:szCs w:val="20"/>
        </w:rPr>
        <w:t xml:space="preserve"> Podbudowa zasadnicza – warstwa zapewniająca przenoszenie obciążeń z warstw wyżej leżących na warstwę podbudowy pomocniczej lub podłoże. </w:t>
      </w:r>
    </w:p>
    <w:p w:rsidR="00E52B27" w:rsidRPr="00B718AA" w:rsidRDefault="00E52B27" w:rsidP="00E52B27">
      <w:pPr>
        <w:pStyle w:val="Bezodstpw"/>
        <w:spacing w:before="120" w:line="360" w:lineRule="auto"/>
        <w:ind w:firstLine="0"/>
        <w:rPr>
          <w:sz w:val="20"/>
          <w:szCs w:val="20"/>
        </w:rPr>
      </w:pPr>
      <w:r w:rsidRPr="00B718AA">
        <w:rPr>
          <w:b/>
          <w:sz w:val="20"/>
          <w:szCs w:val="20"/>
        </w:rPr>
        <w:t xml:space="preserve">1.4.13. </w:t>
      </w:r>
      <w:r w:rsidRPr="00B718AA">
        <w:rPr>
          <w:sz w:val="20"/>
          <w:szCs w:val="20"/>
        </w:rPr>
        <w:t xml:space="preserve">Podbudowa pomocnicza - warstwa, zapewniająca przenoszenie obciążeń </w:t>
      </w:r>
      <w:r w:rsidRPr="00B718AA">
        <w:rPr>
          <w:sz w:val="20"/>
          <w:szCs w:val="20"/>
        </w:rPr>
        <w:br/>
        <w:t>z warstwy podbudowy zasadniczej na warstwę podłoża. Podbudowa pomocnicza może składać się z kilku warstw o różnych właściwościach.</w:t>
      </w:r>
    </w:p>
    <w:p w:rsidR="00E52B27" w:rsidRPr="00B718AA" w:rsidRDefault="00E52B27" w:rsidP="00E52B27">
      <w:pPr>
        <w:pStyle w:val="Bezodstpw"/>
        <w:spacing w:before="120" w:after="120" w:line="360" w:lineRule="auto"/>
        <w:ind w:firstLine="0"/>
        <w:rPr>
          <w:sz w:val="20"/>
          <w:szCs w:val="20"/>
        </w:rPr>
      </w:pPr>
      <w:r w:rsidRPr="00B718AA">
        <w:rPr>
          <w:b/>
          <w:sz w:val="20"/>
          <w:szCs w:val="20"/>
        </w:rPr>
        <w:t>1.4.14.</w:t>
      </w:r>
      <w:r w:rsidRPr="00B718AA">
        <w:rPr>
          <w:sz w:val="20"/>
          <w:szCs w:val="20"/>
        </w:rPr>
        <w:t xml:space="preserve"> Symbole i skróty dodatkowe</w:t>
      </w:r>
    </w:p>
    <w:p w:rsidR="00E52B27" w:rsidRPr="00B718AA" w:rsidRDefault="00E52B27" w:rsidP="00E52B27">
      <w:pPr>
        <w:pStyle w:val="Bezodstpw"/>
        <w:spacing w:line="360" w:lineRule="auto"/>
        <w:ind w:firstLine="0"/>
        <w:rPr>
          <w:sz w:val="20"/>
          <w:szCs w:val="20"/>
        </w:rPr>
      </w:pPr>
      <w:r w:rsidRPr="00B718AA">
        <w:rPr>
          <w:sz w:val="20"/>
          <w:szCs w:val="20"/>
        </w:rPr>
        <w:t>% m/m  procent masy,</w:t>
      </w:r>
    </w:p>
    <w:p w:rsidR="00E52B27" w:rsidRPr="00B718AA" w:rsidRDefault="00E52B27" w:rsidP="00E52B27">
      <w:pPr>
        <w:pStyle w:val="Bezodstpw"/>
        <w:spacing w:line="360" w:lineRule="auto"/>
        <w:ind w:left="851" w:hanging="851"/>
        <w:rPr>
          <w:sz w:val="20"/>
          <w:szCs w:val="20"/>
        </w:rPr>
      </w:pPr>
      <w:r w:rsidRPr="00B718AA">
        <w:rPr>
          <w:sz w:val="20"/>
          <w:szCs w:val="20"/>
        </w:rPr>
        <w:t>NR        brak konieczności badania danej cechy,</w:t>
      </w:r>
    </w:p>
    <w:p w:rsidR="00E52B27" w:rsidRPr="00B718AA" w:rsidRDefault="00E52B27" w:rsidP="00E52B27">
      <w:pPr>
        <w:pStyle w:val="Bezodstpw"/>
        <w:spacing w:line="360" w:lineRule="auto"/>
        <w:ind w:left="851" w:hanging="851"/>
        <w:rPr>
          <w:sz w:val="20"/>
          <w:szCs w:val="20"/>
        </w:rPr>
      </w:pPr>
      <w:r w:rsidRPr="00B718AA">
        <w:rPr>
          <w:sz w:val="20"/>
          <w:szCs w:val="20"/>
        </w:rPr>
        <w:t>CRB      kalifornijski wskaźnik nośności, %</w:t>
      </w:r>
    </w:p>
    <w:p w:rsidR="00E52B27" w:rsidRPr="00B718AA" w:rsidRDefault="00E52B27" w:rsidP="00E52B27">
      <w:pPr>
        <w:pStyle w:val="Bezodstpw"/>
        <w:spacing w:line="360" w:lineRule="auto"/>
        <w:ind w:left="840" w:hanging="840"/>
        <w:rPr>
          <w:sz w:val="20"/>
          <w:szCs w:val="20"/>
        </w:rPr>
      </w:pPr>
      <w:r w:rsidRPr="00B718AA">
        <w:rPr>
          <w:sz w:val="20"/>
          <w:szCs w:val="20"/>
        </w:rPr>
        <w:t>SDV      obszar uziarnienia, w którym powinna się mieścić krzywa  ziarnienia mieszanki (S) deklarowana przez dostawcę/producenta,</w:t>
      </w:r>
    </w:p>
    <w:p w:rsidR="00E52B27" w:rsidRPr="00B718AA" w:rsidRDefault="00E52B27" w:rsidP="00E52B27">
      <w:pPr>
        <w:pStyle w:val="Bezodstpw"/>
        <w:spacing w:line="360" w:lineRule="auto"/>
        <w:ind w:left="840" w:hanging="840"/>
        <w:rPr>
          <w:sz w:val="20"/>
          <w:szCs w:val="20"/>
        </w:rPr>
      </w:pPr>
      <w:r w:rsidRPr="00B718AA">
        <w:rPr>
          <w:sz w:val="20"/>
          <w:szCs w:val="20"/>
        </w:rPr>
        <w:t>ZKP</w:t>
      </w:r>
      <w:r w:rsidRPr="00B718AA">
        <w:rPr>
          <w:sz w:val="20"/>
          <w:szCs w:val="20"/>
        </w:rPr>
        <w:tab/>
        <w:t>zakładowa kontrola produkcji.</w:t>
      </w:r>
    </w:p>
    <w:p w:rsidR="00E52B27" w:rsidRPr="00B718AA" w:rsidRDefault="00E52B27" w:rsidP="00E52B27">
      <w:pPr>
        <w:spacing w:line="360" w:lineRule="auto"/>
        <w:jc w:val="both"/>
      </w:pPr>
      <w:r w:rsidRPr="00B718AA">
        <w:rPr>
          <w:b/>
        </w:rPr>
        <w:t xml:space="preserve">1.4.15. </w:t>
      </w:r>
      <w:r w:rsidRPr="00B718AA">
        <w:t>Pozostałe</w:t>
      </w:r>
      <w:r w:rsidRPr="00B718AA">
        <w:rPr>
          <w:b/>
        </w:rPr>
        <w:t xml:space="preserve"> </w:t>
      </w:r>
      <w:r w:rsidRPr="00B718AA">
        <w:t xml:space="preserve">określenia podstawowe są zgodne z obowiązującymi, odpowiednimi polskimi normami oraz z definicjami podanymi w SST D-M-00.00.00 „Wymagania ogólne” pkt 1.5 </w:t>
      </w:r>
    </w:p>
    <w:p w:rsidR="00E52B27" w:rsidRPr="00B718AA" w:rsidRDefault="00E52B27" w:rsidP="00E52B27">
      <w:pPr>
        <w:spacing w:line="360" w:lineRule="auto"/>
        <w:jc w:val="both"/>
      </w:pPr>
    </w:p>
    <w:p w:rsidR="00E52B27" w:rsidRPr="00B718AA" w:rsidRDefault="00E52B27" w:rsidP="00E52B27">
      <w:pPr>
        <w:pStyle w:val="Nagwek2"/>
        <w:spacing w:before="0" w:after="0" w:line="360" w:lineRule="auto"/>
        <w:rPr>
          <w:bCs/>
          <w:i/>
        </w:rPr>
      </w:pPr>
      <w:bookmarkStart w:id="76" w:name="_Toc316558689"/>
      <w:r w:rsidRPr="00B718AA">
        <w:t>1.5. Ogólne wymagania dotyczące robót</w:t>
      </w:r>
      <w:bookmarkEnd w:id="76"/>
    </w:p>
    <w:p w:rsidR="00E52B27" w:rsidRPr="00B718AA" w:rsidRDefault="00E52B27" w:rsidP="00E52B27">
      <w:pPr>
        <w:pStyle w:val="tekstost"/>
        <w:spacing w:line="360" w:lineRule="auto"/>
      </w:pPr>
      <w:r w:rsidRPr="00B718AA">
        <w:tab/>
        <w:t>Ogólne wymagania dotyczące robót podano w SST D-M-00.00.00 „Wymagania ogólne” pkt 1.5.</w:t>
      </w:r>
    </w:p>
    <w:p w:rsidR="00E52B27" w:rsidRPr="00B718AA" w:rsidRDefault="00E52B27" w:rsidP="00E52B27">
      <w:pPr>
        <w:pStyle w:val="Nagwek1"/>
        <w:spacing w:line="360" w:lineRule="auto"/>
      </w:pPr>
    </w:p>
    <w:p w:rsidR="00E52B27" w:rsidRPr="00B718AA" w:rsidRDefault="00E52B27" w:rsidP="00E52B27">
      <w:pPr>
        <w:pStyle w:val="Nagwek1"/>
        <w:spacing w:after="240" w:line="360" w:lineRule="auto"/>
      </w:pPr>
      <w:bookmarkStart w:id="77" w:name="_Toc316558690"/>
      <w:r w:rsidRPr="00B718AA">
        <w:t>2. MATERIAŁY</w:t>
      </w:r>
      <w:bookmarkEnd w:id="77"/>
    </w:p>
    <w:p w:rsidR="00E52B27" w:rsidRPr="00B718AA" w:rsidRDefault="00E52B27" w:rsidP="00E52B27">
      <w:pPr>
        <w:pStyle w:val="Nagwek2"/>
        <w:spacing w:before="0" w:after="0" w:line="360" w:lineRule="auto"/>
        <w:rPr>
          <w:bCs/>
          <w:i/>
        </w:rPr>
      </w:pPr>
      <w:bookmarkStart w:id="78" w:name="_Toc316558691"/>
      <w:r w:rsidRPr="00B718AA">
        <w:t>2.1. Ogólne wymagania dotyczące materiałów</w:t>
      </w:r>
      <w:bookmarkEnd w:id="78"/>
    </w:p>
    <w:p w:rsidR="00E52B27" w:rsidRPr="00B718AA" w:rsidRDefault="00E52B27" w:rsidP="00E52B27">
      <w:pPr>
        <w:spacing w:line="360" w:lineRule="auto"/>
        <w:jc w:val="both"/>
      </w:pPr>
      <w:r w:rsidRPr="00B718AA">
        <w:tab/>
        <w:t>Ogólne wymagania dotyczące materiałów, ich pozyskiwania i składowania, podano w SST D-M-00.00.00 „Wymagania ogólne” pkt 2.</w:t>
      </w:r>
    </w:p>
    <w:p w:rsidR="00E52B27" w:rsidRPr="00B718AA" w:rsidRDefault="00E52B27" w:rsidP="00E52B27">
      <w:pPr>
        <w:pStyle w:val="Nagwek2"/>
        <w:spacing w:line="360" w:lineRule="auto"/>
        <w:rPr>
          <w:i/>
        </w:rPr>
      </w:pPr>
      <w:r w:rsidRPr="00B718AA">
        <w:lastRenderedPageBreak/>
        <w:t>2.2. Materiały do wykonania robót</w:t>
      </w:r>
    </w:p>
    <w:p w:rsidR="00E52B27" w:rsidRPr="00B718AA" w:rsidRDefault="00E52B27" w:rsidP="00E52B27">
      <w:pPr>
        <w:spacing w:after="120" w:line="360" w:lineRule="auto"/>
        <w:jc w:val="both"/>
      </w:pPr>
      <w:r w:rsidRPr="00B718AA">
        <w:rPr>
          <w:b/>
        </w:rPr>
        <w:t xml:space="preserve">2.2.1. </w:t>
      </w:r>
      <w:r w:rsidRPr="00B718AA">
        <w:t>Materiały wchodzące w skład mieszanki</w:t>
      </w:r>
    </w:p>
    <w:p w:rsidR="00E52B27" w:rsidRPr="00B718AA" w:rsidRDefault="00E52B27" w:rsidP="00E52B27">
      <w:pPr>
        <w:pStyle w:val="Bezodstpw"/>
        <w:spacing w:line="360" w:lineRule="auto"/>
        <w:ind w:firstLine="0"/>
        <w:rPr>
          <w:sz w:val="20"/>
          <w:szCs w:val="20"/>
        </w:rPr>
      </w:pPr>
      <w:r w:rsidRPr="00B718AA">
        <w:rPr>
          <w:sz w:val="20"/>
          <w:szCs w:val="20"/>
        </w:rPr>
        <w:tab/>
        <w:t>Materiałami stosowanymi do wytwarzania mieszanek z kruszywa niezwiązanego są:</w:t>
      </w:r>
    </w:p>
    <w:p w:rsidR="00E52B27" w:rsidRPr="00B718AA" w:rsidRDefault="00E52B27" w:rsidP="002122BD">
      <w:pPr>
        <w:pStyle w:val="Bezodstpw"/>
        <w:numPr>
          <w:ilvl w:val="0"/>
          <w:numId w:val="20"/>
        </w:numPr>
        <w:spacing w:line="360" w:lineRule="auto"/>
        <w:rPr>
          <w:sz w:val="20"/>
          <w:szCs w:val="20"/>
        </w:rPr>
      </w:pPr>
      <w:r w:rsidRPr="00B718AA">
        <w:rPr>
          <w:sz w:val="20"/>
          <w:szCs w:val="20"/>
        </w:rPr>
        <w:t>kruszywo,</w:t>
      </w:r>
    </w:p>
    <w:p w:rsidR="00E52B27" w:rsidRPr="00B718AA" w:rsidRDefault="00E52B27" w:rsidP="002122BD">
      <w:pPr>
        <w:pStyle w:val="Bezodstpw"/>
        <w:numPr>
          <w:ilvl w:val="0"/>
          <w:numId w:val="20"/>
        </w:numPr>
        <w:spacing w:line="360" w:lineRule="auto"/>
        <w:rPr>
          <w:sz w:val="20"/>
          <w:szCs w:val="20"/>
        </w:rPr>
      </w:pPr>
      <w:r w:rsidRPr="00B718AA">
        <w:rPr>
          <w:sz w:val="20"/>
          <w:szCs w:val="20"/>
        </w:rPr>
        <w:t>woda do zraszania kruszywa.</w:t>
      </w:r>
    </w:p>
    <w:p w:rsidR="00E52B27" w:rsidRPr="00B718AA" w:rsidRDefault="00E52B27" w:rsidP="00E52B27">
      <w:pPr>
        <w:pStyle w:val="Bezodstpw"/>
        <w:spacing w:before="120" w:after="120" w:line="360" w:lineRule="auto"/>
        <w:ind w:firstLine="0"/>
        <w:rPr>
          <w:sz w:val="20"/>
          <w:szCs w:val="20"/>
        </w:rPr>
      </w:pPr>
      <w:r w:rsidRPr="00B718AA">
        <w:rPr>
          <w:b/>
          <w:sz w:val="20"/>
          <w:szCs w:val="20"/>
        </w:rPr>
        <w:t>2.2.2</w:t>
      </w:r>
      <w:r w:rsidRPr="00B718AA">
        <w:rPr>
          <w:sz w:val="20"/>
          <w:szCs w:val="20"/>
        </w:rPr>
        <w:t>. Kruszywa</w:t>
      </w:r>
    </w:p>
    <w:p w:rsidR="00E52B27" w:rsidRPr="00B718AA" w:rsidRDefault="00E52B27" w:rsidP="00E52B27">
      <w:pPr>
        <w:tabs>
          <w:tab w:val="left" w:pos="0"/>
        </w:tabs>
        <w:spacing w:line="360" w:lineRule="auto"/>
        <w:jc w:val="both"/>
      </w:pPr>
      <w:r w:rsidRPr="00B718AA">
        <w:tab/>
        <w:t xml:space="preserve">Do mieszanek należy stosować kruszywo naturalne do </w:t>
      </w:r>
      <w:r w:rsidRPr="00B718AA">
        <w:rPr>
          <w:i/>
        </w:rPr>
        <w:t>D</w:t>
      </w:r>
      <w:r w:rsidRPr="00B718AA">
        <w:t xml:space="preserve"> ≤ 31,5 mm.</w:t>
      </w:r>
    </w:p>
    <w:p w:rsidR="00E52B27" w:rsidRPr="00B718AA" w:rsidRDefault="00E52B27" w:rsidP="00E52B27">
      <w:pPr>
        <w:spacing w:line="360" w:lineRule="auto"/>
      </w:pPr>
      <w:r w:rsidRPr="00B718AA">
        <w:tab/>
        <w:t>Wymagania wobec kruszywa do warstwy podbudowy przedstawia tablica 1.</w:t>
      </w:r>
    </w:p>
    <w:p w:rsidR="00E52B27" w:rsidRPr="00B718AA" w:rsidRDefault="00E52B27" w:rsidP="00E52B27">
      <w:pPr>
        <w:pStyle w:val="Bezodstpw"/>
        <w:tabs>
          <w:tab w:val="left" w:pos="1134"/>
        </w:tabs>
        <w:spacing w:line="360" w:lineRule="auto"/>
        <w:ind w:left="1200" w:hanging="1200"/>
        <w:jc w:val="left"/>
        <w:rPr>
          <w:sz w:val="20"/>
          <w:szCs w:val="20"/>
        </w:rPr>
      </w:pPr>
    </w:p>
    <w:p w:rsidR="00E52B27" w:rsidRPr="00B718AA" w:rsidRDefault="00E52B27" w:rsidP="00E52B27">
      <w:pPr>
        <w:pStyle w:val="Bezodstpw"/>
        <w:tabs>
          <w:tab w:val="left" w:pos="993"/>
        </w:tabs>
        <w:ind w:left="1200" w:hanging="1200"/>
        <w:jc w:val="left"/>
        <w:rPr>
          <w:i/>
          <w:sz w:val="20"/>
          <w:szCs w:val="20"/>
        </w:rPr>
      </w:pPr>
      <w:r w:rsidRPr="00B718AA">
        <w:rPr>
          <w:i/>
          <w:sz w:val="20"/>
          <w:szCs w:val="20"/>
        </w:rPr>
        <w:t xml:space="preserve">Tablica 1. </w:t>
      </w:r>
      <w:r w:rsidRPr="00B718AA">
        <w:rPr>
          <w:i/>
          <w:sz w:val="20"/>
          <w:szCs w:val="20"/>
        </w:rPr>
        <w:tab/>
        <w:t>Wymagania według WT-4 [23] i PN-EN 13242 [12] wobec kruszyw do mieszanek niezwiązanych w warstwie podbudowy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851"/>
        <w:gridCol w:w="4142"/>
      </w:tblGrid>
      <w:tr w:rsidR="00E52B27" w:rsidRPr="00B718AA" w:rsidTr="00E52B27">
        <w:tc>
          <w:tcPr>
            <w:tcW w:w="3085" w:type="dxa"/>
            <w:vMerge w:val="restart"/>
            <w:vAlign w:val="center"/>
          </w:tcPr>
          <w:p w:rsidR="00E52B27" w:rsidRPr="00B718AA" w:rsidRDefault="00E52B27" w:rsidP="00E52B27">
            <w:pPr>
              <w:pStyle w:val="Bezodstpw"/>
              <w:ind w:firstLine="0"/>
              <w:jc w:val="center"/>
              <w:rPr>
                <w:sz w:val="20"/>
                <w:szCs w:val="20"/>
              </w:rPr>
            </w:pPr>
            <w:r w:rsidRPr="00B718AA">
              <w:rPr>
                <w:sz w:val="20"/>
                <w:szCs w:val="20"/>
              </w:rPr>
              <w:t>Właściwość</w:t>
            </w:r>
          </w:p>
          <w:p w:rsidR="00E52B27" w:rsidRPr="00B718AA" w:rsidRDefault="00E52B27" w:rsidP="00E52B27">
            <w:pPr>
              <w:pStyle w:val="Bezodstpw"/>
              <w:ind w:firstLine="0"/>
              <w:jc w:val="center"/>
              <w:rPr>
                <w:sz w:val="20"/>
                <w:szCs w:val="20"/>
              </w:rPr>
            </w:pPr>
            <w:r w:rsidRPr="00B718AA">
              <w:rPr>
                <w:sz w:val="20"/>
                <w:szCs w:val="20"/>
              </w:rPr>
              <w:t>kruszywa</w:t>
            </w:r>
          </w:p>
        </w:tc>
        <w:tc>
          <w:tcPr>
            <w:tcW w:w="1134" w:type="dxa"/>
            <w:vMerge w:val="restart"/>
            <w:vAlign w:val="center"/>
          </w:tcPr>
          <w:p w:rsidR="00E52B27" w:rsidRPr="00B718AA" w:rsidRDefault="00E52B27" w:rsidP="00E52B27">
            <w:pPr>
              <w:pStyle w:val="Bezodstpw"/>
              <w:ind w:firstLine="0"/>
              <w:jc w:val="center"/>
              <w:rPr>
                <w:sz w:val="20"/>
                <w:szCs w:val="20"/>
              </w:rPr>
            </w:pPr>
            <w:r w:rsidRPr="00B718AA">
              <w:rPr>
                <w:sz w:val="20"/>
                <w:szCs w:val="20"/>
              </w:rPr>
              <w:t>Metoda</w:t>
            </w:r>
          </w:p>
          <w:p w:rsidR="00E52B27" w:rsidRPr="00B718AA" w:rsidRDefault="00E52B27" w:rsidP="00E52B27">
            <w:pPr>
              <w:pStyle w:val="Bezodstpw"/>
              <w:ind w:firstLine="0"/>
              <w:jc w:val="center"/>
              <w:rPr>
                <w:sz w:val="20"/>
                <w:szCs w:val="20"/>
              </w:rPr>
            </w:pPr>
            <w:r w:rsidRPr="00B718AA">
              <w:rPr>
                <w:sz w:val="20"/>
                <w:szCs w:val="20"/>
              </w:rPr>
              <w:t>badania</w:t>
            </w:r>
          </w:p>
          <w:p w:rsidR="00E52B27" w:rsidRPr="00B718AA" w:rsidRDefault="00E52B27" w:rsidP="00E52B27">
            <w:pPr>
              <w:pStyle w:val="Bezodstpw"/>
              <w:ind w:firstLine="0"/>
              <w:jc w:val="center"/>
              <w:rPr>
                <w:sz w:val="20"/>
                <w:szCs w:val="20"/>
              </w:rPr>
            </w:pPr>
            <w:r w:rsidRPr="00B718AA">
              <w:rPr>
                <w:sz w:val="20"/>
                <w:szCs w:val="20"/>
              </w:rPr>
              <w:t>wg</w:t>
            </w:r>
          </w:p>
        </w:tc>
        <w:tc>
          <w:tcPr>
            <w:tcW w:w="4993" w:type="dxa"/>
            <w:gridSpan w:val="2"/>
          </w:tcPr>
          <w:p w:rsidR="00E52B27" w:rsidRPr="00B718AA" w:rsidRDefault="00E52B27" w:rsidP="00E52B27">
            <w:pPr>
              <w:pStyle w:val="Bezodstpw"/>
              <w:ind w:right="-76" w:firstLine="0"/>
              <w:jc w:val="center"/>
              <w:rPr>
                <w:sz w:val="20"/>
                <w:szCs w:val="20"/>
              </w:rPr>
            </w:pPr>
            <w:r w:rsidRPr="00B718AA">
              <w:rPr>
                <w:sz w:val="20"/>
                <w:szCs w:val="20"/>
              </w:rPr>
              <w:t xml:space="preserve">Wymagania wobec kruszyw do mieszanek niezwiązanych, przeznaczonych do zastosowania w warstwie podbudowy pod nawierzchnią drogi obciążonej ruchem kategorii </w:t>
            </w:r>
          </w:p>
          <w:p w:rsidR="00E52B27" w:rsidRPr="00B718AA" w:rsidRDefault="00E52B27" w:rsidP="00E52B27">
            <w:pPr>
              <w:pStyle w:val="Bezodstpw"/>
              <w:ind w:firstLine="0"/>
              <w:jc w:val="center"/>
              <w:rPr>
                <w:sz w:val="20"/>
                <w:szCs w:val="20"/>
              </w:rPr>
            </w:pPr>
            <w:r w:rsidRPr="00B718AA">
              <w:rPr>
                <w:sz w:val="20"/>
                <w:szCs w:val="20"/>
              </w:rPr>
              <w:t>KR1 ÷ KR6</w:t>
            </w:r>
          </w:p>
        </w:tc>
      </w:tr>
      <w:tr w:rsidR="00E52B27" w:rsidRPr="00B718AA" w:rsidTr="00E52B27">
        <w:trPr>
          <w:trHeight w:val="476"/>
        </w:trPr>
        <w:tc>
          <w:tcPr>
            <w:tcW w:w="3085" w:type="dxa"/>
            <w:vMerge/>
          </w:tcPr>
          <w:p w:rsidR="00E52B27" w:rsidRPr="00B718AA" w:rsidRDefault="00E52B27" w:rsidP="00E52B27">
            <w:pPr>
              <w:pStyle w:val="Bezodstpw"/>
              <w:ind w:firstLine="0"/>
              <w:rPr>
                <w:sz w:val="20"/>
                <w:szCs w:val="20"/>
              </w:rPr>
            </w:pPr>
          </w:p>
        </w:tc>
        <w:tc>
          <w:tcPr>
            <w:tcW w:w="1134" w:type="dxa"/>
            <w:vMerge/>
          </w:tcPr>
          <w:p w:rsidR="00E52B27" w:rsidRPr="00B718AA" w:rsidRDefault="00E52B27" w:rsidP="00E52B27">
            <w:pPr>
              <w:pStyle w:val="Bezodstpw"/>
              <w:ind w:firstLine="0"/>
              <w:rPr>
                <w:sz w:val="20"/>
                <w:szCs w:val="20"/>
              </w:rPr>
            </w:pP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Punkt</w:t>
            </w:r>
          </w:p>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13242</w:t>
            </w:r>
          </w:p>
        </w:tc>
        <w:tc>
          <w:tcPr>
            <w:tcW w:w="4142" w:type="dxa"/>
            <w:vAlign w:val="center"/>
          </w:tcPr>
          <w:p w:rsidR="00E52B27" w:rsidRPr="00B718AA" w:rsidRDefault="00E52B27" w:rsidP="00E52B27">
            <w:pPr>
              <w:pStyle w:val="Bezodstpw"/>
              <w:ind w:firstLine="0"/>
              <w:jc w:val="center"/>
              <w:rPr>
                <w:sz w:val="20"/>
                <w:szCs w:val="20"/>
              </w:rPr>
            </w:pPr>
            <w:r w:rsidRPr="00B718AA">
              <w:rPr>
                <w:sz w:val="20"/>
                <w:szCs w:val="20"/>
              </w:rPr>
              <w:t>Wymagania</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Zestaw sit #</w:t>
            </w:r>
          </w:p>
        </w:tc>
        <w:tc>
          <w:tcPr>
            <w:tcW w:w="1134" w:type="dxa"/>
            <w:vAlign w:val="center"/>
          </w:tcPr>
          <w:p w:rsidR="00E52B27" w:rsidRPr="00B718AA" w:rsidRDefault="00E52B27" w:rsidP="00E52B27">
            <w:pPr>
              <w:pStyle w:val="Bezodstpw"/>
              <w:ind w:firstLine="0"/>
              <w:jc w:val="center"/>
              <w:rPr>
                <w:sz w:val="20"/>
                <w:szCs w:val="20"/>
              </w:rPr>
            </w:pPr>
            <w:r w:rsidRPr="00B718AA">
              <w:rPr>
                <w:sz w:val="20"/>
                <w:szCs w:val="20"/>
              </w:rPr>
              <w:t>-</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4.1-4.2</w:t>
            </w:r>
          </w:p>
        </w:tc>
        <w:tc>
          <w:tcPr>
            <w:tcW w:w="4142" w:type="dxa"/>
          </w:tcPr>
          <w:p w:rsidR="00E52B27" w:rsidRPr="00B718AA" w:rsidRDefault="00E52B27" w:rsidP="00E52B27">
            <w:pPr>
              <w:pStyle w:val="Bezodstpw"/>
              <w:ind w:firstLine="0"/>
              <w:rPr>
                <w:sz w:val="20"/>
                <w:szCs w:val="20"/>
              </w:rPr>
            </w:pPr>
            <w:r w:rsidRPr="00B718AA">
              <w:rPr>
                <w:sz w:val="20"/>
                <w:szCs w:val="20"/>
              </w:rPr>
              <w:t xml:space="preserve">0,063; 0,5; 1; 2; 4; 5,6; 8; 11,2; 16; 22,4; 31,5; 45; 63 mm (zestaw podstawowy plus zestaw 1) </w:t>
            </w:r>
          </w:p>
          <w:p w:rsidR="00E52B27" w:rsidRPr="00B718AA" w:rsidRDefault="00E52B27" w:rsidP="00E52B27">
            <w:pPr>
              <w:pStyle w:val="Bezodstpw"/>
              <w:ind w:firstLine="0"/>
              <w:rPr>
                <w:sz w:val="20"/>
                <w:szCs w:val="20"/>
              </w:rPr>
            </w:pPr>
            <w:r w:rsidRPr="00B718AA">
              <w:rPr>
                <w:sz w:val="20"/>
                <w:szCs w:val="20"/>
              </w:rPr>
              <w:t xml:space="preserve"> Frakcje dozwolone max. do D ≤ 31,5 </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Uziarnienie</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933-1[1]</w:t>
            </w:r>
          </w:p>
          <w:p w:rsidR="00E52B27" w:rsidRPr="00B718AA" w:rsidRDefault="00E52B27" w:rsidP="00E52B27">
            <w:pPr>
              <w:pStyle w:val="Bezodstpw"/>
              <w:ind w:left="-108" w:firstLine="0"/>
              <w:jc w:val="center"/>
              <w:rPr>
                <w:sz w:val="20"/>
                <w:szCs w:val="20"/>
              </w:rPr>
            </w:pP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4.3.1</w:t>
            </w:r>
          </w:p>
        </w:tc>
        <w:tc>
          <w:tcPr>
            <w:tcW w:w="4142" w:type="dxa"/>
          </w:tcPr>
          <w:p w:rsidR="00E52B27" w:rsidRPr="00B718AA" w:rsidRDefault="00E52B27" w:rsidP="00E52B27">
            <w:pPr>
              <w:pStyle w:val="Bezodstpw"/>
              <w:ind w:firstLine="0"/>
              <w:jc w:val="center"/>
              <w:rPr>
                <w:sz w:val="20"/>
                <w:szCs w:val="20"/>
              </w:rPr>
            </w:pPr>
            <w:r w:rsidRPr="00B718AA">
              <w:rPr>
                <w:i/>
                <w:sz w:val="20"/>
                <w:szCs w:val="20"/>
              </w:rPr>
              <w:t>G</w:t>
            </w:r>
            <w:r w:rsidRPr="00B718AA">
              <w:rPr>
                <w:sz w:val="20"/>
                <w:szCs w:val="20"/>
                <w:vertAlign w:val="subscript"/>
              </w:rPr>
              <w:t>C</w:t>
            </w:r>
            <w:r w:rsidRPr="00B718AA">
              <w:rPr>
                <w:sz w:val="20"/>
                <w:szCs w:val="20"/>
              </w:rPr>
              <w:t>80/20,</w:t>
            </w:r>
          </w:p>
          <w:p w:rsidR="00E52B27" w:rsidRPr="00B718AA" w:rsidRDefault="00E52B27" w:rsidP="00E52B27">
            <w:pPr>
              <w:pStyle w:val="Bezodstpw"/>
              <w:ind w:firstLine="0"/>
              <w:jc w:val="center"/>
              <w:rPr>
                <w:sz w:val="20"/>
                <w:szCs w:val="20"/>
              </w:rPr>
            </w:pPr>
            <w:r w:rsidRPr="00B718AA">
              <w:rPr>
                <w:i/>
                <w:sz w:val="20"/>
                <w:szCs w:val="20"/>
              </w:rPr>
              <w:t>G</w:t>
            </w:r>
            <w:r w:rsidRPr="00B718AA">
              <w:rPr>
                <w:sz w:val="20"/>
                <w:szCs w:val="20"/>
                <w:vertAlign w:val="subscript"/>
              </w:rPr>
              <w:t>F</w:t>
            </w:r>
            <w:r w:rsidRPr="00B718AA">
              <w:rPr>
                <w:sz w:val="20"/>
                <w:szCs w:val="20"/>
              </w:rPr>
              <w:t>80,</w:t>
            </w:r>
          </w:p>
          <w:p w:rsidR="00E52B27" w:rsidRPr="00B718AA" w:rsidRDefault="00E52B27" w:rsidP="00E52B27">
            <w:pPr>
              <w:pStyle w:val="Bezodstpw"/>
              <w:ind w:firstLine="0"/>
              <w:jc w:val="center"/>
              <w:rPr>
                <w:sz w:val="20"/>
                <w:szCs w:val="20"/>
              </w:rPr>
            </w:pPr>
            <w:r w:rsidRPr="00B718AA">
              <w:rPr>
                <w:i/>
                <w:sz w:val="20"/>
                <w:szCs w:val="20"/>
              </w:rPr>
              <w:t>G</w:t>
            </w:r>
            <w:r w:rsidRPr="00B718AA">
              <w:rPr>
                <w:sz w:val="20"/>
                <w:szCs w:val="20"/>
                <w:vertAlign w:val="subscript"/>
              </w:rPr>
              <w:t>A</w:t>
            </w:r>
            <w:r w:rsidRPr="00B718AA">
              <w:rPr>
                <w:sz w:val="20"/>
                <w:szCs w:val="20"/>
              </w:rPr>
              <w:t>75.</w:t>
            </w:r>
          </w:p>
          <w:p w:rsidR="00E52B27" w:rsidRPr="00B718AA" w:rsidRDefault="00E52B27" w:rsidP="00E52B27">
            <w:pPr>
              <w:pStyle w:val="Bezodstpw"/>
              <w:ind w:firstLine="0"/>
              <w:rPr>
                <w:sz w:val="20"/>
                <w:szCs w:val="20"/>
              </w:rPr>
            </w:pPr>
            <w:r w:rsidRPr="00B718AA">
              <w:rPr>
                <w:sz w:val="20"/>
                <w:szCs w:val="20"/>
              </w:rPr>
              <w:t>Uziarnienie mieszanek kruszywa wg rysunku 1</w:t>
            </w:r>
          </w:p>
        </w:tc>
      </w:tr>
      <w:tr w:rsidR="00E52B27" w:rsidRPr="00B718AA" w:rsidTr="00E52B27">
        <w:trPr>
          <w:trHeight w:val="433"/>
        </w:trPr>
        <w:tc>
          <w:tcPr>
            <w:tcW w:w="3085" w:type="dxa"/>
          </w:tcPr>
          <w:p w:rsidR="00E52B27" w:rsidRPr="00B718AA" w:rsidRDefault="00E52B27" w:rsidP="00E52B27">
            <w:pPr>
              <w:pStyle w:val="Bezodstpw"/>
              <w:ind w:firstLine="0"/>
              <w:jc w:val="left"/>
              <w:rPr>
                <w:sz w:val="20"/>
                <w:szCs w:val="20"/>
              </w:rPr>
            </w:pPr>
            <w:r w:rsidRPr="00B718AA">
              <w:rPr>
                <w:sz w:val="20"/>
                <w:szCs w:val="20"/>
              </w:rPr>
              <w:t>Ogólne granice i tolerancje uziarnienia kruszywa grubego na sitach pośrednich</w:t>
            </w:r>
          </w:p>
          <w:p w:rsidR="00E52B27" w:rsidRPr="00B718AA" w:rsidRDefault="00E52B27" w:rsidP="00E52B27">
            <w:pPr>
              <w:pStyle w:val="Bezodstpw"/>
              <w:ind w:firstLine="0"/>
              <w:jc w:val="left"/>
              <w:rPr>
                <w:sz w:val="20"/>
                <w:szCs w:val="20"/>
              </w:rPr>
            </w:pP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933-1 [1]</w:t>
            </w:r>
          </w:p>
          <w:p w:rsidR="00E52B27" w:rsidRPr="00B718AA" w:rsidRDefault="00E52B27" w:rsidP="00E52B27">
            <w:pPr>
              <w:pStyle w:val="Bezodstpw"/>
              <w:ind w:left="-108" w:firstLine="0"/>
              <w:jc w:val="center"/>
              <w:rPr>
                <w:sz w:val="20"/>
                <w:szCs w:val="20"/>
              </w:rPr>
            </w:pP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4.3.2</w:t>
            </w:r>
          </w:p>
        </w:tc>
        <w:tc>
          <w:tcPr>
            <w:tcW w:w="4142" w:type="dxa"/>
          </w:tcPr>
          <w:p w:rsidR="00E52B27" w:rsidRPr="00B718AA" w:rsidRDefault="00E52B27" w:rsidP="00E52B27">
            <w:pPr>
              <w:pStyle w:val="Bezodstpw"/>
              <w:ind w:firstLine="0"/>
              <w:rPr>
                <w:sz w:val="20"/>
                <w:szCs w:val="20"/>
              </w:rPr>
            </w:pPr>
            <w:r w:rsidRPr="00B718AA">
              <w:rPr>
                <w:i/>
                <w:sz w:val="20"/>
                <w:szCs w:val="20"/>
              </w:rPr>
              <w:t>GT</w:t>
            </w:r>
            <w:r w:rsidRPr="00B718AA">
              <w:rPr>
                <w:sz w:val="20"/>
                <w:szCs w:val="20"/>
                <w:vertAlign w:val="subscript"/>
              </w:rPr>
              <w:t>C</w:t>
            </w:r>
            <w:r w:rsidRPr="00B718AA">
              <w:rPr>
                <w:sz w:val="20"/>
                <w:szCs w:val="20"/>
              </w:rPr>
              <w:t>20/15 (tj. dla stosunku D/d ≥2 i sita o pośrednich wymiarach D/1,4 ogólne granice wynoszą 20-70% przechodzącej masy i graniczne odchylenia od typowego uziarnienia deklarowanego przez producenta wynoszą ±15%)</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Tolerancje typowego uziarnienia kruszywa drobnego i kruszywa o ciągłym uziarnieniu</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 xml:space="preserve">PN-EN </w:t>
            </w:r>
          </w:p>
          <w:p w:rsidR="00E52B27" w:rsidRPr="00B718AA" w:rsidRDefault="00E52B27" w:rsidP="00E52B27">
            <w:pPr>
              <w:pStyle w:val="Bezodstpw"/>
              <w:ind w:left="-108" w:firstLine="0"/>
              <w:jc w:val="center"/>
              <w:rPr>
                <w:sz w:val="20"/>
                <w:szCs w:val="20"/>
              </w:rPr>
            </w:pPr>
            <w:r w:rsidRPr="00B718AA">
              <w:rPr>
                <w:sz w:val="20"/>
                <w:szCs w:val="20"/>
              </w:rPr>
              <w:t>933-1 [1]</w:t>
            </w:r>
          </w:p>
          <w:p w:rsidR="00E52B27" w:rsidRPr="00B718AA" w:rsidRDefault="00E52B27" w:rsidP="00E52B27">
            <w:pPr>
              <w:pStyle w:val="Bezodstpw"/>
              <w:ind w:left="-108" w:firstLine="0"/>
              <w:jc w:val="center"/>
              <w:rPr>
                <w:sz w:val="20"/>
                <w:szCs w:val="20"/>
              </w:rPr>
            </w:pP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4.3.3</w:t>
            </w:r>
          </w:p>
        </w:tc>
        <w:tc>
          <w:tcPr>
            <w:tcW w:w="4142" w:type="dxa"/>
          </w:tcPr>
          <w:p w:rsidR="00E52B27" w:rsidRPr="00B718AA" w:rsidRDefault="00E52B27" w:rsidP="00E52B27">
            <w:pPr>
              <w:pStyle w:val="Bezodstpw"/>
              <w:ind w:firstLine="0"/>
              <w:rPr>
                <w:sz w:val="20"/>
                <w:szCs w:val="20"/>
              </w:rPr>
            </w:pPr>
            <w:r w:rsidRPr="00B718AA">
              <w:rPr>
                <w:sz w:val="20"/>
                <w:szCs w:val="20"/>
              </w:rPr>
              <w:t>Kruszywo drobne: kat. GT</w:t>
            </w:r>
            <w:r w:rsidRPr="00B718AA">
              <w:rPr>
                <w:sz w:val="20"/>
                <w:szCs w:val="20"/>
                <w:vertAlign w:val="subscript"/>
              </w:rPr>
              <w:t>F</w:t>
            </w:r>
            <w:r w:rsidRPr="00B718AA">
              <w:rPr>
                <w:sz w:val="20"/>
                <w:szCs w:val="20"/>
              </w:rPr>
              <w:t>10 (tj. procent masy przechodzącej przez sito górne D: ±5%, sito D/2: ±10%, sito 0,063 mm: ±3%).Kruszywo o ciągłym uziarnieniu: kat. GT</w:t>
            </w:r>
            <w:r w:rsidRPr="00B718AA">
              <w:rPr>
                <w:sz w:val="20"/>
                <w:szCs w:val="20"/>
                <w:vertAlign w:val="subscript"/>
              </w:rPr>
              <w:t>A</w:t>
            </w:r>
            <w:r w:rsidRPr="00B718AA">
              <w:rPr>
                <w:sz w:val="20"/>
                <w:szCs w:val="20"/>
              </w:rPr>
              <w:t>20 (tj. procent masy przechodzącej przez sito górne D: ±5%, sito D/2: ±20%, sito 0,063 mm: ±4%)</w:t>
            </w:r>
          </w:p>
        </w:tc>
      </w:tr>
      <w:tr w:rsidR="00E52B27" w:rsidRPr="00B718AA" w:rsidTr="00E52B27">
        <w:trPr>
          <w:trHeight w:val="671"/>
        </w:trPr>
        <w:tc>
          <w:tcPr>
            <w:tcW w:w="3085" w:type="dxa"/>
          </w:tcPr>
          <w:p w:rsidR="00E52B27" w:rsidRPr="00B718AA" w:rsidRDefault="00E52B27" w:rsidP="00E52B27">
            <w:pPr>
              <w:pStyle w:val="Bezodstpw"/>
              <w:ind w:firstLine="0"/>
              <w:jc w:val="left"/>
              <w:rPr>
                <w:sz w:val="20"/>
                <w:szCs w:val="20"/>
              </w:rPr>
            </w:pPr>
            <w:r w:rsidRPr="00B718AA">
              <w:rPr>
                <w:sz w:val="20"/>
                <w:szCs w:val="20"/>
              </w:rPr>
              <w:t>Kształt kruszywa grubego – maksymalne wartości wskaźnika płaskości</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vertAlign w:val="superscript"/>
              </w:rPr>
            </w:pPr>
            <w:r w:rsidRPr="00B718AA">
              <w:rPr>
                <w:sz w:val="20"/>
                <w:szCs w:val="20"/>
              </w:rPr>
              <w:t>933-3 [2]</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4.4</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FI</w:t>
            </w:r>
            <w:r w:rsidRPr="00B718AA">
              <w:rPr>
                <w:sz w:val="20"/>
                <w:szCs w:val="20"/>
                <w:vertAlign w:val="subscript"/>
              </w:rPr>
              <w:t>50</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Kształt kruszywa grubego – maksymalne wartości wskaźnika kształtu</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933-4 [3]</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4.4</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SI</w:t>
            </w:r>
            <w:r w:rsidRPr="00B718AA">
              <w:rPr>
                <w:sz w:val="20"/>
                <w:szCs w:val="20"/>
                <w:vertAlign w:val="subscript"/>
              </w:rPr>
              <w:t>55</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 xml:space="preserve">Kategorie procentowych zawartości ziaren o powierzchni </w:t>
            </w:r>
            <w:proofErr w:type="spellStart"/>
            <w:r w:rsidRPr="00B718AA">
              <w:rPr>
                <w:sz w:val="20"/>
                <w:szCs w:val="20"/>
              </w:rPr>
              <w:t>przekruszonej</w:t>
            </w:r>
            <w:proofErr w:type="spellEnd"/>
            <w:r w:rsidRPr="00B718AA">
              <w:rPr>
                <w:sz w:val="20"/>
                <w:szCs w:val="20"/>
              </w:rPr>
              <w:t xml:space="preserve"> lub łamanych oraz ziaren całkowicie zaokrąglonych w kruszywie grubym</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933-5 [4]</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4.5</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C</w:t>
            </w:r>
            <w:r w:rsidRPr="00B718AA">
              <w:rPr>
                <w:sz w:val="20"/>
                <w:szCs w:val="20"/>
                <w:vertAlign w:val="subscript"/>
              </w:rPr>
              <w:t>90/3</w:t>
            </w:r>
          </w:p>
        </w:tc>
      </w:tr>
      <w:tr w:rsidR="00E52B27" w:rsidRPr="00B718AA" w:rsidTr="00E52B27">
        <w:tc>
          <w:tcPr>
            <w:tcW w:w="3085" w:type="dxa"/>
          </w:tcPr>
          <w:p w:rsidR="00E52B27" w:rsidRPr="00B718AA" w:rsidRDefault="00E52B27" w:rsidP="00E52B27">
            <w:pPr>
              <w:pStyle w:val="Bezodstpw"/>
              <w:ind w:firstLine="0"/>
              <w:jc w:val="left"/>
              <w:rPr>
                <w:sz w:val="20"/>
                <w:szCs w:val="20"/>
                <w:vertAlign w:val="superscript"/>
              </w:rPr>
            </w:pPr>
            <w:r w:rsidRPr="00B718AA">
              <w:rPr>
                <w:sz w:val="20"/>
                <w:szCs w:val="20"/>
              </w:rPr>
              <w:t>Zawartość pyłów w kruszywie grubym</w:t>
            </w:r>
            <w:r w:rsidRPr="00B718AA">
              <w:rPr>
                <w:sz w:val="20"/>
                <w:szCs w:val="20"/>
                <w:vertAlign w:val="superscript"/>
              </w:rPr>
              <w:t>*)</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933-1 [1]</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4.6</w:t>
            </w:r>
          </w:p>
        </w:tc>
        <w:tc>
          <w:tcPr>
            <w:tcW w:w="4142" w:type="dxa"/>
            <w:vAlign w:val="center"/>
          </w:tcPr>
          <w:p w:rsidR="00E52B27" w:rsidRPr="00B718AA" w:rsidRDefault="00E52B27" w:rsidP="00E52B27">
            <w:pPr>
              <w:pStyle w:val="Bezodstpw"/>
              <w:ind w:firstLine="0"/>
              <w:jc w:val="center"/>
              <w:rPr>
                <w:sz w:val="20"/>
                <w:szCs w:val="20"/>
              </w:rPr>
            </w:pPr>
            <w:proofErr w:type="spellStart"/>
            <w:r w:rsidRPr="00B718AA">
              <w:rPr>
                <w:i/>
                <w:sz w:val="20"/>
                <w:szCs w:val="20"/>
              </w:rPr>
              <w:t>f</w:t>
            </w:r>
            <w:r w:rsidRPr="00B718AA">
              <w:rPr>
                <w:sz w:val="20"/>
                <w:szCs w:val="20"/>
                <w:vertAlign w:val="subscript"/>
              </w:rPr>
              <w:t>Deklarowana</w:t>
            </w:r>
            <w:proofErr w:type="spellEnd"/>
          </w:p>
        </w:tc>
      </w:tr>
      <w:tr w:rsidR="00E52B27" w:rsidRPr="00B718AA" w:rsidTr="00E52B27">
        <w:tc>
          <w:tcPr>
            <w:tcW w:w="3085" w:type="dxa"/>
          </w:tcPr>
          <w:p w:rsidR="00E52B27" w:rsidRPr="00B718AA" w:rsidRDefault="00E52B27" w:rsidP="00E52B27">
            <w:pPr>
              <w:pStyle w:val="Bezodstpw"/>
              <w:ind w:firstLine="0"/>
              <w:jc w:val="left"/>
              <w:rPr>
                <w:sz w:val="20"/>
                <w:szCs w:val="20"/>
                <w:vertAlign w:val="superscript"/>
              </w:rPr>
            </w:pPr>
            <w:r w:rsidRPr="00B718AA">
              <w:rPr>
                <w:sz w:val="20"/>
                <w:szCs w:val="20"/>
              </w:rPr>
              <w:t>Zawartość pyłów</w:t>
            </w:r>
            <w:r w:rsidRPr="00B718AA">
              <w:rPr>
                <w:sz w:val="20"/>
                <w:szCs w:val="20"/>
                <w:vertAlign w:val="superscript"/>
              </w:rPr>
              <w:t xml:space="preserve">  </w:t>
            </w:r>
            <w:r w:rsidRPr="00B718AA">
              <w:rPr>
                <w:sz w:val="20"/>
                <w:szCs w:val="20"/>
              </w:rPr>
              <w:t xml:space="preserve"> w kruszywie drobnym</w:t>
            </w:r>
            <w:r w:rsidRPr="00B718AA">
              <w:rPr>
                <w:sz w:val="20"/>
                <w:szCs w:val="20"/>
                <w:vertAlign w:val="superscript"/>
              </w:rPr>
              <w:t>*)</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933-1 [1]</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4.6</w:t>
            </w:r>
          </w:p>
        </w:tc>
        <w:tc>
          <w:tcPr>
            <w:tcW w:w="4142" w:type="dxa"/>
            <w:vAlign w:val="center"/>
          </w:tcPr>
          <w:p w:rsidR="00E52B27" w:rsidRPr="00B718AA" w:rsidRDefault="00E52B27" w:rsidP="00E52B27">
            <w:pPr>
              <w:pStyle w:val="Bezodstpw"/>
              <w:ind w:firstLine="0"/>
              <w:jc w:val="center"/>
              <w:rPr>
                <w:sz w:val="20"/>
                <w:szCs w:val="20"/>
              </w:rPr>
            </w:pPr>
            <w:proofErr w:type="spellStart"/>
            <w:r w:rsidRPr="00B718AA">
              <w:rPr>
                <w:i/>
                <w:sz w:val="20"/>
                <w:szCs w:val="20"/>
              </w:rPr>
              <w:t>f</w:t>
            </w:r>
            <w:r w:rsidRPr="00B718AA">
              <w:rPr>
                <w:sz w:val="20"/>
                <w:szCs w:val="20"/>
                <w:vertAlign w:val="subscript"/>
              </w:rPr>
              <w:t>Deklarowana</w:t>
            </w:r>
            <w:proofErr w:type="spellEnd"/>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lastRenderedPageBreak/>
              <w:t>Jakość pyłów</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4.7</w:t>
            </w:r>
          </w:p>
        </w:tc>
        <w:tc>
          <w:tcPr>
            <w:tcW w:w="4142" w:type="dxa"/>
          </w:tcPr>
          <w:p w:rsidR="00E52B27" w:rsidRPr="00B718AA" w:rsidRDefault="00E52B27" w:rsidP="00E52B27">
            <w:pPr>
              <w:pStyle w:val="Bezodstpw"/>
              <w:ind w:firstLine="0"/>
              <w:rPr>
                <w:sz w:val="20"/>
                <w:szCs w:val="20"/>
              </w:rPr>
            </w:pPr>
            <w:r w:rsidRPr="00B718AA">
              <w:rPr>
                <w:sz w:val="20"/>
                <w:szCs w:val="20"/>
              </w:rPr>
              <w:t>Właściwość niebadana na pojedynczych frakcjach, a tylko w mieszankach wg wymagań dla mieszanek</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Odporność na rozdrabnianie kruszywa grubego, kategoria nie wyższa niż</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1097-2 [6]</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5.2</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LA</w:t>
            </w:r>
            <w:r w:rsidRPr="00B718AA">
              <w:rPr>
                <w:sz w:val="20"/>
                <w:szCs w:val="20"/>
                <w:vertAlign w:val="subscript"/>
              </w:rPr>
              <w:t>40</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Odporność na ścieranie kruszywa grubego</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 1097-1 [5]</w:t>
            </w:r>
          </w:p>
        </w:tc>
        <w:tc>
          <w:tcPr>
            <w:tcW w:w="851" w:type="dxa"/>
            <w:vAlign w:val="center"/>
          </w:tcPr>
          <w:p w:rsidR="00E52B27" w:rsidRPr="00B718AA" w:rsidRDefault="00E52B27" w:rsidP="00E52B27">
            <w:pPr>
              <w:pStyle w:val="Bezodstpw"/>
              <w:ind w:left="-108" w:firstLine="0"/>
              <w:jc w:val="center"/>
              <w:rPr>
                <w:sz w:val="20"/>
                <w:szCs w:val="20"/>
              </w:rPr>
            </w:pPr>
            <w:r w:rsidRPr="00B718AA">
              <w:rPr>
                <w:sz w:val="20"/>
                <w:szCs w:val="20"/>
              </w:rPr>
              <w:t>5.3</w:t>
            </w:r>
          </w:p>
        </w:tc>
        <w:tc>
          <w:tcPr>
            <w:tcW w:w="4142" w:type="dxa"/>
            <w:vAlign w:val="center"/>
          </w:tcPr>
          <w:p w:rsidR="00E52B27" w:rsidRPr="00B718AA" w:rsidRDefault="00E52B27" w:rsidP="00E52B27">
            <w:pPr>
              <w:pStyle w:val="Bezodstpw"/>
              <w:ind w:firstLine="0"/>
              <w:jc w:val="center"/>
              <w:rPr>
                <w:sz w:val="20"/>
                <w:szCs w:val="20"/>
              </w:rPr>
            </w:pPr>
            <w:proofErr w:type="spellStart"/>
            <w:r w:rsidRPr="00B718AA">
              <w:rPr>
                <w:i/>
                <w:sz w:val="20"/>
                <w:szCs w:val="20"/>
              </w:rPr>
              <w:t>M</w:t>
            </w:r>
            <w:r w:rsidRPr="00B718AA">
              <w:rPr>
                <w:sz w:val="20"/>
                <w:szCs w:val="20"/>
                <w:vertAlign w:val="subscript"/>
              </w:rPr>
              <w:t>DE</w:t>
            </w:r>
            <w:r w:rsidRPr="00B718AA">
              <w:rPr>
                <w:sz w:val="20"/>
                <w:szCs w:val="20"/>
              </w:rPr>
              <w:t>Deklarowana</w:t>
            </w:r>
            <w:proofErr w:type="spellEnd"/>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Gęstość ziaren</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 xml:space="preserve">PN-EN 1097-6, </w:t>
            </w:r>
            <w:proofErr w:type="spellStart"/>
            <w:r w:rsidRPr="00B718AA">
              <w:rPr>
                <w:sz w:val="20"/>
                <w:szCs w:val="20"/>
              </w:rPr>
              <w:t>roz</w:t>
            </w:r>
            <w:proofErr w:type="spellEnd"/>
            <w:r w:rsidRPr="00B718AA">
              <w:rPr>
                <w:sz w:val="20"/>
                <w:szCs w:val="20"/>
              </w:rPr>
              <w:t>. 7, 8 i 9 [7]</w:t>
            </w:r>
          </w:p>
        </w:tc>
        <w:tc>
          <w:tcPr>
            <w:tcW w:w="851" w:type="dxa"/>
          </w:tcPr>
          <w:p w:rsidR="00E52B27" w:rsidRPr="00B718AA" w:rsidRDefault="00E52B27" w:rsidP="00E52B27">
            <w:pPr>
              <w:pStyle w:val="Bezodstpw"/>
              <w:ind w:left="-108" w:firstLine="0"/>
              <w:jc w:val="center"/>
              <w:rPr>
                <w:sz w:val="20"/>
                <w:szCs w:val="20"/>
              </w:rPr>
            </w:pPr>
            <w:r w:rsidRPr="00B718AA">
              <w:rPr>
                <w:sz w:val="20"/>
                <w:szCs w:val="20"/>
              </w:rPr>
              <w:t>5.4</w:t>
            </w:r>
          </w:p>
        </w:tc>
        <w:tc>
          <w:tcPr>
            <w:tcW w:w="4142" w:type="dxa"/>
            <w:vAlign w:val="center"/>
          </w:tcPr>
          <w:p w:rsidR="00E52B27" w:rsidRPr="00B718AA" w:rsidRDefault="00E52B27" w:rsidP="00E52B27">
            <w:pPr>
              <w:pStyle w:val="Bezodstpw"/>
              <w:ind w:firstLine="0"/>
              <w:jc w:val="center"/>
              <w:rPr>
                <w:sz w:val="20"/>
                <w:szCs w:val="20"/>
              </w:rPr>
            </w:pPr>
            <w:r w:rsidRPr="00B718AA">
              <w:rPr>
                <w:sz w:val="20"/>
                <w:szCs w:val="20"/>
              </w:rPr>
              <w:t>Deklarowana</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Nasiąkliwość</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 xml:space="preserve">PN-EN 1097-6, </w:t>
            </w:r>
            <w:proofErr w:type="spellStart"/>
            <w:r w:rsidRPr="00B718AA">
              <w:rPr>
                <w:sz w:val="20"/>
                <w:szCs w:val="20"/>
              </w:rPr>
              <w:t>roz</w:t>
            </w:r>
            <w:proofErr w:type="spellEnd"/>
            <w:r w:rsidRPr="00B718AA">
              <w:rPr>
                <w:sz w:val="20"/>
                <w:szCs w:val="20"/>
              </w:rPr>
              <w:t>. 7, 8 i 9 [7]</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5.5 i</w:t>
            </w:r>
          </w:p>
          <w:p w:rsidR="00E52B27" w:rsidRPr="00B718AA" w:rsidRDefault="00E52B27" w:rsidP="00E52B27">
            <w:pPr>
              <w:pStyle w:val="Bezodstpw"/>
              <w:ind w:firstLine="0"/>
              <w:jc w:val="center"/>
              <w:rPr>
                <w:sz w:val="20"/>
                <w:szCs w:val="20"/>
              </w:rPr>
            </w:pPr>
            <w:r w:rsidRPr="00B718AA">
              <w:rPr>
                <w:sz w:val="20"/>
                <w:szCs w:val="20"/>
              </w:rPr>
              <w:t>7.3.2</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WA</w:t>
            </w:r>
            <w:r w:rsidRPr="00B718AA">
              <w:rPr>
                <w:sz w:val="20"/>
                <w:szCs w:val="20"/>
                <w:vertAlign w:val="subscript"/>
              </w:rPr>
              <w:t>24</w:t>
            </w:r>
            <w:r w:rsidRPr="00B718AA">
              <w:rPr>
                <w:sz w:val="20"/>
                <w:szCs w:val="20"/>
              </w:rPr>
              <w:t>2</w:t>
            </w:r>
            <w:r w:rsidRPr="00B718AA">
              <w:rPr>
                <w:sz w:val="20"/>
                <w:szCs w:val="20"/>
                <w:vertAlign w:val="superscript"/>
              </w:rPr>
              <w:t>**)</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Siarczany rozpuszczalne w kwasie</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1744-1[10]</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6.2</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AS</w:t>
            </w:r>
            <w:r w:rsidRPr="00B718AA">
              <w:rPr>
                <w:sz w:val="20"/>
                <w:szCs w:val="20"/>
                <w:vertAlign w:val="subscript"/>
              </w:rPr>
              <w:t>NR</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Całkowita zawartość siarki</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w:t>
            </w:r>
          </w:p>
          <w:p w:rsidR="00E52B27" w:rsidRPr="00B718AA" w:rsidRDefault="00E52B27" w:rsidP="00E52B27">
            <w:pPr>
              <w:pStyle w:val="Bezodstpw"/>
              <w:ind w:left="-108" w:firstLine="0"/>
              <w:jc w:val="center"/>
              <w:rPr>
                <w:sz w:val="20"/>
                <w:szCs w:val="20"/>
              </w:rPr>
            </w:pPr>
            <w:r w:rsidRPr="00B718AA">
              <w:rPr>
                <w:sz w:val="20"/>
                <w:szCs w:val="20"/>
              </w:rPr>
              <w:t>1744-1[10]</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6.3</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S</w:t>
            </w:r>
            <w:r w:rsidRPr="00B718AA">
              <w:rPr>
                <w:sz w:val="20"/>
                <w:szCs w:val="20"/>
                <w:vertAlign w:val="subscript"/>
              </w:rPr>
              <w:t>NR</w:t>
            </w:r>
          </w:p>
        </w:tc>
      </w:tr>
      <w:tr w:rsidR="00E52B27" w:rsidRPr="00B718AA" w:rsidTr="00E52B27">
        <w:tc>
          <w:tcPr>
            <w:tcW w:w="3085" w:type="dxa"/>
          </w:tcPr>
          <w:p w:rsidR="00E52B27" w:rsidRPr="00B718AA" w:rsidRDefault="00E52B27" w:rsidP="00E52B27">
            <w:pPr>
              <w:pStyle w:val="Bezodstpw"/>
              <w:ind w:firstLine="0"/>
              <w:rPr>
                <w:sz w:val="20"/>
                <w:szCs w:val="20"/>
              </w:rPr>
            </w:pPr>
            <w:r w:rsidRPr="00B718AA">
              <w:rPr>
                <w:sz w:val="20"/>
                <w:szCs w:val="20"/>
              </w:rPr>
              <w:t>Składniki rozpuszczalne w wodzie</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 1744-3 [11]</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6.4.3</w:t>
            </w:r>
          </w:p>
        </w:tc>
        <w:tc>
          <w:tcPr>
            <w:tcW w:w="4142" w:type="dxa"/>
          </w:tcPr>
          <w:p w:rsidR="00E52B27" w:rsidRPr="00B718AA" w:rsidRDefault="00E52B27" w:rsidP="00E52B27">
            <w:pPr>
              <w:pStyle w:val="Bezodstpw"/>
              <w:ind w:firstLine="0"/>
              <w:rPr>
                <w:sz w:val="20"/>
                <w:szCs w:val="20"/>
              </w:rPr>
            </w:pPr>
            <w:r w:rsidRPr="00B718AA">
              <w:rPr>
                <w:sz w:val="20"/>
                <w:szCs w:val="20"/>
              </w:rPr>
              <w:t>Brak substancji szkodliwych w stosunku do środowiska wg odrębnych przepisów</w:t>
            </w:r>
          </w:p>
        </w:tc>
      </w:tr>
      <w:tr w:rsidR="00E52B27" w:rsidRPr="00B718AA" w:rsidTr="00E52B27">
        <w:tc>
          <w:tcPr>
            <w:tcW w:w="3085" w:type="dxa"/>
          </w:tcPr>
          <w:p w:rsidR="00E52B27" w:rsidRPr="00B718AA" w:rsidRDefault="00E52B27" w:rsidP="00E52B27">
            <w:pPr>
              <w:pStyle w:val="Bezodstpw"/>
              <w:ind w:firstLine="0"/>
              <w:rPr>
                <w:sz w:val="20"/>
                <w:szCs w:val="20"/>
              </w:rPr>
            </w:pPr>
            <w:r w:rsidRPr="00B718AA">
              <w:rPr>
                <w:sz w:val="20"/>
                <w:szCs w:val="20"/>
              </w:rPr>
              <w:t>Zanieczyszczenia</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6.4.4</w:t>
            </w:r>
          </w:p>
        </w:tc>
        <w:tc>
          <w:tcPr>
            <w:tcW w:w="4142" w:type="dxa"/>
          </w:tcPr>
          <w:p w:rsidR="00E52B27" w:rsidRPr="00B718AA" w:rsidRDefault="00E52B27" w:rsidP="00E52B27">
            <w:pPr>
              <w:pStyle w:val="Bezodstpw"/>
              <w:ind w:firstLine="0"/>
              <w:rPr>
                <w:sz w:val="20"/>
                <w:szCs w:val="20"/>
              </w:rPr>
            </w:pPr>
            <w:r w:rsidRPr="00B718AA">
              <w:rPr>
                <w:sz w:val="20"/>
                <w:szCs w:val="20"/>
              </w:rPr>
              <w:t>Brak ciał obcych takich jak drewno, szkło i plastik, mogących pogorszyć wyrób końcowy</w:t>
            </w:r>
          </w:p>
        </w:tc>
      </w:tr>
      <w:tr w:rsidR="00E52B27" w:rsidRPr="00B718AA" w:rsidTr="00E52B27">
        <w:tc>
          <w:tcPr>
            <w:tcW w:w="3085" w:type="dxa"/>
          </w:tcPr>
          <w:p w:rsidR="00E52B27" w:rsidRPr="00B718AA" w:rsidRDefault="00E52B27" w:rsidP="00E52B27">
            <w:pPr>
              <w:pStyle w:val="Bezodstpw"/>
              <w:ind w:firstLine="0"/>
              <w:rPr>
                <w:sz w:val="20"/>
                <w:szCs w:val="20"/>
              </w:rPr>
            </w:pPr>
            <w:r w:rsidRPr="00B718AA">
              <w:rPr>
                <w:sz w:val="20"/>
                <w:szCs w:val="20"/>
              </w:rPr>
              <w:t>Zgorzel słoneczna bazaltu</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 1367-3[9] i PN-EN 1097-2 [6]</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7.2</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SB</w:t>
            </w:r>
            <w:r w:rsidRPr="00B718AA">
              <w:rPr>
                <w:sz w:val="20"/>
                <w:szCs w:val="20"/>
                <w:vertAlign w:val="subscript"/>
              </w:rPr>
              <w:t>LA</w:t>
            </w:r>
          </w:p>
        </w:tc>
      </w:tr>
      <w:tr w:rsidR="00E52B27" w:rsidRPr="00B718AA" w:rsidTr="00E52B27">
        <w:tc>
          <w:tcPr>
            <w:tcW w:w="3085" w:type="dxa"/>
            <w:vAlign w:val="center"/>
          </w:tcPr>
          <w:p w:rsidR="00E52B27" w:rsidRPr="00B718AA" w:rsidRDefault="00E52B27" w:rsidP="00E52B27">
            <w:pPr>
              <w:pStyle w:val="Bezodstpw"/>
              <w:ind w:firstLine="0"/>
              <w:jc w:val="center"/>
              <w:rPr>
                <w:sz w:val="20"/>
                <w:szCs w:val="20"/>
              </w:rPr>
            </w:pPr>
            <w:r w:rsidRPr="00B718AA">
              <w:rPr>
                <w:sz w:val="20"/>
                <w:szCs w:val="20"/>
              </w:rPr>
              <w:t>Mrozoodporność na frakcji kruszywa 8/16 mm</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PN-EN 1367-1 [8]</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7.3.3</w:t>
            </w:r>
          </w:p>
        </w:tc>
        <w:tc>
          <w:tcPr>
            <w:tcW w:w="4142" w:type="dxa"/>
            <w:vAlign w:val="center"/>
          </w:tcPr>
          <w:p w:rsidR="00E52B27" w:rsidRPr="00B718AA" w:rsidRDefault="00E52B27" w:rsidP="00E52B27">
            <w:pPr>
              <w:pStyle w:val="Bezodstpw"/>
              <w:ind w:firstLine="0"/>
              <w:jc w:val="center"/>
              <w:rPr>
                <w:sz w:val="20"/>
                <w:szCs w:val="20"/>
              </w:rPr>
            </w:pPr>
            <w:r w:rsidRPr="00B718AA">
              <w:rPr>
                <w:i/>
                <w:sz w:val="20"/>
                <w:szCs w:val="20"/>
              </w:rPr>
              <w:t>F</w:t>
            </w:r>
            <w:r w:rsidRPr="00B718AA">
              <w:rPr>
                <w:sz w:val="20"/>
                <w:szCs w:val="20"/>
                <w:vertAlign w:val="subscript"/>
              </w:rPr>
              <w:t>4</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Skład materiałowy</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Zał. C</w:t>
            </w:r>
          </w:p>
        </w:tc>
        <w:tc>
          <w:tcPr>
            <w:tcW w:w="4142" w:type="dxa"/>
          </w:tcPr>
          <w:p w:rsidR="00E52B27" w:rsidRPr="00B718AA" w:rsidRDefault="00E52B27" w:rsidP="00E52B27">
            <w:pPr>
              <w:pStyle w:val="Bezodstpw"/>
              <w:ind w:firstLine="0"/>
              <w:jc w:val="center"/>
              <w:rPr>
                <w:sz w:val="20"/>
                <w:szCs w:val="20"/>
              </w:rPr>
            </w:pPr>
            <w:r w:rsidRPr="00B718AA">
              <w:rPr>
                <w:sz w:val="20"/>
                <w:szCs w:val="20"/>
              </w:rPr>
              <w:t>Deklarowany</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Istotne cechy środowiskowe</w:t>
            </w:r>
          </w:p>
        </w:tc>
        <w:tc>
          <w:tcPr>
            <w:tcW w:w="1134" w:type="dxa"/>
            <w:vAlign w:val="center"/>
          </w:tcPr>
          <w:p w:rsidR="00E52B27" w:rsidRPr="00B718AA" w:rsidRDefault="00E52B27" w:rsidP="00E52B27">
            <w:pPr>
              <w:pStyle w:val="Bezodstpw"/>
              <w:ind w:left="-108" w:firstLine="0"/>
              <w:jc w:val="center"/>
              <w:rPr>
                <w:sz w:val="20"/>
                <w:szCs w:val="20"/>
              </w:rPr>
            </w:pPr>
            <w:r w:rsidRPr="00B718AA">
              <w:rPr>
                <w:sz w:val="20"/>
                <w:szCs w:val="20"/>
              </w:rPr>
              <w:t>-</w:t>
            </w:r>
          </w:p>
        </w:tc>
        <w:tc>
          <w:tcPr>
            <w:tcW w:w="851" w:type="dxa"/>
            <w:vAlign w:val="center"/>
          </w:tcPr>
          <w:p w:rsidR="00E52B27" w:rsidRPr="00B718AA" w:rsidRDefault="00E52B27" w:rsidP="00E52B27">
            <w:pPr>
              <w:pStyle w:val="Bezodstpw"/>
              <w:ind w:firstLine="0"/>
              <w:jc w:val="center"/>
              <w:rPr>
                <w:sz w:val="20"/>
                <w:szCs w:val="20"/>
              </w:rPr>
            </w:pPr>
            <w:r w:rsidRPr="00B718AA">
              <w:rPr>
                <w:sz w:val="20"/>
                <w:szCs w:val="20"/>
              </w:rPr>
              <w:t>Zał. C</w:t>
            </w:r>
          </w:p>
          <w:p w:rsidR="00E52B27" w:rsidRPr="00B718AA" w:rsidRDefault="00E52B27" w:rsidP="00E52B27">
            <w:pPr>
              <w:pStyle w:val="Bezodstpw"/>
              <w:ind w:firstLine="0"/>
              <w:jc w:val="center"/>
              <w:rPr>
                <w:sz w:val="20"/>
                <w:szCs w:val="20"/>
              </w:rPr>
            </w:pPr>
            <w:r w:rsidRPr="00B718AA">
              <w:rPr>
                <w:sz w:val="20"/>
                <w:szCs w:val="20"/>
              </w:rPr>
              <w:t>pkt C.3.4</w:t>
            </w:r>
          </w:p>
        </w:tc>
        <w:tc>
          <w:tcPr>
            <w:tcW w:w="4142" w:type="dxa"/>
          </w:tcPr>
          <w:p w:rsidR="00E52B27" w:rsidRPr="00B718AA" w:rsidRDefault="00E52B27" w:rsidP="00E52B27">
            <w:pPr>
              <w:pStyle w:val="Bezodstpw"/>
              <w:ind w:firstLine="0"/>
              <w:jc w:val="left"/>
              <w:rPr>
                <w:sz w:val="20"/>
                <w:szCs w:val="20"/>
              </w:rPr>
            </w:pPr>
            <w:r w:rsidRPr="00B718AA">
              <w:rPr>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E52B27" w:rsidRPr="00B718AA" w:rsidTr="00E52B27">
        <w:tc>
          <w:tcPr>
            <w:tcW w:w="9212" w:type="dxa"/>
            <w:gridSpan w:val="4"/>
          </w:tcPr>
          <w:p w:rsidR="00E52B27" w:rsidRPr="00B718AA" w:rsidRDefault="00E52B27" w:rsidP="00E52B27">
            <w:pPr>
              <w:pStyle w:val="Bezodstpw"/>
              <w:ind w:firstLine="0"/>
              <w:rPr>
                <w:sz w:val="20"/>
                <w:szCs w:val="20"/>
              </w:rPr>
            </w:pPr>
            <w:r w:rsidRPr="00B718AA">
              <w:rPr>
                <w:sz w:val="20"/>
                <w:szCs w:val="20"/>
                <w:vertAlign w:val="superscript"/>
              </w:rPr>
              <w:t>*)</w:t>
            </w:r>
            <w:r w:rsidRPr="00B718AA">
              <w:rPr>
                <w:sz w:val="20"/>
                <w:szCs w:val="20"/>
              </w:rPr>
              <w:t xml:space="preserve">  Łączna zawartość pyłów w mieszance powinna się mieścić w wybranych krzywych granicznych</w:t>
            </w:r>
          </w:p>
          <w:p w:rsidR="00E52B27" w:rsidRPr="00B718AA" w:rsidRDefault="00E52B27" w:rsidP="00E52B27">
            <w:pPr>
              <w:pStyle w:val="Bezodstpw"/>
              <w:ind w:firstLine="0"/>
              <w:rPr>
                <w:sz w:val="20"/>
                <w:szCs w:val="20"/>
              </w:rPr>
            </w:pPr>
            <w:r w:rsidRPr="00B718AA">
              <w:rPr>
                <w:sz w:val="20"/>
                <w:szCs w:val="20"/>
                <w:vertAlign w:val="superscript"/>
              </w:rPr>
              <w:t>**)</w:t>
            </w:r>
            <w:r w:rsidRPr="00B718AA">
              <w:rPr>
                <w:sz w:val="20"/>
                <w:szCs w:val="20"/>
              </w:rPr>
              <w:t xml:space="preserve">  W przypadku, gdy wymaganie nie jest spełnione, należy sprawdzić mrozoodporność</w:t>
            </w:r>
          </w:p>
        </w:tc>
      </w:tr>
    </w:tbl>
    <w:p w:rsidR="00E52B27" w:rsidRPr="00B718AA" w:rsidRDefault="00E52B27" w:rsidP="00E52B27">
      <w:pPr>
        <w:pStyle w:val="Bezodstpw"/>
        <w:spacing w:before="120" w:after="120" w:line="360" w:lineRule="auto"/>
        <w:ind w:firstLine="0"/>
        <w:rPr>
          <w:b/>
          <w:sz w:val="20"/>
          <w:szCs w:val="20"/>
        </w:rPr>
      </w:pPr>
    </w:p>
    <w:p w:rsidR="00E52B27" w:rsidRPr="00B718AA" w:rsidRDefault="00E52B27" w:rsidP="00E52B27">
      <w:pPr>
        <w:pStyle w:val="Bezodstpw"/>
        <w:spacing w:before="120" w:after="120" w:line="360" w:lineRule="auto"/>
        <w:ind w:firstLine="0"/>
        <w:rPr>
          <w:sz w:val="20"/>
          <w:szCs w:val="20"/>
        </w:rPr>
      </w:pPr>
      <w:r w:rsidRPr="00B718AA">
        <w:rPr>
          <w:b/>
          <w:sz w:val="20"/>
          <w:szCs w:val="20"/>
        </w:rPr>
        <w:t xml:space="preserve">2.2.3. </w:t>
      </w:r>
      <w:r w:rsidRPr="00B718AA">
        <w:rPr>
          <w:sz w:val="20"/>
          <w:szCs w:val="20"/>
        </w:rPr>
        <w:t>Woda do zraszania kruszywa</w:t>
      </w:r>
    </w:p>
    <w:p w:rsidR="00E52B27" w:rsidRPr="00B718AA" w:rsidRDefault="00E52B27" w:rsidP="00E52B27">
      <w:pPr>
        <w:pStyle w:val="Bezodstpw"/>
        <w:spacing w:line="360" w:lineRule="auto"/>
        <w:ind w:firstLine="0"/>
        <w:rPr>
          <w:sz w:val="20"/>
          <w:szCs w:val="20"/>
        </w:rPr>
      </w:pPr>
      <w:r w:rsidRPr="00B718AA">
        <w:rPr>
          <w:sz w:val="20"/>
          <w:szCs w:val="20"/>
        </w:rPr>
        <w:tab/>
        <w:t>Do zraszania kruszywa należy stosować wodę nie zawierającą składników wpływających szkodliwie na mieszankę kruszywa, ale umożliwiającą właściwe zagęszczenie mieszanki niezwiązanej.</w:t>
      </w:r>
    </w:p>
    <w:p w:rsidR="00E52B27" w:rsidRPr="00B718AA" w:rsidRDefault="00E52B27" w:rsidP="00E52B27">
      <w:pPr>
        <w:spacing w:line="360" w:lineRule="auto"/>
        <w:jc w:val="both"/>
      </w:pPr>
    </w:p>
    <w:p w:rsidR="00E52B27" w:rsidRPr="00B718AA" w:rsidRDefault="00E52B27" w:rsidP="00E52B27">
      <w:pPr>
        <w:pStyle w:val="Nagwek1"/>
        <w:spacing w:after="240" w:line="360" w:lineRule="auto"/>
      </w:pPr>
      <w:bookmarkStart w:id="79" w:name="_Toc316558694"/>
      <w:r w:rsidRPr="00B718AA">
        <w:t>3. SPRZĘT</w:t>
      </w:r>
      <w:bookmarkEnd w:id="79"/>
    </w:p>
    <w:p w:rsidR="00E52B27" w:rsidRPr="00B718AA" w:rsidRDefault="00E52B27" w:rsidP="00E52B27">
      <w:pPr>
        <w:pStyle w:val="Nagwek2"/>
        <w:spacing w:before="0" w:after="0" w:line="360" w:lineRule="auto"/>
        <w:rPr>
          <w:bCs/>
          <w:i/>
        </w:rPr>
      </w:pPr>
      <w:bookmarkStart w:id="80" w:name="_Toc316558695"/>
      <w:r w:rsidRPr="00B718AA">
        <w:t>3.1. Ogólne wymagania dotyczące sprzętu</w:t>
      </w:r>
      <w:bookmarkEnd w:id="80"/>
    </w:p>
    <w:p w:rsidR="00E52B27" w:rsidRPr="00B718AA" w:rsidRDefault="00E52B27" w:rsidP="00E52B27">
      <w:pPr>
        <w:spacing w:line="360" w:lineRule="auto"/>
        <w:ind w:firstLine="709"/>
        <w:jc w:val="both"/>
      </w:pPr>
      <w:r w:rsidRPr="00B718AA">
        <w:t>Ogólne wymagania dotyczące sprzętu podano w SST D-M-00.00.00 „Wymagania ogólne” pkt 3.</w:t>
      </w:r>
    </w:p>
    <w:p w:rsidR="00E52B27" w:rsidRPr="00B718AA" w:rsidRDefault="00E52B27" w:rsidP="00E52B27">
      <w:pPr>
        <w:spacing w:line="360" w:lineRule="auto"/>
        <w:ind w:firstLine="709"/>
        <w:jc w:val="both"/>
      </w:pPr>
    </w:p>
    <w:p w:rsidR="00E52B27" w:rsidRPr="00B718AA" w:rsidRDefault="00E52B27" w:rsidP="00E52B27">
      <w:pPr>
        <w:pStyle w:val="Nagwek2"/>
        <w:spacing w:before="0" w:after="0" w:line="360" w:lineRule="auto"/>
        <w:rPr>
          <w:bCs/>
          <w:i/>
        </w:rPr>
      </w:pPr>
      <w:bookmarkStart w:id="81" w:name="_Toc316558696"/>
      <w:r w:rsidRPr="00B718AA">
        <w:t>3.2. Sprzęt do wykonania robót</w:t>
      </w:r>
      <w:bookmarkEnd w:id="81"/>
    </w:p>
    <w:p w:rsidR="00E52B27" w:rsidRPr="00B718AA" w:rsidRDefault="00E52B27" w:rsidP="00E52B27">
      <w:pPr>
        <w:spacing w:line="360" w:lineRule="auto"/>
        <w:jc w:val="both"/>
      </w:pPr>
      <w:r w:rsidRPr="00B718AA">
        <w:tab/>
        <w:t>Wykonawca przystępujący do wykonania podbudowy z mieszanki niezwiązanej  powinien wykazać się możliwością korzystania z następującego sprzętu:</w:t>
      </w:r>
    </w:p>
    <w:p w:rsidR="00E52B27" w:rsidRPr="00B718AA" w:rsidRDefault="00E52B27" w:rsidP="00E52B27">
      <w:pPr>
        <w:numPr>
          <w:ilvl w:val="0"/>
          <w:numId w:val="19"/>
        </w:numPr>
        <w:spacing w:line="360" w:lineRule="auto"/>
        <w:jc w:val="both"/>
      </w:pPr>
      <w:r w:rsidRPr="00B718AA">
        <w:lastRenderedPageBreak/>
        <w:t>mieszarek do wytwarzania mieszanki, wyposażonych w urządzenia dozujące wodę. Mieszarki powinny zapewnić wytworzenie jednorodnej mieszanki o wilgotności optymalnej,</w:t>
      </w:r>
    </w:p>
    <w:p w:rsidR="00E52B27" w:rsidRPr="00B718AA" w:rsidRDefault="00E52B27" w:rsidP="00E52B27">
      <w:pPr>
        <w:numPr>
          <w:ilvl w:val="0"/>
          <w:numId w:val="19"/>
        </w:numPr>
        <w:spacing w:line="360" w:lineRule="auto"/>
        <w:jc w:val="both"/>
      </w:pPr>
      <w:r w:rsidRPr="00B718AA">
        <w:t>równiarek albo układarek do rozkładania mieszanki kruszyw,</w:t>
      </w:r>
    </w:p>
    <w:p w:rsidR="00E52B27" w:rsidRPr="00B718AA" w:rsidRDefault="00E52B27" w:rsidP="00E52B27">
      <w:pPr>
        <w:numPr>
          <w:ilvl w:val="0"/>
          <w:numId w:val="19"/>
        </w:numPr>
        <w:spacing w:line="360" w:lineRule="auto"/>
        <w:jc w:val="both"/>
      </w:pPr>
      <w:r w:rsidRPr="00B718AA">
        <w:t xml:space="preserve">walców ogumionych i stalowych wibracyjnych lub statycznych do zagęszczania. </w:t>
      </w:r>
      <w:r w:rsidRPr="00B718AA">
        <w:br/>
        <w:t>W miejscach trudno dostępnych powinny być stosowane zagęszczarki płytowe, ubijaki mechaniczne lub małe walce wibracyjne</w:t>
      </w:r>
    </w:p>
    <w:p w:rsidR="00E52B27" w:rsidRPr="00B718AA" w:rsidRDefault="00E52B27" w:rsidP="00E52B27">
      <w:pPr>
        <w:pStyle w:val="Nagwek1"/>
        <w:spacing w:after="240" w:line="360" w:lineRule="auto"/>
      </w:pPr>
      <w:bookmarkStart w:id="82" w:name="_Toc316558697"/>
      <w:r w:rsidRPr="00B718AA">
        <w:t>4. TRANSPORT</w:t>
      </w:r>
      <w:bookmarkEnd w:id="82"/>
    </w:p>
    <w:p w:rsidR="00E52B27" w:rsidRPr="00B718AA" w:rsidRDefault="00E52B27" w:rsidP="00E52B27">
      <w:pPr>
        <w:pStyle w:val="Nagwek2"/>
        <w:spacing w:before="0" w:after="0" w:line="360" w:lineRule="auto"/>
        <w:rPr>
          <w:bCs/>
          <w:i/>
        </w:rPr>
      </w:pPr>
      <w:bookmarkStart w:id="83" w:name="_Toc316558698"/>
      <w:r w:rsidRPr="00B718AA">
        <w:t>4.1. Ogólne wymagania dotyczące transportu</w:t>
      </w:r>
      <w:bookmarkEnd w:id="83"/>
    </w:p>
    <w:p w:rsidR="00E52B27" w:rsidRPr="00B718AA" w:rsidRDefault="00E52B27" w:rsidP="00E52B27">
      <w:pPr>
        <w:spacing w:line="360" w:lineRule="auto"/>
        <w:ind w:firstLine="709"/>
        <w:jc w:val="both"/>
      </w:pPr>
      <w:r w:rsidRPr="00B718AA">
        <w:t>Ogólne wymagania dotyczące transportu podano w SST D-M-00.00.00 „Wymagania ogólne” pkt 4.</w:t>
      </w:r>
    </w:p>
    <w:p w:rsidR="00E52B27" w:rsidRPr="00B718AA" w:rsidRDefault="00E52B27" w:rsidP="00E52B27">
      <w:pPr>
        <w:pStyle w:val="Nagwek2"/>
        <w:spacing w:before="0" w:after="0" w:line="360" w:lineRule="auto"/>
        <w:rPr>
          <w:bCs/>
          <w:i/>
        </w:rPr>
      </w:pPr>
      <w:bookmarkStart w:id="84" w:name="_Toc316558699"/>
      <w:r w:rsidRPr="00B718AA">
        <w:t>4.2. Transport materiałów</w:t>
      </w:r>
      <w:bookmarkEnd w:id="84"/>
    </w:p>
    <w:p w:rsidR="00E52B27" w:rsidRPr="00B718AA" w:rsidRDefault="00E52B27" w:rsidP="00E52B27">
      <w:pPr>
        <w:spacing w:line="360" w:lineRule="auto"/>
        <w:jc w:val="both"/>
      </w:pPr>
      <w:r w:rsidRPr="00B718AA">
        <w:tab/>
        <w:t>Kruszywa można przewozić dowolnymi środkami transportu w warunkach zabezpieczających je przed zanieczyszczeniem, zmieszaniem z innymi materiałami, nadmiernym wysuszeniem i zawilgoceniem.</w:t>
      </w:r>
    </w:p>
    <w:p w:rsidR="00E52B27" w:rsidRPr="00B718AA" w:rsidRDefault="00E52B27" w:rsidP="00B718AA">
      <w:pPr>
        <w:spacing w:line="360" w:lineRule="auto"/>
        <w:jc w:val="both"/>
      </w:pPr>
      <w:r w:rsidRPr="00B718AA">
        <w:tab/>
        <w:t>Woda może być dostarczana wodociągiem lub przewoźnymi zbiornikami wody.</w:t>
      </w:r>
    </w:p>
    <w:p w:rsidR="00E52B27" w:rsidRPr="00B718AA" w:rsidRDefault="00E52B27" w:rsidP="00E52B27">
      <w:pPr>
        <w:pStyle w:val="Nagwek1"/>
        <w:spacing w:after="240" w:line="360" w:lineRule="auto"/>
      </w:pPr>
      <w:bookmarkStart w:id="85" w:name="_Toc316558700"/>
      <w:r w:rsidRPr="00B718AA">
        <w:t>5. WYKONANIE ROBÓT</w:t>
      </w:r>
      <w:bookmarkEnd w:id="85"/>
    </w:p>
    <w:p w:rsidR="00E52B27" w:rsidRPr="00B718AA" w:rsidRDefault="00E52B27" w:rsidP="00E52B27">
      <w:pPr>
        <w:pStyle w:val="Nagwek2"/>
        <w:spacing w:before="0" w:after="0" w:line="360" w:lineRule="auto"/>
        <w:rPr>
          <w:bCs/>
          <w:i/>
        </w:rPr>
      </w:pPr>
      <w:bookmarkStart w:id="86" w:name="_Toc316558701"/>
      <w:r w:rsidRPr="00B718AA">
        <w:t>5.1. Ogólne zasady wykonania robót</w:t>
      </w:r>
      <w:bookmarkEnd w:id="86"/>
    </w:p>
    <w:p w:rsidR="00E52B27" w:rsidRPr="00B718AA" w:rsidRDefault="00E52B27" w:rsidP="00E52B27">
      <w:pPr>
        <w:spacing w:after="240" w:line="360" w:lineRule="auto"/>
        <w:jc w:val="both"/>
      </w:pPr>
      <w:r w:rsidRPr="00B718AA">
        <w:tab/>
        <w:t>Ogólne zasady wykonania robót podano w SST D-M-00.00.00 „Wymagania ogólne” pkt 5.</w:t>
      </w:r>
    </w:p>
    <w:p w:rsidR="00E52B27" w:rsidRPr="00B718AA" w:rsidRDefault="00E52B27" w:rsidP="00E52B27">
      <w:pPr>
        <w:spacing w:line="360" w:lineRule="auto"/>
        <w:jc w:val="both"/>
        <w:rPr>
          <w:b/>
        </w:rPr>
      </w:pPr>
      <w:r w:rsidRPr="00B718AA">
        <w:rPr>
          <w:b/>
        </w:rPr>
        <w:t>5.2. Zasady wykonania robót</w:t>
      </w:r>
    </w:p>
    <w:p w:rsidR="00E52B27" w:rsidRPr="00B718AA" w:rsidRDefault="00E52B27" w:rsidP="00E52B27">
      <w:pPr>
        <w:spacing w:line="360" w:lineRule="auto"/>
        <w:jc w:val="both"/>
      </w:pPr>
      <w:r w:rsidRPr="00B718AA">
        <w:tab/>
        <w:t>Sposób wykonania robót powinien być zgodny z ST.</w:t>
      </w:r>
    </w:p>
    <w:p w:rsidR="00E52B27" w:rsidRPr="00B718AA" w:rsidRDefault="00E52B27" w:rsidP="00E52B27">
      <w:pPr>
        <w:spacing w:line="360" w:lineRule="auto"/>
        <w:jc w:val="both"/>
      </w:pPr>
      <w:r w:rsidRPr="00B718AA">
        <w:t>Podstawowe czynności przy wykonaniu robót obejmują:</w:t>
      </w:r>
    </w:p>
    <w:p w:rsidR="00E52B27" w:rsidRPr="00B718AA" w:rsidRDefault="00E52B27" w:rsidP="002122BD">
      <w:pPr>
        <w:pStyle w:val="Akapitzlist"/>
        <w:numPr>
          <w:ilvl w:val="0"/>
          <w:numId w:val="24"/>
        </w:numPr>
        <w:spacing w:line="360" w:lineRule="auto"/>
        <w:jc w:val="both"/>
      </w:pPr>
      <w:r w:rsidRPr="00B718AA">
        <w:t>roboty przygotowawcze,</w:t>
      </w:r>
    </w:p>
    <w:p w:rsidR="00E52B27" w:rsidRPr="00B718AA" w:rsidRDefault="00E52B27" w:rsidP="002122BD">
      <w:pPr>
        <w:pStyle w:val="Akapitzlist"/>
        <w:numPr>
          <w:ilvl w:val="0"/>
          <w:numId w:val="24"/>
        </w:numPr>
        <w:spacing w:line="360" w:lineRule="auto"/>
        <w:jc w:val="both"/>
      </w:pPr>
      <w:r w:rsidRPr="00B718AA">
        <w:t>projektowanie mieszanki,</w:t>
      </w:r>
    </w:p>
    <w:p w:rsidR="00E52B27" w:rsidRPr="00B718AA" w:rsidRDefault="00E52B27" w:rsidP="002122BD">
      <w:pPr>
        <w:pStyle w:val="Akapitzlist"/>
        <w:numPr>
          <w:ilvl w:val="0"/>
          <w:numId w:val="24"/>
        </w:numPr>
        <w:spacing w:line="360" w:lineRule="auto"/>
        <w:jc w:val="both"/>
      </w:pPr>
      <w:r w:rsidRPr="00B718AA">
        <w:t>wbudowanie mieszanki,</w:t>
      </w:r>
    </w:p>
    <w:p w:rsidR="00E52B27" w:rsidRPr="00B718AA" w:rsidRDefault="00E52B27" w:rsidP="002122BD">
      <w:pPr>
        <w:pStyle w:val="Akapitzlist"/>
        <w:numPr>
          <w:ilvl w:val="0"/>
          <w:numId w:val="24"/>
        </w:numPr>
        <w:spacing w:line="360" w:lineRule="auto"/>
        <w:jc w:val="both"/>
      </w:pPr>
      <w:r w:rsidRPr="00B718AA">
        <w:t>roboty wykończeniowe.</w:t>
      </w:r>
    </w:p>
    <w:p w:rsidR="00E52B27" w:rsidRPr="00B718AA" w:rsidRDefault="00E52B27" w:rsidP="00E52B27">
      <w:pPr>
        <w:spacing w:line="360" w:lineRule="auto"/>
        <w:jc w:val="both"/>
      </w:pPr>
    </w:p>
    <w:p w:rsidR="00E52B27" w:rsidRPr="00B718AA" w:rsidRDefault="00E52B27" w:rsidP="00E52B27">
      <w:pPr>
        <w:spacing w:line="360" w:lineRule="auto"/>
        <w:jc w:val="both"/>
        <w:rPr>
          <w:b/>
        </w:rPr>
      </w:pPr>
      <w:r w:rsidRPr="00B718AA">
        <w:rPr>
          <w:b/>
        </w:rPr>
        <w:t>5.3. Roboty przygotowawcze</w:t>
      </w:r>
    </w:p>
    <w:p w:rsidR="00E52B27" w:rsidRPr="00B718AA" w:rsidRDefault="00E52B27" w:rsidP="00E52B27">
      <w:pPr>
        <w:spacing w:line="360" w:lineRule="auto"/>
        <w:jc w:val="both"/>
      </w:pPr>
      <w:r w:rsidRPr="00B718AA">
        <w:tab/>
        <w:t>Przed przystąpieniem do robót należy, na podstawie ST lub wskazań Inspektora Nadzoru:</w:t>
      </w:r>
    </w:p>
    <w:p w:rsidR="00E52B27" w:rsidRPr="00B718AA" w:rsidRDefault="00E52B27" w:rsidP="002122BD">
      <w:pPr>
        <w:pStyle w:val="Akapitzlist"/>
        <w:numPr>
          <w:ilvl w:val="0"/>
          <w:numId w:val="25"/>
        </w:numPr>
        <w:spacing w:line="360" w:lineRule="auto"/>
        <w:jc w:val="both"/>
      </w:pPr>
      <w:r w:rsidRPr="00B718AA">
        <w:t>ustalić lokalizację robót,</w:t>
      </w:r>
    </w:p>
    <w:p w:rsidR="00E52B27" w:rsidRPr="00B718AA" w:rsidRDefault="00E52B27" w:rsidP="002122BD">
      <w:pPr>
        <w:pStyle w:val="Akapitzlist"/>
        <w:numPr>
          <w:ilvl w:val="0"/>
          <w:numId w:val="25"/>
        </w:numPr>
        <w:spacing w:line="360" w:lineRule="auto"/>
        <w:jc w:val="both"/>
      </w:pPr>
      <w:r w:rsidRPr="00B718AA">
        <w:t>przeprowadzić obliczenia i pomiary niezbędne do szczegółowego wytyczenia robót oraz ustalenia danych wysokościowych,</w:t>
      </w:r>
    </w:p>
    <w:p w:rsidR="00E52B27" w:rsidRPr="00B718AA" w:rsidRDefault="00E52B27" w:rsidP="002122BD">
      <w:pPr>
        <w:pStyle w:val="Akapitzlist"/>
        <w:numPr>
          <w:ilvl w:val="0"/>
          <w:numId w:val="25"/>
        </w:numPr>
        <w:spacing w:line="360" w:lineRule="auto"/>
        <w:jc w:val="both"/>
      </w:pPr>
      <w:r w:rsidRPr="00B718AA">
        <w:t>usunąć przeszkody utrudniające wykonanie robót,</w:t>
      </w:r>
    </w:p>
    <w:p w:rsidR="00E52B27" w:rsidRPr="00B718AA" w:rsidRDefault="00E52B27" w:rsidP="002122BD">
      <w:pPr>
        <w:pStyle w:val="Akapitzlist"/>
        <w:numPr>
          <w:ilvl w:val="0"/>
          <w:numId w:val="25"/>
        </w:numPr>
        <w:spacing w:line="360" w:lineRule="auto"/>
        <w:jc w:val="both"/>
      </w:pPr>
      <w:r w:rsidRPr="00B718AA">
        <w:t>wprowadzić oznakowanie drogi na okres robót</w:t>
      </w:r>
    </w:p>
    <w:p w:rsidR="00E52B27" w:rsidRPr="00B718AA" w:rsidRDefault="00E52B27" w:rsidP="002122BD">
      <w:pPr>
        <w:pStyle w:val="Akapitzlist"/>
        <w:numPr>
          <w:ilvl w:val="0"/>
          <w:numId w:val="25"/>
        </w:numPr>
        <w:spacing w:line="360" w:lineRule="auto"/>
        <w:jc w:val="both"/>
      </w:pPr>
      <w:r w:rsidRPr="00B718AA">
        <w:t>zgromadzić materiały i sprzęt potrzebne  do rozpoczęcia robót.</w:t>
      </w:r>
    </w:p>
    <w:p w:rsidR="00E52B27" w:rsidRPr="00B718AA" w:rsidRDefault="00E52B27" w:rsidP="00B718AA">
      <w:pPr>
        <w:spacing w:after="240" w:line="360" w:lineRule="auto"/>
        <w:ind w:left="360"/>
        <w:jc w:val="both"/>
      </w:pPr>
      <w:r w:rsidRPr="00B718AA">
        <w:t>Można dodatkowo korzystać z OST D-01.00.00 przy robotach przygotowawczych oraz OST D-02.00.00 przy występowaniu robót ziemnych.</w:t>
      </w:r>
    </w:p>
    <w:p w:rsidR="00E52B27" w:rsidRPr="00B718AA" w:rsidRDefault="00E52B27" w:rsidP="00E52B27">
      <w:pPr>
        <w:spacing w:after="240" w:line="360" w:lineRule="auto"/>
        <w:rPr>
          <w:b/>
        </w:rPr>
      </w:pPr>
      <w:r w:rsidRPr="00B718AA">
        <w:rPr>
          <w:b/>
        </w:rPr>
        <w:t>5.4. Projektowanie mieszanki niezwiązanej</w:t>
      </w:r>
    </w:p>
    <w:p w:rsidR="00E52B27" w:rsidRPr="00B718AA" w:rsidRDefault="00E52B27" w:rsidP="00E52B27">
      <w:pPr>
        <w:spacing w:after="120" w:line="360" w:lineRule="auto"/>
      </w:pPr>
      <w:r w:rsidRPr="00B718AA">
        <w:rPr>
          <w:b/>
        </w:rPr>
        <w:t xml:space="preserve">5.4.1. </w:t>
      </w:r>
      <w:r w:rsidRPr="00B718AA">
        <w:t xml:space="preserve">Postanowienia ogólne </w:t>
      </w:r>
    </w:p>
    <w:p w:rsidR="00E52B27" w:rsidRPr="00B718AA" w:rsidRDefault="00E52B27" w:rsidP="00E52B27">
      <w:pPr>
        <w:spacing w:line="360" w:lineRule="auto"/>
        <w:ind w:firstLine="709"/>
        <w:jc w:val="both"/>
      </w:pPr>
      <w:r w:rsidRPr="00B718AA">
        <w:lastRenderedPageBreak/>
        <w:t>Przed przystąpieniem do robót, w terminie uzgodnionym z Inspektorem Nadzoru, Wykonawca dostarczy Inspektorowi Nadzoru do akceptacji projekt składu mieszanki kruszyw oraz wyniki badań laboratoryjnych poszczególnych składników i próbki materiałów pobrane w obecności Inspektora Nadzoru do wykonania badań kontrolnych przez Inspektora Nadzoru.</w:t>
      </w:r>
    </w:p>
    <w:p w:rsidR="00E52B27" w:rsidRPr="00B718AA" w:rsidRDefault="00E52B27" w:rsidP="00E52B27">
      <w:pPr>
        <w:spacing w:line="360" w:lineRule="auto"/>
        <w:jc w:val="both"/>
      </w:pPr>
      <w:r w:rsidRPr="00B718AA">
        <w:tab/>
        <w:t xml:space="preserve">Projektowanie mieszanki polega na doborze kruszywa do mieszanki oraz ilości wody. Procedura projektowa powinna być oparta na próbach laboratoryjnych </w:t>
      </w:r>
      <w:r w:rsidRPr="00B718AA">
        <w:br/>
        <w:t>i/lub polowych przeprowadzonych na tych samych składnikach, z tych samych źródeł</w:t>
      </w:r>
      <w:r w:rsidRPr="00B718AA">
        <w:br/>
        <w:t xml:space="preserve"> i o takich samych właściwościach, jak te które będą stosowane do wykonania podbudowy.</w:t>
      </w:r>
    </w:p>
    <w:p w:rsidR="00E52B27" w:rsidRPr="00B718AA" w:rsidRDefault="00E52B27" w:rsidP="00E52B27">
      <w:pPr>
        <w:spacing w:line="360" w:lineRule="auto"/>
        <w:jc w:val="both"/>
      </w:pPr>
      <w:r w:rsidRPr="00B718AA">
        <w:tab/>
        <w:t xml:space="preserve">Skład mieszanki projektuje się zgodnie z wymaganiami wobec mieszanek niezwiązanych do podbudowy, określonych w tablicy 4. Wartości graniczne i tolerancje zawierają rozrzut wynikający z pobierania i dzielenia próbki, przedział ufności (precyzja </w:t>
      </w:r>
      <w:r w:rsidRPr="00B718AA">
        <w:br/>
        <w:t>w porównywalnych warunkach) oraz nierównomierności warunków wykonawczych.</w:t>
      </w:r>
    </w:p>
    <w:p w:rsidR="00E52B27" w:rsidRPr="00B718AA" w:rsidRDefault="00E52B27" w:rsidP="00E52B27">
      <w:pPr>
        <w:spacing w:line="360" w:lineRule="auto"/>
        <w:jc w:val="both"/>
      </w:pPr>
      <w:r w:rsidRPr="00B718AA">
        <w:tab/>
        <w:t xml:space="preserve">Mieszanki kruszyw powinny być tak produkowane i składowane, aby wykazywały zachowanie jednakowych właściwości, spełniając wymagania z tablicy 4. Mieszanki kruszyw powinny być jednorodnie wymieszane i powinny charakteryzować się równomierną wilgotnością. Kruszywa powinny odpowiadać wymaganiom tablicy 1, </w:t>
      </w:r>
      <w:r w:rsidRPr="00B718AA">
        <w:br/>
        <w:t>przy czym w mieszankach wyprodukowanych z różnych kruszyw, każdy ze składników musi spełniać wymagania tablicy 1.</w:t>
      </w:r>
    </w:p>
    <w:p w:rsidR="00E52B27" w:rsidRPr="00B718AA" w:rsidRDefault="00E52B27" w:rsidP="00E52B27">
      <w:pPr>
        <w:spacing w:line="360" w:lineRule="auto"/>
      </w:pPr>
      <w:r w:rsidRPr="00B718AA">
        <w:tab/>
      </w:r>
    </w:p>
    <w:p w:rsidR="00E52B27" w:rsidRPr="00B718AA" w:rsidRDefault="00E52B27" w:rsidP="00E52B27">
      <w:pPr>
        <w:spacing w:after="120" w:line="360" w:lineRule="auto"/>
      </w:pPr>
      <w:r w:rsidRPr="00B718AA">
        <w:rPr>
          <w:b/>
        </w:rPr>
        <w:t xml:space="preserve">5.4.2. </w:t>
      </w:r>
      <w:r w:rsidRPr="00B718AA">
        <w:t>Wymagania wobec mieszanek</w:t>
      </w:r>
    </w:p>
    <w:p w:rsidR="00E52B27" w:rsidRPr="00B718AA" w:rsidRDefault="00E52B27" w:rsidP="00E52B27">
      <w:pPr>
        <w:spacing w:before="120" w:line="360" w:lineRule="auto"/>
        <w:ind w:firstLine="709"/>
      </w:pPr>
      <w:r w:rsidRPr="00B718AA">
        <w:t>W warstwach podbudowy stosuje się mieszankę kruszyw 0/31,5 mm.</w:t>
      </w:r>
      <w:r w:rsidRPr="00B718AA">
        <w:tab/>
      </w:r>
    </w:p>
    <w:p w:rsidR="00E52B27" w:rsidRPr="00B718AA" w:rsidRDefault="00E52B27" w:rsidP="00E52B27">
      <w:pPr>
        <w:pStyle w:val="Bezodstpw"/>
        <w:tabs>
          <w:tab w:val="num" w:pos="480"/>
        </w:tabs>
        <w:spacing w:line="360" w:lineRule="auto"/>
        <w:ind w:firstLine="0"/>
        <w:rPr>
          <w:sz w:val="20"/>
          <w:szCs w:val="20"/>
        </w:rPr>
      </w:pPr>
      <w:r w:rsidRPr="00B718AA">
        <w:rPr>
          <w:sz w:val="20"/>
          <w:szCs w:val="20"/>
        </w:rPr>
        <w:tab/>
      </w:r>
      <w:r w:rsidRPr="00B718AA">
        <w:rPr>
          <w:sz w:val="20"/>
          <w:szCs w:val="20"/>
        </w:rPr>
        <w:tab/>
        <w:t xml:space="preserve">Wymagania wobec mieszanek przeznaczonych do podbudowy, podane w tablicy 4, odnośnie wrażliwości na mróz mieszanek kruszyw, dotyczą badania materiału </w:t>
      </w:r>
      <w:r w:rsidRPr="00B718AA">
        <w:rPr>
          <w:sz w:val="20"/>
          <w:szCs w:val="20"/>
        </w:rPr>
        <w:br/>
        <w:t xml:space="preserve">po pięciokrotnym zagęszczeniu w aparacie </w:t>
      </w:r>
      <w:proofErr w:type="spellStart"/>
      <w:r w:rsidRPr="00B718AA">
        <w:rPr>
          <w:sz w:val="20"/>
          <w:szCs w:val="20"/>
        </w:rPr>
        <w:t>Proctora</w:t>
      </w:r>
      <w:proofErr w:type="spellEnd"/>
      <w:r w:rsidRPr="00B718AA">
        <w:rPr>
          <w:sz w:val="20"/>
          <w:szCs w:val="20"/>
        </w:rPr>
        <w:t xml:space="preserve"> według PN-EN 13286-2 [14].</w:t>
      </w:r>
    </w:p>
    <w:p w:rsidR="00E52B27" w:rsidRPr="00B718AA" w:rsidRDefault="00E52B27" w:rsidP="00E52B27">
      <w:pPr>
        <w:pStyle w:val="Bezodstpw"/>
        <w:spacing w:line="360" w:lineRule="auto"/>
        <w:ind w:firstLine="709"/>
        <w:rPr>
          <w:sz w:val="20"/>
          <w:szCs w:val="20"/>
        </w:rPr>
      </w:pPr>
      <w:r w:rsidRPr="00B718AA">
        <w:rPr>
          <w:sz w:val="20"/>
          <w:szCs w:val="20"/>
        </w:rPr>
        <w:t xml:space="preserve">Zawartość pyłów w mieszankach kruszyw do warstwy podbudowy, określana </w:t>
      </w:r>
      <w:r w:rsidRPr="00B718AA">
        <w:rPr>
          <w:sz w:val="20"/>
          <w:szCs w:val="20"/>
        </w:rPr>
        <w:br/>
        <w:t xml:space="preserve">wg PN-EN 933-1 [1], powinna być zgodna z wymaganiami tablicy 4. W przypadku słabych kruszyw, zawartość pyłów w mieszance kruszyw należy również badać </w:t>
      </w:r>
      <w:r w:rsidRPr="00B718AA">
        <w:rPr>
          <w:sz w:val="20"/>
          <w:szCs w:val="20"/>
        </w:rPr>
        <w:br/>
        <w:t xml:space="preserve">i deklarować, po pięciokrotnym zagęszczeniu metodą </w:t>
      </w:r>
      <w:proofErr w:type="spellStart"/>
      <w:r w:rsidRPr="00B718AA">
        <w:rPr>
          <w:sz w:val="20"/>
          <w:szCs w:val="20"/>
        </w:rPr>
        <w:t>Proctora</w:t>
      </w:r>
      <w:proofErr w:type="spellEnd"/>
      <w:r w:rsidRPr="00B718AA">
        <w:rPr>
          <w:sz w:val="20"/>
          <w:szCs w:val="20"/>
        </w:rPr>
        <w:t xml:space="preserve">. Zawartość pyłów w takiej mieszance po pięciokrotnym zagęszczeniu metodą </w:t>
      </w:r>
      <w:proofErr w:type="spellStart"/>
      <w:r w:rsidRPr="00B718AA">
        <w:rPr>
          <w:sz w:val="20"/>
          <w:szCs w:val="20"/>
        </w:rPr>
        <w:t>Proctora</w:t>
      </w:r>
      <w:proofErr w:type="spellEnd"/>
      <w:r w:rsidRPr="00B718AA">
        <w:rPr>
          <w:sz w:val="20"/>
          <w:szCs w:val="20"/>
        </w:rPr>
        <w:t xml:space="preserve"> powinna również spełniać wymagania podane w tablicy 4. Nie określa się wymagania wobec minimalnej zawartości pyłów &lt; </w:t>
      </w:r>
      <w:smartTag w:uri="urn:schemas-microsoft-com:office:smarttags" w:element="metricconverter">
        <w:smartTagPr>
          <w:attr w:name="ProductID" w:val="0,063 mm"/>
        </w:smartTagPr>
        <w:r w:rsidRPr="00B718AA">
          <w:rPr>
            <w:sz w:val="20"/>
            <w:szCs w:val="20"/>
          </w:rPr>
          <w:t>0,063 mm</w:t>
        </w:r>
      </w:smartTag>
      <w:r w:rsidRPr="00B718AA">
        <w:rPr>
          <w:sz w:val="20"/>
          <w:szCs w:val="20"/>
        </w:rPr>
        <w:t xml:space="preserve"> w mieszankach kruszyw do warstwy podbudowy zasadniczej </w:t>
      </w:r>
      <w:r w:rsidRPr="00B718AA">
        <w:rPr>
          <w:sz w:val="20"/>
          <w:szCs w:val="20"/>
        </w:rPr>
        <w:br/>
        <w:t>i pomocniczej.</w:t>
      </w:r>
    </w:p>
    <w:p w:rsidR="00E52B27" w:rsidRPr="00B718AA" w:rsidRDefault="00E52B27" w:rsidP="00E52B27">
      <w:pPr>
        <w:pStyle w:val="Bezodstpw"/>
        <w:spacing w:line="360" w:lineRule="auto"/>
        <w:ind w:firstLine="709"/>
        <w:rPr>
          <w:sz w:val="20"/>
          <w:szCs w:val="20"/>
        </w:rPr>
      </w:pPr>
      <w:r w:rsidRPr="00B718AA">
        <w:rPr>
          <w:sz w:val="20"/>
          <w:szCs w:val="20"/>
        </w:rPr>
        <w:t xml:space="preserve">Zawartość nadziarna w mieszankach kruszyw, określana według PN-EN 933-1 [1] powinna spełniać wymagania podane w tablicy 4. W przypadku słabych kruszyw decyduje zawartość nadziarna w mieszance kruszyw po pięciokrotnym zagęszczeniu metodą </w:t>
      </w:r>
      <w:proofErr w:type="spellStart"/>
      <w:r w:rsidRPr="00B718AA">
        <w:rPr>
          <w:sz w:val="20"/>
          <w:szCs w:val="20"/>
        </w:rPr>
        <w:t>Proctora</w:t>
      </w:r>
      <w:proofErr w:type="spellEnd"/>
      <w:r w:rsidRPr="00B718AA">
        <w:rPr>
          <w:sz w:val="20"/>
          <w:szCs w:val="20"/>
        </w:rPr>
        <w:t>.</w:t>
      </w:r>
    </w:p>
    <w:p w:rsidR="00E52B27" w:rsidRPr="00B718AA" w:rsidRDefault="00E52B27" w:rsidP="00E52B27">
      <w:pPr>
        <w:pStyle w:val="Bezodstpw"/>
        <w:spacing w:line="360" w:lineRule="auto"/>
        <w:ind w:firstLine="709"/>
        <w:rPr>
          <w:sz w:val="20"/>
          <w:szCs w:val="20"/>
        </w:rPr>
      </w:pPr>
      <w:r w:rsidRPr="00B718AA">
        <w:rPr>
          <w:sz w:val="20"/>
          <w:szCs w:val="20"/>
        </w:rPr>
        <w:t xml:space="preserve">Uziarnienie mieszanek kruszyw o wymiarach ziaren D od 0 do 31,5 mm należy określić według PN-EN 933-1 [1]. Krzywe uziarnienia mieszanki kruszyw powinny zawierać się w obszarze między krzywymi granicznymi uziarnienia przedstawionymi </w:t>
      </w:r>
      <w:r w:rsidRPr="00B718AA">
        <w:rPr>
          <w:sz w:val="20"/>
          <w:szCs w:val="20"/>
        </w:rPr>
        <w:br/>
        <w:t xml:space="preserve">na rysunku 1, odpowiednio dla rodzaju mieszanki. Na rysunku 1 pokazano również liniami przerywanymi obszar uziarnienia SDV, w którym powinna się mieścić krzywa uziarnienia mieszanki „S” deklarowana przez dostawcę/producenta. </w:t>
      </w:r>
    </w:p>
    <w:p w:rsidR="00E52B27" w:rsidRPr="00B718AA" w:rsidRDefault="00E52B27" w:rsidP="00E52B27">
      <w:pPr>
        <w:pStyle w:val="Bezodstpw"/>
        <w:spacing w:line="360" w:lineRule="auto"/>
        <w:ind w:firstLine="709"/>
        <w:rPr>
          <w:sz w:val="20"/>
          <w:szCs w:val="20"/>
        </w:rPr>
      </w:pPr>
      <w:r w:rsidRPr="00B718AA">
        <w:rPr>
          <w:sz w:val="20"/>
          <w:szCs w:val="20"/>
        </w:rPr>
        <w:lastRenderedPageBreak/>
        <w:t xml:space="preserve">W przypadku słabych kruszyw uziarnienie mieszanki kruszyw należy również badać i deklarować po pięciokrotnym zagęszczeniu metodą </w:t>
      </w:r>
      <w:proofErr w:type="spellStart"/>
      <w:r w:rsidRPr="00B718AA">
        <w:rPr>
          <w:sz w:val="20"/>
          <w:szCs w:val="20"/>
        </w:rPr>
        <w:t>Proctora</w:t>
      </w:r>
      <w:proofErr w:type="spellEnd"/>
      <w:r w:rsidRPr="00B718AA">
        <w:rPr>
          <w:sz w:val="20"/>
          <w:szCs w:val="20"/>
        </w:rPr>
        <w:t xml:space="preserve">. Kryterium przydatności takiej mieszanki, pod względem uziarnienia, jest spełnione, jeżeli uziarnienie mieszanki po pięciokrotnym zagęszczeniu metodą </w:t>
      </w:r>
      <w:proofErr w:type="spellStart"/>
      <w:r w:rsidRPr="00B718AA">
        <w:rPr>
          <w:sz w:val="20"/>
          <w:szCs w:val="20"/>
        </w:rPr>
        <w:t>Proctora</w:t>
      </w:r>
      <w:proofErr w:type="spellEnd"/>
      <w:r w:rsidRPr="00B718AA">
        <w:rPr>
          <w:sz w:val="20"/>
          <w:szCs w:val="20"/>
        </w:rPr>
        <w:t xml:space="preserve"> mieści się w krzywych granicznych podanych na rysunku 1.  </w:t>
      </w:r>
    </w:p>
    <w:p w:rsidR="00E52B27" w:rsidRPr="00B718AA" w:rsidRDefault="00E52B27" w:rsidP="00E52B27">
      <w:pPr>
        <w:pStyle w:val="Bezodstpw"/>
        <w:spacing w:line="360" w:lineRule="auto"/>
        <w:ind w:firstLine="0"/>
        <w:rPr>
          <w:sz w:val="20"/>
          <w:szCs w:val="20"/>
        </w:rPr>
      </w:pPr>
      <w:r w:rsidRPr="00B718AA">
        <w:rPr>
          <w:noProof/>
          <w:sz w:val="20"/>
          <w:szCs w:val="20"/>
          <w:lang w:eastAsia="pl-PL"/>
        </w:rPr>
        <w:drawing>
          <wp:inline distT="0" distB="0" distL="0" distR="0" wp14:anchorId="21607275" wp14:editId="0C13A41C">
            <wp:extent cx="5523230" cy="2618740"/>
            <wp:effectExtent l="19050" t="0" r="1270" b="0"/>
            <wp:docPr id="1" name="Obraz 4" descr="d040402b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040402br1"/>
                    <pic:cNvPicPr>
                      <a:picLocks noChangeAspect="1" noChangeArrowheads="1"/>
                    </pic:cNvPicPr>
                  </pic:nvPicPr>
                  <pic:blipFill>
                    <a:blip r:embed="rId8" cstate="print"/>
                    <a:srcRect/>
                    <a:stretch>
                      <a:fillRect/>
                    </a:stretch>
                  </pic:blipFill>
                  <pic:spPr bwMode="auto">
                    <a:xfrm>
                      <a:off x="0" y="0"/>
                      <a:ext cx="5523230" cy="2618740"/>
                    </a:xfrm>
                    <a:prstGeom prst="rect">
                      <a:avLst/>
                    </a:prstGeom>
                    <a:noFill/>
                    <a:ln w="9525">
                      <a:noFill/>
                      <a:miter lim="800000"/>
                      <a:headEnd/>
                      <a:tailEnd/>
                    </a:ln>
                  </pic:spPr>
                </pic:pic>
              </a:graphicData>
            </a:graphic>
          </wp:inline>
        </w:drawing>
      </w:r>
    </w:p>
    <w:p w:rsidR="00E52B27" w:rsidRPr="00B718AA" w:rsidRDefault="00E52B27" w:rsidP="00E52B27">
      <w:pPr>
        <w:pStyle w:val="Bezodstpw"/>
        <w:tabs>
          <w:tab w:val="left" w:pos="851"/>
        </w:tabs>
        <w:spacing w:before="120" w:after="120"/>
        <w:ind w:left="839" w:hanging="839"/>
        <w:rPr>
          <w:i/>
          <w:sz w:val="20"/>
          <w:szCs w:val="20"/>
        </w:rPr>
      </w:pPr>
      <w:r w:rsidRPr="00B718AA">
        <w:rPr>
          <w:i/>
          <w:sz w:val="20"/>
          <w:szCs w:val="20"/>
        </w:rPr>
        <w:t>Rys. 1.</w:t>
      </w:r>
      <w:r w:rsidRPr="00B718AA">
        <w:rPr>
          <w:i/>
          <w:sz w:val="20"/>
          <w:szCs w:val="20"/>
        </w:rPr>
        <w:tab/>
        <w:t xml:space="preserve">Krzywe graniczne uziarnienia mieszanki kruszyw 0/31,5 mm do warstw podbudowy </w:t>
      </w:r>
    </w:p>
    <w:p w:rsidR="00E52B27" w:rsidRPr="00B718AA" w:rsidRDefault="00E52B27" w:rsidP="00E52B27">
      <w:pPr>
        <w:spacing w:line="360" w:lineRule="auto"/>
        <w:ind w:firstLine="709"/>
        <w:jc w:val="both"/>
      </w:pPr>
    </w:p>
    <w:p w:rsidR="00E52B27" w:rsidRPr="00B718AA" w:rsidRDefault="00E52B27" w:rsidP="00E52B27">
      <w:pPr>
        <w:spacing w:after="240" w:line="360" w:lineRule="auto"/>
        <w:ind w:firstLine="709"/>
        <w:jc w:val="both"/>
      </w:pPr>
      <w:r w:rsidRPr="00B718AA">
        <w:t>Oprócz wymagań podanych na rysunku 1, wymaga się aby 90% uziarnień mieszanek zbadanych w ramach ZKP w okresie 6 miesięcy spełniało wymagania kategorii podanych w tablicach 2 i 3, aby zapewnić jednorodność i ciągłość uziarnienia mieszanek.</w:t>
      </w:r>
    </w:p>
    <w:p w:rsidR="00E52B27" w:rsidRPr="00B718AA" w:rsidRDefault="00E52B27" w:rsidP="00E52B27">
      <w:pPr>
        <w:spacing w:before="120" w:after="120"/>
        <w:ind w:left="993" w:hanging="993"/>
        <w:jc w:val="both"/>
        <w:rPr>
          <w:i/>
        </w:rPr>
      </w:pPr>
      <w:r w:rsidRPr="00B718AA">
        <w:rPr>
          <w:i/>
        </w:rPr>
        <w:t xml:space="preserve">Tablica 2. Wymagania wobec jednorodności uziarnienia na sitach kontrolnych – porównanie z deklarowaną przez producenta wartością (S). Wymagania dotyczą produkowanej i dostarczanej mieszanki. Jeśli mieszanka zawiera nadmierną zawartość ziaren słabych, wymaganie dotyczy deklarowanego przez producenta uziarnienia mieszanki po pięciokrotnym zagęszczeniu metodą </w:t>
      </w:r>
      <w:proofErr w:type="spellStart"/>
      <w:r w:rsidRPr="00B718AA">
        <w:rPr>
          <w:i/>
        </w:rPr>
        <w:t>Proctora</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754"/>
        <w:gridCol w:w="754"/>
        <w:gridCol w:w="754"/>
        <w:gridCol w:w="754"/>
        <w:gridCol w:w="754"/>
        <w:gridCol w:w="754"/>
        <w:gridCol w:w="754"/>
        <w:gridCol w:w="754"/>
        <w:gridCol w:w="754"/>
        <w:gridCol w:w="754"/>
      </w:tblGrid>
      <w:tr w:rsidR="00E52B27" w:rsidRPr="00B718AA" w:rsidTr="00E52B27">
        <w:trPr>
          <w:jc w:val="center"/>
        </w:trPr>
        <w:tc>
          <w:tcPr>
            <w:tcW w:w="1463" w:type="dxa"/>
            <w:vMerge w:val="restart"/>
            <w:tcBorders>
              <w:bottom w:val="double" w:sz="4" w:space="0" w:color="auto"/>
            </w:tcBorders>
            <w:vAlign w:val="center"/>
          </w:tcPr>
          <w:p w:rsidR="00E52B27" w:rsidRPr="00B718AA" w:rsidRDefault="00E52B27" w:rsidP="00E52B27">
            <w:pPr>
              <w:jc w:val="center"/>
            </w:pPr>
            <w:r w:rsidRPr="00B718AA">
              <w:t>Mieszanka niezwiązana, mm</w:t>
            </w:r>
          </w:p>
        </w:tc>
        <w:tc>
          <w:tcPr>
            <w:tcW w:w="7540" w:type="dxa"/>
            <w:gridSpan w:val="10"/>
            <w:tcBorders>
              <w:bottom w:val="single" w:sz="4" w:space="0" w:color="auto"/>
            </w:tcBorders>
            <w:vAlign w:val="center"/>
          </w:tcPr>
          <w:p w:rsidR="00E52B27" w:rsidRPr="00B718AA" w:rsidRDefault="00E52B27" w:rsidP="00E52B27">
            <w:pPr>
              <w:jc w:val="center"/>
            </w:pPr>
            <w:r w:rsidRPr="00B718AA">
              <w:t>Porównanie z deklarowaną przez producenta wartością (S)</w:t>
            </w:r>
          </w:p>
          <w:p w:rsidR="00E52B27" w:rsidRPr="00B718AA" w:rsidRDefault="00E52B27" w:rsidP="00E52B27">
            <w:pPr>
              <w:jc w:val="center"/>
            </w:pPr>
            <w:r w:rsidRPr="00B718AA">
              <w:t>Tolerancje przesiewu przez sito (mm), % (m/m)</w:t>
            </w:r>
          </w:p>
        </w:tc>
      </w:tr>
      <w:tr w:rsidR="00E52B27" w:rsidRPr="00B718AA" w:rsidTr="00E52B27">
        <w:trPr>
          <w:jc w:val="center"/>
        </w:trPr>
        <w:tc>
          <w:tcPr>
            <w:tcW w:w="1463" w:type="dxa"/>
            <w:vMerge/>
            <w:tcBorders>
              <w:bottom w:val="double" w:sz="4" w:space="0" w:color="auto"/>
            </w:tcBorders>
            <w:vAlign w:val="center"/>
          </w:tcPr>
          <w:p w:rsidR="00E52B27" w:rsidRPr="00B718AA" w:rsidRDefault="00E52B27" w:rsidP="00E52B27">
            <w:pPr>
              <w:jc w:val="center"/>
            </w:pP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0,5</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1</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2</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4</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5,6</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8</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11,2</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16</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22,4</w:t>
            </w:r>
          </w:p>
        </w:tc>
        <w:tc>
          <w:tcPr>
            <w:tcW w:w="754" w:type="dxa"/>
            <w:tcBorders>
              <w:bottom w:val="double" w:sz="4" w:space="0" w:color="auto"/>
            </w:tcBorders>
            <w:shd w:val="clear" w:color="auto" w:fill="auto"/>
            <w:vAlign w:val="center"/>
          </w:tcPr>
          <w:p w:rsidR="00E52B27" w:rsidRPr="00B718AA" w:rsidRDefault="00E52B27" w:rsidP="00E52B27">
            <w:pPr>
              <w:jc w:val="center"/>
            </w:pPr>
            <w:r w:rsidRPr="00B718AA">
              <w:t>31,5</w:t>
            </w:r>
          </w:p>
        </w:tc>
      </w:tr>
      <w:tr w:rsidR="00E52B27" w:rsidRPr="00B718AA" w:rsidTr="00E52B27">
        <w:trPr>
          <w:trHeight w:val="291"/>
          <w:jc w:val="center"/>
        </w:trPr>
        <w:tc>
          <w:tcPr>
            <w:tcW w:w="1463" w:type="dxa"/>
            <w:tcBorders>
              <w:top w:val="double" w:sz="4" w:space="0" w:color="auto"/>
            </w:tcBorders>
            <w:vAlign w:val="center"/>
          </w:tcPr>
          <w:p w:rsidR="00E52B27" w:rsidRPr="00B718AA" w:rsidRDefault="00E52B27" w:rsidP="00E52B27">
            <w:pPr>
              <w:jc w:val="center"/>
            </w:pPr>
            <w:r w:rsidRPr="00B718AA">
              <w:t>0/31,5</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 5</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 5</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 7</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 8</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 8</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754" w:type="dxa"/>
            <w:tcBorders>
              <w:top w:val="double" w:sz="4" w:space="0" w:color="auto"/>
            </w:tcBorders>
            <w:shd w:val="clear" w:color="auto" w:fill="auto"/>
            <w:vAlign w:val="center"/>
          </w:tcPr>
          <w:p w:rsidR="00E52B27" w:rsidRPr="00B718AA" w:rsidRDefault="00E52B27" w:rsidP="00E52B27">
            <w:pPr>
              <w:jc w:val="center"/>
            </w:pPr>
            <w:r w:rsidRPr="00B718AA">
              <w:t>± 8</w:t>
            </w:r>
          </w:p>
        </w:tc>
        <w:tc>
          <w:tcPr>
            <w:tcW w:w="754" w:type="dxa"/>
            <w:tcBorders>
              <w:top w:val="double" w:sz="4" w:space="0" w:color="auto"/>
            </w:tcBorders>
            <w:shd w:val="clear" w:color="auto" w:fill="auto"/>
            <w:vAlign w:val="center"/>
          </w:tcPr>
          <w:p w:rsidR="00E52B27" w:rsidRPr="00B718AA" w:rsidRDefault="00E52B27" w:rsidP="00E52B27">
            <w:pPr>
              <w:jc w:val="center"/>
            </w:pPr>
          </w:p>
        </w:tc>
        <w:tc>
          <w:tcPr>
            <w:tcW w:w="754" w:type="dxa"/>
            <w:tcBorders>
              <w:top w:val="double" w:sz="4" w:space="0" w:color="auto"/>
            </w:tcBorders>
            <w:shd w:val="clear" w:color="auto" w:fill="auto"/>
            <w:vAlign w:val="center"/>
          </w:tcPr>
          <w:p w:rsidR="00E52B27" w:rsidRPr="00B718AA" w:rsidRDefault="00E52B27" w:rsidP="00E52B27">
            <w:pPr>
              <w:jc w:val="center"/>
            </w:pPr>
          </w:p>
        </w:tc>
      </w:tr>
    </w:tbl>
    <w:p w:rsidR="00E52B27" w:rsidRPr="00B718AA" w:rsidRDefault="00E52B27" w:rsidP="00E52B27">
      <w:pPr>
        <w:spacing w:line="360" w:lineRule="auto"/>
      </w:pPr>
    </w:p>
    <w:p w:rsidR="00E52B27" w:rsidRPr="00B718AA" w:rsidRDefault="00E52B27" w:rsidP="00E52B27">
      <w:pPr>
        <w:spacing w:line="360" w:lineRule="auto"/>
        <w:jc w:val="both"/>
      </w:pPr>
      <w:r w:rsidRPr="00B718AA">
        <w:tab/>
        <w:t xml:space="preserve">Krzywa uziarnienia (S) deklarowana przez producenta mieszanek powinna nie tylko mieścić się w odpowiednich krzywych uziarnienia (rys. 1) ograniczonych przerywanymi liniami (SDV) z uwzględnieniem dopuszczalnych tolerancji podanych w tablicy 2, </w:t>
      </w:r>
      <w:r w:rsidRPr="00B718AA">
        <w:br/>
        <w:t>ale powinna spełniać także wymagania ciągłości uziarnienia zawarte w tablicy 3.</w:t>
      </w:r>
    </w:p>
    <w:p w:rsidR="00E52B27" w:rsidRPr="00B718AA" w:rsidRDefault="00E52B27" w:rsidP="00E52B27">
      <w:pPr>
        <w:spacing w:line="360" w:lineRule="auto"/>
        <w:jc w:val="both"/>
      </w:pPr>
    </w:p>
    <w:p w:rsidR="00E52B27" w:rsidRPr="00B718AA" w:rsidRDefault="00E52B27" w:rsidP="00E52B27">
      <w:pPr>
        <w:tabs>
          <w:tab w:val="left" w:pos="1134"/>
        </w:tabs>
        <w:ind w:left="1134" w:hanging="1134"/>
        <w:rPr>
          <w:i/>
        </w:rPr>
      </w:pPr>
      <w:r w:rsidRPr="00B718AA">
        <w:rPr>
          <w:i/>
        </w:rPr>
        <w:t>Tablica 3.</w:t>
      </w:r>
      <w:r w:rsidRPr="00B718AA">
        <w:rPr>
          <w:i/>
        </w:rPr>
        <w:tab/>
        <w:t xml:space="preserve">Wymagania wobec ciągłości uziarnienia na sitach kontrolnych – różnice </w:t>
      </w:r>
      <w:r w:rsidRPr="00B718AA">
        <w:rPr>
          <w:i/>
        </w:rPr>
        <w:br/>
        <w:t>w przesiewach podczas badań kontrolnych produkowanych mieszanek</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547"/>
        <w:gridCol w:w="531"/>
        <w:gridCol w:w="546"/>
        <w:gridCol w:w="530"/>
        <w:gridCol w:w="546"/>
        <w:gridCol w:w="530"/>
        <w:gridCol w:w="546"/>
        <w:gridCol w:w="530"/>
        <w:gridCol w:w="546"/>
        <w:gridCol w:w="530"/>
        <w:gridCol w:w="546"/>
        <w:gridCol w:w="530"/>
        <w:gridCol w:w="546"/>
        <w:gridCol w:w="530"/>
        <w:gridCol w:w="546"/>
        <w:gridCol w:w="530"/>
      </w:tblGrid>
      <w:tr w:rsidR="00E52B27" w:rsidRPr="00B718AA" w:rsidTr="00E52B27">
        <w:trPr>
          <w:trHeight w:val="502"/>
          <w:jc w:val="center"/>
        </w:trPr>
        <w:tc>
          <w:tcPr>
            <w:tcW w:w="712" w:type="dxa"/>
            <w:vMerge w:val="restart"/>
            <w:vAlign w:val="center"/>
          </w:tcPr>
          <w:p w:rsidR="00E52B27" w:rsidRPr="00B718AA" w:rsidRDefault="00E52B27" w:rsidP="00E52B27">
            <w:pPr>
              <w:jc w:val="center"/>
            </w:pPr>
            <w:r w:rsidRPr="00B718AA">
              <w:t>Mie-</w:t>
            </w:r>
            <w:proofErr w:type="spellStart"/>
            <w:r w:rsidRPr="00B718AA">
              <w:t>szan</w:t>
            </w:r>
            <w:proofErr w:type="spellEnd"/>
            <w:r w:rsidRPr="00B718AA">
              <w:t>-ka, mm</w:t>
            </w:r>
          </w:p>
        </w:tc>
        <w:tc>
          <w:tcPr>
            <w:tcW w:w="8610" w:type="dxa"/>
            <w:gridSpan w:val="16"/>
            <w:vAlign w:val="center"/>
          </w:tcPr>
          <w:p w:rsidR="00E52B27" w:rsidRPr="00B718AA" w:rsidRDefault="00E52B27" w:rsidP="00E52B27">
            <w:pPr>
              <w:jc w:val="center"/>
            </w:pPr>
            <w:r w:rsidRPr="00B718AA">
              <w:t>Minimalna i maksymalna zawartość frakcji w mieszankach;</w:t>
            </w:r>
          </w:p>
          <w:p w:rsidR="00E52B27" w:rsidRPr="00B718AA" w:rsidRDefault="00E52B27" w:rsidP="00E52B27">
            <w:pPr>
              <w:jc w:val="center"/>
            </w:pPr>
            <w:r w:rsidRPr="00B718AA">
              <w:t>[różnice przesiewów w % (m/m) przez sito (mm)]</w:t>
            </w:r>
          </w:p>
        </w:tc>
      </w:tr>
      <w:tr w:rsidR="00E52B27" w:rsidRPr="00B718AA" w:rsidTr="00E52B27">
        <w:trPr>
          <w:trHeight w:val="324"/>
          <w:jc w:val="center"/>
        </w:trPr>
        <w:tc>
          <w:tcPr>
            <w:tcW w:w="712" w:type="dxa"/>
            <w:vMerge/>
            <w:vAlign w:val="center"/>
          </w:tcPr>
          <w:p w:rsidR="00E52B27" w:rsidRPr="00B718AA" w:rsidRDefault="00E52B27" w:rsidP="00E52B27">
            <w:pPr>
              <w:jc w:val="center"/>
            </w:pPr>
          </w:p>
        </w:tc>
        <w:tc>
          <w:tcPr>
            <w:tcW w:w="1078" w:type="dxa"/>
            <w:gridSpan w:val="2"/>
            <w:tcBorders>
              <w:bottom w:val="single" w:sz="4" w:space="0" w:color="auto"/>
            </w:tcBorders>
            <w:vAlign w:val="center"/>
          </w:tcPr>
          <w:p w:rsidR="00E52B27" w:rsidRPr="00B718AA" w:rsidRDefault="00E52B27" w:rsidP="00E52B27">
            <w:pPr>
              <w:jc w:val="center"/>
            </w:pPr>
            <w:r w:rsidRPr="00B718AA">
              <w:t>1/2</w:t>
            </w:r>
          </w:p>
        </w:tc>
        <w:tc>
          <w:tcPr>
            <w:tcW w:w="1076" w:type="dxa"/>
            <w:gridSpan w:val="2"/>
            <w:tcBorders>
              <w:bottom w:val="single" w:sz="4" w:space="0" w:color="auto"/>
            </w:tcBorders>
            <w:vAlign w:val="center"/>
          </w:tcPr>
          <w:p w:rsidR="00E52B27" w:rsidRPr="00B718AA" w:rsidRDefault="00E52B27" w:rsidP="00E52B27">
            <w:pPr>
              <w:jc w:val="center"/>
            </w:pPr>
            <w:r w:rsidRPr="00B718AA">
              <w:t>2/4</w:t>
            </w:r>
          </w:p>
        </w:tc>
        <w:tc>
          <w:tcPr>
            <w:tcW w:w="1076" w:type="dxa"/>
            <w:gridSpan w:val="2"/>
            <w:tcBorders>
              <w:bottom w:val="single" w:sz="4" w:space="0" w:color="auto"/>
            </w:tcBorders>
            <w:vAlign w:val="center"/>
          </w:tcPr>
          <w:p w:rsidR="00E52B27" w:rsidRPr="00B718AA" w:rsidRDefault="00E52B27" w:rsidP="00E52B27">
            <w:pPr>
              <w:jc w:val="center"/>
            </w:pPr>
            <w:r w:rsidRPr="00B718AA">
              <w:t>2/5,6</w:t>
            </w:r>
          </w:p>
        </w:tc>
        <w:tc>
          <w:tcPr>
            <w:tcW w:w="1076" w:type="dxa"/>
            <w:gridSpan w:val="2"/>
            <w:tcBorders>
              <w:bottom w:val="single" w:sz="4" w:space="0" w:color="auto"/>
            </w:tcBorders>
            <w:vAlign w:val="center"/>
          </w:tcPr>
          <w:p w:rsidR="00E52B27" w:rsidRPr="00B718AA" w:rsidRDefault="00E52B27" w:rsidP="00E52B27">
            <w:pPr>
              <w:jc w:val="center"/>
            </w:pPr>
            <w:r w:rsidRPr="00B718AA">
              <w:t>4/8</w:t>
            </w:r>
          </w:p>
        </w:tc>
        <w:tc>
          <w:tcPr>
            <w:tcW w:w="1076" w:type="dxa"/>
            <w:gridSpan w:val="2"/>
            <w:tcBorders>
              <w:bottom w:val="single" w:sz="4" w:space="0" w:color="auto"/>
            </w:tcBorders>
            <w:vAlign w:val="center"/>
          </w:tcPr>
          <w:p w:rsidR="00E52B27" w:rsidRPr="00B718AA" w:rsidRDefault="00E52B27" w:rsidP="00E52B27">
            <w:pPr>
              <w:jc w:val="center"/>
            </w:pPr>
            <w:r w:rsidRPr="00B718AA">
              <w:t>5,6/11,2</w:t>
            </w:r>
          </w:p>
        </w:tc>
        <w:tc>
          <w:tcPr>
            <w:tcW w:w="1076" w:type="dxa"/>
            <w:gridSpan w:val="2"/>
            <w:tcBorders>
              <w:bottom w:val="single" w:sz="4" w:space="0" w:color="auto"/>
            </w:tcBorders>
            <w:vAlign w:val="center"/>
          </w:tcPr>
          <w:p w:rsidR="00E52B27" w:rsidRPr="00B718AA" w:rsidRDefault="00E52B27" w:rsidP="00E52B27">
            <w:pPr>
              <w:jc w:val="center"/>
            </w:pPr>
            <w:r w:rsidRPr="00B718AA">
              <w:t>8/16</w:t>
            </w:r>
          </w:p>
        </w:tc>
        <w:tc>
          <w:tcPr>
            <w:tcW w:w="1076" w:type="dxa"/>
            <w:gridSpan w:val="2"/>
            <w:tcBorders>
              <w:bottom w:val="single" w:sz="4" w:space="0" w:color="auto"/>
            </w:tcBorders>
            <w:vAlign w:val="center"/>
          </w:tcPr>
          <w:p w:rsidR="00E52B27" w:rsidRPr="00B718AA" w:rsidRDefault="00E52B27" w:rsidP="00E52B27">
            <w:pPr>
              <w:ind w:left="-48"/>
              <w:jc w:val="center"/>
            </w:pPr>
            <w:r w:rsidRPr="00B718AA">
              <w:t>11,2/22,4</w:t>
            </w:r>
          </w:p>
        </w:tc>
        <w:tc>
          <w:tcPr>
            <w:tcW w:w="1076" w:type="dxa"/>
            <w:gridSpan w:val="2"/>
            <w:tcBorders>
              <w:bottom w:val="single" w:sz="4" w:space="0" w:color="auto"/>
            </w:tcBorders>
            <w:vAlign w:val="center"/>
          </w:tcPr>
          <w:p w:rsidR="00E52B27" w:rsidRPr="00B718AA" w:rsidRDefault="00E52B27" w:rsidP="00E52B27">
            <w:pPr>
              <w:jc w:val="center"/>
            </w:pPr>
            <w:r w:rsidRPr="00B718AA">
              <w:t>16/31,5</w:t>
            </w:r>
          </w:p>
        </w:tc>
      </w:tr>
      <w:tr w:rsidR="00E52B27" w:rsidRPr="00B718AA" w:rsidTr="00E52B27">
        <w:trPr>
          <w:trHeight w:val="384"/>
          <w:jc w:val="center"/>
        </w:trPr>
        <w:tc>
          <w:tcPr>
            <w:tcW w:w="712" w:type="dxa"/>
            <w:vMerge/>
            <w:tcBorders>
              <w:bottom w:val="double" w:sz="4" w:space="0" w:color="auto"/>
            </w:tcBorders>
            <w:vAlign w:val="center"/>
          </w:tcPr>
          <w:p w:rsidR="00E52B27" w:rsidRPr="00B718AA" w:rsidRDefault="00E52B27" w:rsidP="00E52B27">
            <w:pPr>
              <w:jc w:val="center"/>
            </w:pPr>
          </w:p>
        </w:tc>
        <w:tc>
          <w:tcPr>
            <w:tcW w:w="547" w:type="dxa"/>
            <w:tcBorders>
              <w:bottom w:val="double" w:sz="4" w:space="0" w:color="auto"/>
            </w:tcBorders>
            <w:shd w:val="clear" w:color="auto" w:fill="auto"/>
            <w:vAlign w:val="center"/>
          </w:tcPr>
          <w:p w:rsidR="00E52B27" w:rsidRPr="00B718AA" w:rsidRDefault="00E52B27" w:rsidP="00E52B27">
            <w:pPr>
              <w:ind w:left="-111"/>
              <w:jc w:val="center"/>
            </w:pPr>
            <w:r w:rsidRPr="00B718AA">
              <w:t>min.</w:t>
            </w:r>
          </w:p>
        </w:tc>
        <w:tc>
          <w:tcPr>
            <w:tcW w:w="531" w:type="dxa"/>
            <w:tcBorders>
              <w:bottom w:val="double" w:sz="4" w:space="0" w:color="auto"/>
            </w:tcBorders>
            <w:shd w:val="clear" w:color="auto" w:fill="auto"/>
            <w:vAlign w:val="center"/>
          </w:tcPr>
          <w:p w:rsidR="00E52B27" w:rsidRPr="00B718AA" w:rsidRDefault="00E52B27" w:rsidP="00E52B27">
            <w:pPr>
              <w:ind w:left="-91"/>
              <w:jc w:val="center"/>
            </w:pPr>
            <w:r w:rsidRPr="00B718AA">
              <w:t>max</w:t>
            </w:r>
          </w:p>
        </w:tc>
        <w:tc>
          <w:tcPr>
            <w:tcW w:w="546" w:type="dxa"/>
            <w:tcBorders>
              <w:bottom w:val="double" w:sz="4" w:space="0" w:color="auto"/>
            </w:tcBorders>
            <w:shd w:val="clear" w:color="auto" w:fill="auto"/>
            <w:vAlign w:val="center"/>
          </w:tcPr>
          <w:p w:rsidR="00E52B27" w:rsidRPr="00B718AA" w:rsidRDefault="00E52B27" w:rsidP="00E52B27">
            <w:pPr>
              <w:ind w:left="-55"/>
              <w:jc w:val="center"/>
            </w:pPr>
            <w:r w:rsidRPr="00B718AA">
              <w:t>min.</w:t>
            </w:r>
          </w:p>
        </w:tc>
        <w:tc>
          <w:tcPr>
            <w:tcW w:w="530" w:type="dxa"/>
            <w:tcBorders>
              <w:bottom w:val="double" w:sz="4" w:space="0" w:color="auto"/>
            </w:tcBorders>
            <w:shd w:val="clear" w:color="auto" w:fill="auto"/>
            <w:vAlign w:val="center"/>
          </w:tcPr>
          <w:p w:rsidR="00E52B27" w:rsidRPr="00B718AA" w:rsidRDefault="00E52B27" w:rsidP="00E52B27">
            <w:pPr>
              <w:ind w:left="-34"/>
              <w:jc w:val="center"/>
            </w:pPr>
            <w:r w:rsidRPr="00B718AA">
              <w:t>max</w:t>
            </w:r>
          </w:p>
        </w:tc>
        <w:tc>
          <w:tcPr>
            <w:tcW w:w="546" w:type="dxa"/>
            <w:tcBorders>
              <w:bottom w:val="double" w:sz="4" w:space="0" w:color="auto"/>
            </w:tcBorders>
            <w:shd w:val="clear" w:color="auto" w:fill="auto"/>
            <w:vAlign w:val="center"/>
          </w:tcPr>
          <w:p w:rsidR="00E52B27" w:rsidRPr="00B718AA" w:rsidRDefault="00E52B27" w:rsidP="00E52B27">
            <w:pPr>
              <w:ind w:left="-138"/>
              <w:jc w:val="center"/>
            </w:pPr>
            <w:r w:rsidRPr="00B718AA">
              <w:t>min.</w:t>
            </w:r>
          </w:p>
        </w:tc>
        <w:tc>
          <w:tcPr>
            <w:tcW w:w="530" w:type="dxa"/>
            <w:tcBorders>
              <w:bottom w:val="double" w:sz="4" w:space="0" w:color="auto"/>
            </w:tcBorders>
            <w:shd w:val="clear" w:color="auto" w:fill="auto"/>
            <w:vAlign w:val="center"/>
          </w:tcPr>
          <w:p w:rsidR="00E52B27" w:rsidRPr="00B718AA" w:rsidRDefault="00E52B27" w:rsidP="00E52B27">
            <w:pPr>
              <w:ind w:left="-117"/>
              <w:jc w:val="center"/>
            </w:pPr>
            <w:r w:rsidRPr="00B718AA">
              <w:t>max</w:t>
            </w:r>
          </w:p>
        </w:tc>
        <w:tc>
          <w:tcPr>
            <w:tcW w:w="546" w:type="dxa"/>
            <w:tcBorders>
              <w:bottom w:val="double" w:sz="4" w:space="0" w:color="auto"/>
            </w:tcBorders>
            <w:shd w:val="clear" w:color="auto" w:fill="auto"/>
            <w:vAlign w:val="center"/>
          </w:tcPr>
          <w:p w:rsidR="00E52B27" w:rsidRPr="00B718AA" w:rsidRDefault="00E52B27" w:rsidP="00E52B27">
            <w:pPr>
              <w:ind w:left="-80"/>
              <w:jc w:val="center"/>
            </w:pPr>
            <w:r w:rsidRPr="00B718AA">
              <w:t>min.</w:t>
            </w:r>
          </w:p>
        </w:tc>
        <w:tc>
          <w:tcPr>
            <w:tcW w:w="530" w:type="dxa"/>
            <w:tcBorders>
              <w:bottom w:val="double" w:sz="4" w:space="0" w:color="auto"/>
            </w:tcBorders>
            <w:shd w:val="clear" w:color="auto" w:fill="auto"/>
            <w:vAlign w:val="center"/>
          </w:tcPr>
          <w:p w:rsidR="00E52B27" w:rsidRPr="00B718AA" w:rsidRDefault="00E52B27" w:rsidP="00E52B27">
            <w:pPr>
              <w:ind w:left="-59"/>
              <w:jc w:val="center"/>
            </w:pPr>
            <w:r w:rsidRPr="00B718AA">
              <w:t>max</w:t>
            </w:r>
          </w:p>
        </w:tc>
        <w:tc>
          <w:tcPr>
            <w:tcW w:w="546" w:type="dxa"/>
            <w:tcBorders>
              <w:bottom w:val="double" w:sz="4" w:space="0" w:color="auto"/>
            </w:tcBorders>
            <w:shd w:val="clear" w:color="auto" w:fill="auto"/>
            <w:vAlign w:val="center"/>
          </w:tcPr>
          <w:p w:rsidR="00E52B27" w:rsidRPr="00B718AA" w:rsidRDefault="00E52B27" w:rsidP="00E52B27">
            <w:pPr>
              <w:ind w:left="-164" w:firstLine="22"/>
              <w:jc w:val="center"/>
            </w:pPr>
            <w:r w:rsidRPr="00B718AA">
              <w:t>min.</w:t>
            </w:r>
          </w:p>
        </w:tc>
        <w:tc>
          <w:tcPr>
            <w:tcW w:w="530" w:type="dxa"/>
            <w:tcBorders>
              <w:bottom w:val="double" w:sz="4" w:space="0" w:color="auto"/>
            </w:tcBorders>
            <w:shd w:val="clear" w:color="auto" w:fill="auto"/>
            <w:vAlign w:val="center"/>
          </w:tcPr>
          <w:p w:rsidR="00E52B27" w:rsidRPr="00B718AA" w:rsidRDefault="00E52B27" w:rsidP="00E52B27">
            <w:pPr>
              <w:ind w:left="-143"/>
              <w:jc w:val="center"/>
            </w:pPr>
            <w:r w:rsidRPr="00B718AA">
              <w:t>max</w:t>
            </w:r>
          </w:p>
        </w:tc>
        <w:tc>
          <w:tcPr>
            <w:tcW w:w="546" w:type="dxa"/>
            <w:tcBorders>
              <w:bottom w:val="double" w:sz="4" w:space="0" w:color="auto"/>
            </w:tcBorders>
            <w:shd w:val="clear" w:color="auto" w:fill="auto"/>
            <w:vAlign w:val="center"/>
          </w:tcPr>
          <w:p w:rsidR="00E52B27" w:rsidRPr="00B718AA" w:rsidRDefault="00E52B27" w:rsidP="00E52B27">
            <w:pPr>
              <w:ind w:left="-106"/>
              <w:jc w:val="center"/>
            </w:pPr>
            <w:r w:rsidRPr="00B718AA">
              <w:t>min.</w:t>
            </w:r>
          </w:p>
        </w:tc>
        <w:tc>
          <w:tcPr>
            <w:tcW w:w="530" w:type="dxa"/>
            <w:tcBorders>
              <w:bottom w:val="double" w:sz="4" w:space="0" w:color="auto"/>
            </w:tcBorders>
            <w:shd w:val="clear" w:color="auto" w:fill="auto"/>
            <w:vAlign w:val="center"/>
          </w:tcPr>
          <w:p w:rsidR="00E52B27" w:rsidRPr="00B718AA" w:rsidRDefault="00E52B27" w:rsidP="00E52B27">
            <w:pPr>
              <w:ind w:left="-85"/>
              <w:jc w:val="center"/>
            </w:pPr>
            <w:r w:rsidRPr="00B718AA">
              <w:t>max</w:t>
            </w:r>
          </w:p>
        </w:tc>
        <w:tc>
          <w:tcPr>
            <w:tcW w:w="546" w:type="dxa"/>
            <w:tcBorders>
              <w:bottom w:val="double" w:sz="4" w:space="0" w:color="auto"/>
            </w:tcBorders>
            <w:shd w:val="clear" w:color="auto" w:fill="auto"/>
            <w:vAlign w:val="center"/>
          </w:tcPr>
          <w:p w:rsidR="00E52B27" w:rsidRPr="00B718AA" w:rsidRDefault="00E52B27" w:rsidP="00E52B27">
            <w:pPr>
              <w:ind w:left="-48"/>
              <w:jc w:val="center"/>
            </w:pPr>
            <w:r w:rsidRPr="00B718AA">
              <w:t>min.</w:t>
            </w:r>
          </w:p>
        </w:tc>
        <w:tc>
          <w:tcPr>
            <w:tcW w:w="530" w:type="dxa"/>
            <w:tcBorders>
              <w:bottom w:val="double" w:sz="4" w:space="0" w:color="auto"/>
            </w:tcBorders>
            <w:shd w:val="clear" w:color="auto" w:fill="auto"/>
            <w:vAlign w:val="center"/>
          </w:tcPr>
          <w:p w:rsidR="00E52B27" w:rsidRPr="00B718AA" w:rsidRDefault="00E52B27" w:rsidP="00E52B27">
            <w:pPr>
              <w:ind w:left="-169"/>
              <w:jc w:val="center"/>
            </w:pPr>
            <w:r w:rsidRPr="00B718AA">
              <w:t>max</w:t>
            </w:r>
          </w:p>
        </w:tc>
        <w:tc>
          <w:tcPr>
            <w:tcW w:w="546" w:type="dxa"/>
            <w:tcBorders>
              <w:bottom w:val="double" w:sz="4" w:space="0" w:color="auto"/>
            </w:tcBorders>
            <w:shd w:val="clear" w:color="auto" w:fill="auto"/>
            <w:vAlign w:val="center"/>
          </w:tcPr>
          <w:p w:rsidR="00E52B27" w:rsidRPr="00B718AA" w:rsidRDefault="00E52B27" w:rsidP="00E52B27">
            <w:pPr>
              <w:ind w:left="-132"/>
              <w:jc w:val="center"/>
            </w:pPr>
            <w:r w:rsidRPr="00B718AA">
              <w:t>min.</w:t>
            </w:r>
          </w:p>
        </w:tc>
        <w:tc>
          <w:tcPr>
            <w:tcW w:w="530" w:type="dxa"/>
            <w:tcBorders>
              <w:bottom w:val="double" w:sz="4" w:space="0" w:color="auto"/>
            </w:tcBorders>
            <w:shd w:val="clear" w:color="auto" w:fill="auto"/>
            <w:vAlign w:val="center"/>
          </w:tcPr>
          <w:p w:rsidR="00E52B27" w:rsidRPr="00B718AA" w:rsidRDefault="00E52B27" w:rsidP="00E52B27">
            <w:pPr>
              <w:ind w:left="-111"/>
              <w:jc w:val="center"/>
            </w:pPr>
            <w:r w:rsidRPr="00B718AA">
              <w:t>max</w:t>
            </w:r>
          </w:p>
        </w:tc>
      </w:tr>
      <w:tr w:rsidR="00E52B27" w:rsidRPr="00B718AA" w:rsidTr="00E52B27">
        <w:trPr>
          <w:trHeight w:val="397"/>
          <w:jc w:val="center"/>
        </w:trPr>
        <w:tc>
          <w:tcPr>
            <w:tcW w:w="712" w:type="dxa"/>
            <w:tcBorders>
              <w:top w:val="double" w:sz="4" w:space="0" w:color="auto"/>
            </w:tcBorders>
            <w:vAlign w:val="center"/>
          </w:tcPr>
          <w:p w:rsidR="00E52B27" w:rsidRPr="00B718AA" w:rsidRDefault="00E52B27" w:rsidP="00E52B27">
            <w:pPr>
              <w:ind w:left="-142"/>
              <w:jc w:val="center"/>
            </w:pPr>
            <w:r w:rsidRPr="00B718AA">
              <w:t>0/31,5</w:t>
            </w:r>
          </w:p>
        </w:tc>
        <w:tc>
          <w:tcPr>
            <w:tcW w:w="547" w:type="dxa"/>
            <w:tcBorders>
              <w:top w:val="double" w:sz="4" w:space="0" w:color="auto"/>
            </w:tcBorders>
            <w:shd w:val="clear" w:color="auto" w:fill="auto"/>
            <w:vAlign w:val="center"/>
          </w:tcPr>
          <w:p w:rsidR="00E52B27" w:rsidRPr="00B718AA" w:rsidRDefault="00E52B27" w:rsidP="00E52B27">
            <w:pPr>
              <w:jc w:val="center"/>
            </w:pPr>
            <w:r w:rsidRPr="00B718AA">
              <w:t>4</w:t>
            </w:r>
          </w:p>
        </w:tc>
        <w:tc>
          <w:tcPr>
            <w:tcW w:w="531" w:type="dxa"/>
            <w:tcBorders>
              <w:top w:val="double" w:sz="4" w:space="0" w:color="auto"/>
            </w:tcBorders>
            <w:shd w:val="clear" w:color="auto" w:fill="auto"/>
            <w:vAlign w:val="center"/>
          </w:tcPr>
          <w:p w:rsidR="00E52B27" w:rsidRPr="00B718AA" w:rsidRDefault="00E52B27" w:rsidP="00E52B27">
            <w:pPr>
              <w:jc w:val="center"/>
            </w:pPr>
            <w:r w:rsidRPr="00B718AA">
              <w:t>15</w:t>
            </w:r>
          </w:p>
        </w:tc>
        <w:tc>
          <w:tcPr>
            <w:tcW w:w="546" w:type="dxa"/>
            <w:tcBorders>
              <w:top w:val="double" w:sz="4" w:space="0" w:color="auto"/>
            </w:tcBorders>
            <w:shd w:val="clear" w:color="auto" w:fill="auto"/>
            <w:vAlign w:val="center"/>
          </w:tcPr>
          <w:p w:rsidR="00E52B27" w:rsidRPr="00B718AA" w:rsidRDefault="00E52B27" w:rsidP="00E52B27">
            <w:pPr>
              <w:jc w:val="center"/>
            </w:pPr>
            <w:r w:rsidRPr="00B718AA">
              <w:t>7</w:t>
            </w:r>
          </w:p>
        </w:tc>
        <w:tc>
          <w:tcPr>
            <w:tcW w:w="530" w:type="dxa"/>
            <w:tcBorders>
              <w:top w:val="double" w:sz="4" w:space="0" w:color="auto"/>
            </w:tcBorders>
            <w:shd w:val="clear" w:color="auto" w:fill="auto"/>
            <w:vAlign w:val="center"/>
          </w:tcPr>
          <w:p w:rsidR="00E52B27" w:rsidRPr="00B718AA" w:rsidRDefault="00E52B27" w:rsidP="00E52B27">
            <w:pPr>
              <w:jc w:val="center"/>
            </w:pPr>
            <w:r w:rsidRPr="00B718AA">
              <w:t>20</w:t>
            </w:r>
          </w:p>
        </w:tc>
        <w:tc>
          <w:tcPr>
            <w:tcW w:w="546"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530"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546" w:type="dxa"/>
            <w:tcBorders>
              <w:top w:val="double" w:sz="4" w:space="0" w:color="auto"/>
            </w:tcBorders>
            <w:shd w:val="clear" w:color="auto" w:fill="auto"/>
            <w:vAlign w:val="center"/>
          </w:tcPr>
          <w:p w:rsidR="00E52B27" w:rsidRPr="00B718AA" w:rsidRDefault="00E52B27" w:rsidP="00E52B27">
            <w:pPr>
              <w:jc w:val="center"/>
            </w:pPr>
            <w:r w:rsidRPr="00B718AA">
              <w:t>10</w:t>
            </w:r>
          </w:p>
        </w:tc>
        <w:tc>
          <w:tcPr>
            <w:tcW w:w="530" w:type="dxa"/>
            <w:tcBorders>
              <w:top w:val="double" w:sz="4" w:space="0" w:color="auto"/>
            </w:tcBorders>
            <w:shd w:val="clear" w:color="auto" w:fill="auto"/>
            <w:vAlign w:val="center"/>
          </w:tcPr>
          <w:p w:rsidR="00E52B27" w:rsidRPr="00B718AA" w:rsidRDefault="00E52B27" w:rsidP="00E52B27">
            <w:pPr>
              <w:jc w:val="center"/>
            </w:pPr>
            <w:r w:rsidRPr="00B718AA">
              <w:t>25</w:t>
            </w:r>
          </w:p>
        </w:tc>
        <w:tc>
          <w:tcPr>
            <w:tcW w:w="546"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530"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546" w:type="dxa"/>
            <w:tcBorders>
              <w:top w:val="double" w:sz="4" w:space="0" w:color="auto"/>
            </w:tcBorders>
            <w:shd w:val="clear" w:color="auto" w:fill="auto"/>
            <w:vAlign w:val="center"/>
          </w:tcPr>
          <w:p w:rsidR="00E52B27" w:rsidRPr="00B718AA" w:rsidRDefault="00E52B27" w:rsidP="00E52B27">
            <w:pPr>
              <w:jc w:val="center"/>
            </w:pPr>
            <w:r w:rsidRPr="00B718AA">
              <w:t>10</w:t>
            </w:r>
          </w:p>
        </w:tc>
        <w:tc>
          <w:tcPr>
            <w:tcW w:w="530" w:type="dxa"/>
            <w:tcBorders>
              <w:top w:val="double" w:sz="4" w:space="0" w:color="auto"/>
            </w:tcBorders>
            <w:shd w:val="clear" w:color="auto" w:fill="auto"/>
            <w:vAlign w:val="center"/>
          </w:tcPr>
          <w:p w:rsidR="00E52B27" w:rsidRPr="00B718AA" w:rsidRDefault="00E52B27" w:rsidP="00E52B27">
            <w:pPr>
              <w:jc w:val="center"/>
            </w:pPr>
            <w:r w:rsidRPr="00B718AA">
              <w:t>25</w:t>
            </w:r>
          </w:p>
        </w:tc>
        <w:tc>
          <w:tcPr>
            <w:tcW w:w="546"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530"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546" w:type="dxa"/>
            <w:tcBorders>
              <w:top w:val="double" w:sz="4" w:space="0" w:color="auto"/>
            </w:tcBorders>
            <w:shd w:val="clear" w:color="auto" w:fill="auto"/>
            <w:vAlign w:val="center"/>
          </w:tcPr>
          <w:p w:rsidR="00E52B27" w:rsidRPr="00B718AA" w:rsidRDefault="00E52B27" w:rsidP="00E52B27">
            <w:pPr>
              <w:jc w:val="center"/>
            </w:pPr>
            <w:r w:rsidRPr="00B718AA">
              <w:t>-</w:t>
            </w:r>
          </w:p>
        </w:tc>
        <w:tc>
          <w:tcPr>
            <w:tcW w:w="530" w:type="dxa"/>
            <w:tcBorders>
              <w:top w:val="double" w:sz="4" w:space="0" w:color="auto"/>
            </w:tcBorders>
            <w:shd w:val="clear" w:color="auto" w:fill="auto"/>
            <w:vAlign w:val="center"/>
          </w:tcPr>
          <w:p w:rsidR="00E52B27" w:rsidRPr="00B718AA" w:rsidRDefault="00E52B27" w:rsidP="00E52B27">
            <w:pPr>
              <w:jc w:val="center"/>
            </w:pPr>
            <w:r w:rsidRPr="00B718AA">
              <w:t>-</w:t>
            </w:r>
          </w:p>
        </w:tc>
      </w:tr>
    </w:tbl>
    <w:p w:rsidR="00E52B27" w:rsidRPr="00B718AA" w:rsidRDefault="00E52B27" w:rsidP="00E52B27">
      <w:pPr>
        <w:spacing w:line="360" w:lineRule="auto"/>
        <w:jc w:val="both"/>
      </w:pPr>
    </w:p>
    <w:p w:rsidR="00E52B27" w:rsidRPr="00B718AA" w:rsidRDefault="00E52B27" w:rsidP="00E52B27">
      <w:pPr>
        <w:spacing w:line="360" w:lineRule="auto"/>
        <w:ind w:firstLine="709"/>
        <w:jc w:val="both"/>
      </w:pPr>
      <w:r w:rsidRPr="00B718AA">
        <w:t xml:space="preserve">Mieszanki kruszyw stosowane do warstw podbudów  powinny spełniać wymagania </w:t>
      </w:r>
      <w:r w:rsidRPr="00B718AA">
        <w:br/>
        <w:t xml:space="preserve">wg tablicy 4. Wymagania wobec mieszanek przeznaczonych do warstw podbudowy odnośnie wrażliwości na mróz (wskaźnik SE), dotyczą badania materiału </w:t>
      </w:r>
      <w:r w:rsidRPr="00B718AA">
        <w:br/>
        <w:t xml:space="preserve">po pięciokrotnym zagęszczeniu metoda </w:t>
      </w:r>
      <w:proofErr w:type="spellStart"/>
      <w:r w:rsidRPr="00B718AA">
        <w:t>Proctora</w:t>
      </w:r>
      <w:proofErr w:type="spellEnd"/>
      <w:r w:rsidRPr="00B718AA">
        <w:t xml:space="preserve"> według PN-EN 13286-2 [14]. Nie stawia się wymagań wobec wodoprzepuszczalności zagęszczonej mieszanki niezwiązanej </w:t>
      </w:r>
      <w:r w:rsidRPr="00B718AA">
        <w:br/>
        <w:t>do podbudowy, o ile szczegółowe rozwiązania nie przewidują tego.</w:t>
      </w:r>
    </w:p>
    <w:p w:rsidR="00E52B27" w:rsidRPr="00B718AA" w:rsidRDefault="00E52B27" w:rsidP="00E52B27">
      <w:pPr>
        <w:spacing w:line="360" w:lineRule="auto"/>
        <w:jc w:val="both"/>
      </w:pPr>
      <w:r w:rsidRPr="00B718AA">
        <w:tab/>
        <w:t xml:space="preserve">Zawartość wody w mieszankach kruszyw powinna odpowiadać wymaganej zawartości wody w trakcie wbudowywania i zagęszczania określonej metodą </w:t>
      </w:r>
      <w:proofErr w:type="spellStart"/>
      <w:r w:rsidRPr="00B718AA">
        <w:t>Proctora</w:t>
      </w:r>
      <w:proofErr w:type="spellEnd"/>
      <w:r w:rsidRPr="00B718AA">
        <w:t xml:space="preserve"> według  PN-EN 13286-2 [14], w granicach podanych w tablicy 4.</w:t>
      </w:r>
    </w:p>
    <w:p w:rsidR="00E52B27" w:rsidRPr="00B718AA" w:rsidRDefault="00E52B27" w:rsidP="00E52B27">
      <w:pPr>
        <w:spacing w:line="360" w:lineRule="auto"/>
        <w:jc w:val="both"/>
      </w:pPr>
      <w:r w:rsidRPr="00B718AA">
        <w:tab/>
        <w:t xml:space="preserve">Badanie CBR mieszanek do podbudowy należy wykonać na mieszance zagęszczonej metodą </w:t>
      </w:r>
      <w:proofErr w:type="spellStart"/>
      <w:r w:rsidRPr="00B718AA">
        <w:t>Proctora</w:t>
      </w:r>
      <w:proofErr w:type="spellEnd"/>
      <w:r w:rsidRPr="00B718AA">
        <w:t xml:space="preserve"> do wskaźnika zagęszczenia </w:t>
      </w:r>
      <w:proofErr w:type="spellStart"/>
      <w:r w:rsidRPr="00B718AA">
        <w:t>Is</w:t>
      </w:r>
      <w:proofErr w:type="spellEnd"/>
      <w:r w:rsidRPr="00B718AA">
        <w:t xml:space="preserve"> = 1,03 i po 96 godzinach przechowywania jej w wodzie.</w:t>
      </w:r>
    </w:p>
    <w:p w:rsidR="00E52B27" w:rsidRPr="00B718AA" w:rsidRDefault="00E52B27" w:rsidP="00E52B27">
      <w:pPr>
        <w:spacing w:line="360" w:lineRule="auto"/>
        <w:jc w:val="both"/>
      </w:pPr>
      <w:r w:rsidRPr="00B718AA">
        <w:t>CBR należy oznaczyć wg PN-EN 13286-47 [15], a wymaganie przyjąć wg tablicy 4.</w:t>
      </w:r>
    </w:p>
    <w:p w:rsidR="00E52B27" w:rsidRPr="00B718AA" w:rsidRDefault="00E52B27" w:rsidP="00E52B27">
      <w:pPr>
        <w:pStyle w:val="Nagwek2"/>
        <w:spacing w:line="360" w:lineRule="auto"/>
        <w:rPr>
          <w:i/>
        </w:rPr>
      </w:pPr>
      <w:r w:rsidRPr="00B718AA">
        <w:t xml:space="preserve">Istotne cechy środowiskowe </w:t>
      </w:r>
    </w:p>
    <w:p w:rsidR="00E52B27" w:rsidRPr="00B718AA" w:rsidRDefault="00E52B27" w:rsidP="00E52B27">
      <w:pPr>
        <w:spacing w:line="360" w:lineRule="auto"/>
        <w:jc w:val="both"/>
      </w:pPr>
      <w:r w:rsidRPr="00B718AA">
        <w:tab/>
        <w:t xml:space="preserve">Zgodnie z dotychczasowymi doświadczeniami, dotyczącymi stosowania </w:t>
      </w:r>
      <w:r w:rsidRPr="00B718AA">
        <w:br/>
        <w:t xml:space="preserve">w drogownictwie mieszanek z kruszyw naturalnych oraz gruntów, można je zaliczyć </w:t>
      </w:r>
      <w:r w:rsidRPr="00B718AA">
        <w:br/>
        <w:t xml:space="preserve">do wyrobów budowlanych, które nie oddziaływają szkodliwie na środowisko. Większość substancji niebezpiecznych określonych w dyrektywie Rady 76/769/EWG zazwyczaj </w:t>
      </w:r>
      <w:r w:rsidRPr="00B718AA">
        <w:br/>
        <w:t xml:space="preserve">nie występuje w takich mieszankach. W przypadku stosowania w mieszankach kruszyw </w:t>
      </w:r>
      <w:r w:rsidRPr="00B718AA">
        <w:br/>
        <w:t xml:space="preserve">w stosunku do których brak jest jeszcze ustalonych zasad, np. kruszywa z recyklingu </w:t>
      </w:r>
      <w:r w:rsidRPr="00B718AA">
        <w:br/>
        <w:t xml:space="preserve">i kruszywa z pewnych odpadów przemysłowych, zaleca się zachowanie ostrożności. Przydatność takich kruszyw, jeśli jest to wymagane, może być oceniona zgodnie </w:t>
      </w:r>
      <w:r w:rsidRPr="00B718AA">
        <w:br/>
        <w:t xml:space="preserve">z wymaganiami w miejscu ich stosowania. W przypadkach wątpliwych należy uzyskać ocenę takiej mieszanki przez właściwe jednostki. </w:t>
      </w:r>
    </w:p>
    <w:p w:rsidR="00E52B27" w:rsidRPr="00B718AA" w:rsidRDefault="00E52B27" w:rsidP="00E52B27">
      <w:pPr>
        <w:spacing w:before="120" w:after="120" w:line="360" w:lineRule="auto"/>
        <w:rPr>
          <w:b/>
        </w:rPr>
      </w:pPr>
      <w:r w:rsidRPr="00B718AA">
        <w:rPr>
          <w:b/>
        </w:rPr>
        <w:t>Wymagania wobec mieszanek</w:t>
      </w:r>
    </w:p>
    <w:p w:rsidR="00E52B27" w:rsidRPr="00B718AA" w:rsidRDefault="00E52B27" w:rsidP="00E52B27">
      <w:pPr>
        <w:pStyle w:val="Bezodstpw"/>
        <w:tabs>
          <w:tab w:val="left" w:pos="1134"/>
        </w:tabs>
        <w:spacing w:line="360" w:lineRule="auto"/>
        <w:ind w:left="1134" w:hanging="1134"/>
        <w:rPr>
          <w:i/>
          <w:strike/>
          <w:sz w:val="20"/>
          <w:szCs w:val="20"/>
        </w:rPr>
      </w:pPr>
      <w:r w:rsidRPr="00B718AA">
        <w:rPr>
          <w:i/>
          <w:sz w:val="20"/>
          <w:szCs w:val="20"/>
        </w:rPr>
        <w:t>Tablica 4.</w:t>
      </w:r>
      <w:r w:rsidRPr="00B718AA">
        <w:rPr>
          <w:i/>
          <w:sz w:val="20"/>
          <w:szCs w:val="20"/>
        </w:rPr>
        <w:tab/>
        <w:t xml:space="preserve">Wymagania wobec mieszanek niezwiązanych w warstwie podbudowy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709"/>
        <w:gridCol w:w="5194"/>
      </w:tblGrid>
      <w:tr w:rsidR="00E52B27" w:rsidRPr="00B718AA" w:rsidTr="00E52B27">
        <w:tc>
          <w:tcPr>
            <w:tcW w:w="3085" w:type="dxa"/>
            <w:vMerge w:val="restart"/>
            <w:vAlign w:val="center"/>
          </w:tcPr>
          <w:p w:rsidR="00E52B27" w:rsidRPr="00B718AA" w:rsidRDefault="00E52B27" w:rsidP="00E52B27">
            <w:pPr>
              <w:pStyle w:val="Bezodstpw"/>
              <w:ind w:firstLine="0"/>
              <w:jc w:val="center"/>
              <w:rPr>
                <w:sz w:val="20"/>
                <w:szCs w:val="20"/>
              </w:rPr>
            </w:pPr>
            <w:r w:rsidRPr="00B718AA">
              <w:rPr>
                <w:sz w:val="20"/>
                <w:szCs w:val="20"/>
              </w:rPr>
              <w:t>Właściwość</w:t>
            </w:r>
          </w:p>
        </w:tc>
        <w:tc>
          <w:tcPr>
            <w:tcW w:w="5903" w:type="dxa"/>
            <w:gridSpan w:val="2"/>
          </w:tcPr>
          <w:p w:rsidR="00E52B27" w:rsidRPr="00B718AA" w:rsidRDefault="00E52B27" w:rsidP="00E52B27">
            <w:pPr>
              <w:pStyle w:val="Bezodstpw"/>
              <w:ind w:firstLine="0"/>
              <w:jc w:val="center"/>
              <w:rPr>
                <w:sz w:val="20"/>
                <w:szCs w:val="20"/>
              </w:rPr>
            </w:pPr>
            <w:r w:rsidRPr="00B718AA">
              <w:rPr>
                <w:sz w:val="20"/>
                <w:szCs w:val="20"/>
              </w:rPr>
              <w:t>Wymagania wobec  mieszanek niezwiązanych w warstwie podbudowy pod nawierzchnią drogi obciążonej ruchem kategorii</w:t>
            </w:r>
          </w:p>
          <w:p w:rsidR="00E52B27" w:rsidRPr="00B718AA" w:rsidRDefault="00E52B27" w:rsidP="00E52B27">
            <w:pPr>
              <w:pStyle w:val="Bezodstpw"/>
              <w:ind w:firstLine="0"/>
              <w:jc w:val="center"/>
              <w:rPr>
                <w:sz w:val="20"/>
                <w:szCs w:val="20"/>
              </w:rPr>
            </w:pPr>
            <w:r w:rsidRPr="00B718AA">
              <w:rPr>
                <w:sz w:val="20"/>
                <w:szCs w:val="20"/>
              </w:rPr>
              <w:t>KR1 ÷ KR6</w:t>
            </w:r>
          </w:p>
        </w:tc>
      </w:tr>
      <w:tr w:rsidR="00E52B27" w:rsidRPr="00B718AA" w:rsidTr="00E52B27">
        <w:trPr>
          <w:trHeight w:val="476"/>
        </w:trPr>
        <w:tc>
          <w:tcPr>
            <w:tcW w:w="3085" w:type="dxa"/>
            <w:vMerge/>
          </w:tcPr>
          <w:p w:rsidR="00E52B27" w:rsidRPr="00B718AA" w:rsidRDefault="00E52B27" w:rsidP="00E52B27">
            <w:pPr>
              <w:pStyle w:val="Bezodstpw"/>
              <w:ind w:firstLine="0"/>
              <w:rPr>
                <w:sz w:val="20"/>
                <w:szCs w:val="20"/>
              </w:rPr>
            </w:pPr>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Punkt</w:t>
            </w:r>
          </w:p>
          <w:p w:rsidR="00E52B27" w:rsidRPr="00B718AA" w:rsidRDefault="00E52B27" w:rsidP="00E52B27">
            <w:pPr>
              <w:pStyle w:val="Bezodstpw"/>
              <w:ind w:left="-108" w:firstLine="0"/>
              <w:jc w:val="center"/>
              <w:rPr>
                <w:sz w:val="20"/>
                <w:szCs w:val="20"/>
              </w:rPr>
            </w:pPr>
            <w:r w:rsidRPr="00B718AA">
              <w:rPr>
                <w:sz w:val="20"/>
                <w:szCs w:val="20"/>
              </w:rPr>
              <w:t>PN-EN 13285</w:t>
            </w: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Wymagania</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Uziarnienie mieszanek</w:t>
            </w:r>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4.3.1</w:t>
            </w:r>
          </w:p>
        </w:tc>
        <w:tc>
          <w:tcPr>
            <w:tcW w:w="5194" w:type="dxa"/>
          </w:tcPr>
          <w:p w:rsidR="00E52B27" w:rsidRPr="00B718AA" w:rsidRDefault="00E52B27" w:rsidP="00E52B27">
            <w:pPr>
              <w:pStyle w:val="Bezodstpw"/>
              <w:ind w:firstLine="0"/>
              <w:jc w:val="center"/>
              <w:rPr>
                <w:sz w:val="20"/>
                <w:szCs w:val="20"/>
              </w:rPr>
            </w:pPr>
            <w:r w:rsidRPr="00B718AA">
              <w:rPr>
                <w:sz w:val="20"/>
                <w:szCs w:val="20"/>
              </w:rPr>
              <w:t>0/31,5 mm</w:t>
            </w:r>
          </w:p>
        </w:tc>
      </w:tr>
      <w:tr w:rsidR="00E52B27" w:rsidRPr="00B718AA" w:rsidTr="00E52B27">
        <w:trPr>
          <w:trHeight w:val="433"/>
        </w:trPr>
        <w:tc>
          <w:tcPr>
            <w:tcW w:w="3085" w:type="dxa"/>
          </w:tcPr>
          <w:p w:rsidR="00E52B27" w:rsidRPr="00B718AA" w:rsidRDefault="00E52B27" w:rsidP="00E52B27">
            <w:pPr>
              <w:pStyle w:val="Bezodstpw"/>
              <w:ind w:firstLine="0"/>
              <w:jc w:val="left"/>
              <w:rPr>
                <w:sz w:val="20"/>
                <w:szCs w:val="20"/>
              </w:rPr>
            </w:pPr>
            <w:r w:rsidRPr="00B718AA">
              <w:rPr>
                <w:sz w:val="20"/>
                <w:szCs w:val="20"/>
              </w:rPr>
              <w:t>Maksymalna zawartość pyłów:</w:t>
            </w:r>
          </w:p>
          <w:p w:rsidR="00E52B27" w:rsidRPr="00B718AA" w:rsidRDefault="00E52B27" w:rsidP="00E52B27">
            <w:pPr>
              <w:pStyle w:val="Bezodstpw"/>
              <w:ind w:firstLine="0"/>
              <w:jc w:val="left"/>
              <w:rPr>
                <w:sz w:val="20"/>
                <w:szCs w:val="20"/>
              </w:rPr>
            </w:pPr>
            <w:proofErr w:type="spellStart"/>
            <w:r w:rsidRPr="00B718AA">
              <w:rPr>
                <w:sz w:val="20"/>
                <w:szCs w:val="20"/>
              </w:rPr>
              <w:t>Kat.UF</w:t>
            </w:r>
            <w:proofErr w:type="spellEnd"/>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4.3.2</w:t>
            </w: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UF</w:t>
            </w:r>
            <w:r w:rsidRPr="00B718AA">
              <w:rPr>
                <w:sz w:val="20"/>
                <w:szCs w:val="20"/>
                <w:vertAlign w:val="subscript"/>
              </w:rPr>
              <w:t>9</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Minimalna zawartość pyłów:</w:t>
            </w:r>
          </w:p>
          <w:p w:rsidR="00E52B27" w:rsidRPr="00B718AA" w:rsidRDefault="00E52B27" w:rsidP="00E52B27">
            <w:pPr>
              <w:pStyle w:val="Bezodstpw"/>
              <w:ind w:firstLine="0"/>
              <w:jc w:val="left"/>
              <w:rPr>
                <w:sz w:val="20"/>
                <w:szCs w:val="20"/>
              </w:rPr>
            </w:pPr>
            <w:r w:rsidRPr="00B718AA">
              <w:rPr>
                <w:sz w:val="20"/>
                <w:szCs w:val="20"/>
              </w:rPr>
              <w:t xml:space="preserve">Kat. LF </w:t>
            </w:r>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4.3.2</w:t>
            </w: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LF</w:t>
            </w:r>
            <w:r w:rsidRPr="00B718AA">
              <w:rPr>
                <w:sz w:val="20"/>
                <w:szCs w:val="20"/>
                <w:vertAlign w:val="subscript"/>
              </w:rPr>
              <w:t>NR</w:t>
            </w:r>
          </w:p>
        </w:tc>
      </w:tr>
      <w:tr w:rsidR="00E52B27" w:rsidRPr="00B718AA" w:rsidTr="00E52B27">
        <w:trPr>
          <w:trHeight w:val="671"/>
        </w:trPr>
        <w:tc>
          <w:tcPr>
            <w:tcW w:w="3085" w:type="dxa"/>
          </w:tcPr>
          <w:p w:rsidR="00E52B27" w:rsidRPr="00B718AA" w:rsidRDefault="00E52B27" w:rsidP="00E52B27">
            <w:pPr>
              <w:pStyle w:val="Bezodstpw"/>
              <w:ind w:firstLine="0"/>
              <w:jc w:val="left"/>
              <w:rPr>
                <w:sz w:val="20"/>
                <w:szCs w:val="20"/>
              </w:rPr>
            </w:pPr>
            <w:r w:rsidRPr="00B718AA">
              <w:rPr>
                <w:sz w:val="20"/>
                <w:szCs w:val="20"/>
              </w:rPr>
              <w:t>Zawartość nadziarna:</w:t>
            </w:r>
          </w:p>
          <w:p w:rsidR="00E52B27" w:rsidRPr="00B718AA" w:rsidRDefault="00E52B27" w:rsidP="00E52B27">
            <w:pPr>
              <w:pStyle w:val="Bezodstpw"/>
              <w:ind w:firstLine="0"/>
              <w:jc w:val="left"/>
              <w:rPr>
                <w:sz w:val="20"/>
                <w:szCs w:val="20"/>
              </w:rPr>
            </w:pPr>
            <w:proofErr w:type="spellStart"/>
            <w:r w:rsidRPr="00B718AA">
              <w:rPr>
                <w:sz w:val="20"/>
                <w:szCs w:val="20"/>
              </w:rPr>
              <w:t>Kat.OC</w:t>
            </w:r>
            <w:proofErr w:type="spellEnd"/>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4.3.3</w:t>
            </w:r>
          </w:p>
        </w:tc>
        <w:tc>
          <w:tcPr>
            <w:tcW w:w="5194" w:type="dxa"/>
          </w:tcPr>
          <w:p w:rsidR="00E52B27" w:rsidRPr="00B718AA" w:rsidRDefault="00E52B27" w:rsidP="00E52B27">
            <w:pPr>
              <w:pStyle w:val="Bezodstpw"/>
              <w:ind w:firstLine="0"/>
              <w:rPr>
                <w:sz w:val="20"/>
                <w:szCs w:val="20"/>
              </w:rPr>
            </w:pPr>
            <w:r w:rsidRPr="00B718AA">
              <w:rPr>
                <w:sz w:val="20"/>
                <w:szCs w:val="20"/>
              </w:rPr>
              <w:t>OC</w:t>
            </w:r>
            <w:r w:rsidRPr="00B718AA">
              <w:rPr>
                <w:sz w:val="20"/>
                <w:szCs w:val="20"/>
                <w:vertAlign w:val="subscript"/>
              </w:rPr>
              <w:t>90</w:t>
            </w:r>
            <w:r w:rsidRPr="00B718AA">
              <w:rPr>
                <w:sz w:val="20"/>
                <w:szCs w:val="20"/>
              </w:rPr>
              <w:t xml:space="preserve"> (tj. procent przechodzącej masy przez sito 1,4D</w:t>
            </w:r>
            <w:r w:rsidRPr="00B718AA">
              <w:rPr>
                <w:sz w:val="20"/>
                <w:szCs w:val="20"/>
                <w:vertAlign w:val="superscript"/>
              </w:rPr>
              <w:t>*)</w:t>
            </w:r>
            <w:r w:rsidRPr="00B718AA">
              <w:rPr>
                <w:sz w:val="20"/>
                <w:szCs w:val="20"/>
              </w:rPr>
              <w:t xml:space="preserve"> powinien wynosić 100%, a przechodzącej przez sito D</w:t>
            </w:r>
            <w:r w:rsidRPr="00B718AA">
              <w:rPr>
                <w:sz w:val="20"/>
                <w:szCs w:val="20"/>
                <w:vertAlign w:val="superscript"/>
              </w:rPr>
              <w:t>**)</w:t>
            </w:r>
            <w:r w:rsidRPr="00B718AA">
              <w:rPr>
                <w:sz w:val="20"/>
                <w:szCs w:val="20"/>
              </w:rPr>
              <w:t xml:space="preserve"> powinien wynosić 90-99%)</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Wymagania wobec uziarnienia</w:t>
            </w:r>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4.4.1</w:t>
            </w: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Krzywe graniczne uziarnienia według rys. 1</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Wymagania wobec jednorodności uziarnienia poszczególnych partii – porównanie z deklarowaną przez producenta wartością (S)</w:t>
            </w:r>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4.4.2</w:t>
            </w: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Wg tab. 2</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lastRenderedPageBreak/>
              <w:t>Wymagania wobec jednorodności uziarnienia na sitach kontrolnych – różnice w przesiewach</w:t>
            </w:r>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4.4.2</w:t>
            </w: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Wg tab. 3</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Wrażliwość na mróz; wskaźnik piaskowy SE</w:t>
            </w:r>
            <w:r w:rsidRPr="00B718AA">
              <w:rPr>
                <w:sz w:val="20"/>
                <w:szCs w:val="20"/>
                <w:vertAlign w:val="superscript"/>
              </w:rPr>
              <w:t>***)</w:t>
            </w:r>
            <w:r w:rsidRPr="00B718AA">
              <w:rPr>
                <w:sz w:val="20"/>
                <w:szCs w:val="20"/>
              </w:rPr>
              <w:t>, co najmniej</w:t>
            </w:r>
          </w:p>
        </w:tc>
        <w:tc>
          <w:tcPr>
            <w:tcW w:w="709" w:type="dxa"/>
            <w:vAlign w:val="center"/>
          </w:tcPr>
          <w:p w:rsidR="00E52B27" w:rsidRPr="00B718AA" w:rsidRDefault="00E52B27" w:rsidP="00E52B27">
            <w:pPr>
              <w:pStyle w:val="Bezodstpw"/>
              <w:ind w:left="-108" w:firstLine="0"/>
              <w:jc w:val="center"/>
              <w:rPr>
                <w:sz w:val="20"/>
                <w:szCs w:val="20"/>
              </w:rPr>
            </w:pPr>
            <w:r w:rsidRPr="00B718AA">
              <w:rPr>
                <w:sz w:val="20"/>
                <w:szCs w:val="20"/>
              </w:rPr>
              <w:t>4.5</w:t>
            </w: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45</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Odporność na rozdrabnianie (dotyczy frakcji 10/14 mm odsianej z mieszanki) wg PN-EN 1097-2 [6], kat. nie wyższa niż</w:t>
            </w:r>
          </w:p>
        </w:tc>
        <w:tc>
          <w:tcPr>
            <w:tcW w:w="709" w:type="dxa"/>
            <w:vAlign w:val="center"/>
          </w:tcPr>
          <w:p w:rsidR="00E52B27" w:rsidRPr="00B718AA" w:rsidRDefault="00E52B27" w:rsidP="00E52B27">
            <w:pPr>
              <w:pStyle w:val="Bezodstpw"/>
              <w:ind w:firstLine="0"/>
              <w:jc w:val="center"/>
              <w:rPr>
                <w:sz w:val="20"/>
                <w:szCs w:val="20"/>
              </w:rPr>
            </w:pPr>
          </w:p>
        </w:tc>
        <w:tc>
          <w:tcPr>
            <w:tcW w:w="5194" w:type="dxa"/>
            <w:vAlign w:val="center"/>
          </w:tcPr>
          <w:p w:rsidR="00E52B27" w:rsidRPr="00B718AA" w:rsidRDefault="00E52B27" w:rsidP="00E52B27">
            <w:pPr>
              <w:pStyle w:val="Bezodstpw"/>
              <w:ind w:firstLine="0"/>
              <w:jc w:val="center"/>
              <w:rPr>
                <w:sz w:val="20"/>
                <w:szCs w:val="20"/>
              </w:rPr>
            </w:pPr>
            <w:r w:rsidRPr="00B718AA">
              <w:rPr>
                <w:i/>
                <w:sz w:val="20"/>
                <w:szCs w:val="20"/>
              </w:rPr>
              <w:t>LA</w:t>
            </w:r>
            <w:r w:rsidRPr="00B718AA">
              <w:rPr>
                <w:sz w:val="20"/>
                <w:szCs w:val="20"/>
                <w:vertAlign w:val="subscript"/>
              </w:rPr>
              <w:t>35</w:t>
            </w:r>
          </w:p>
        </w:tc>
      </w:tr>
      <w:tr w:rsidR="00E52B27" w:rsidRPr="00B718AA" w:rsidTr="00E52B27">
        <w:tc>
          <w:tcPr>
            <w:tcW w:w="3085" w:type="dxa"/>
          </w:tcPr>
          <w:p w:rsidR="00E52B27" w:rsidRPr="00B718AA" w:rsidRDefault="00E52B27" w:rsidP="00E52B27">
            <w:pPr>
              <w:pStyle w:val="Bezodstpw"/>
              <w:ind w:firstLine="0"/>
              <w:jc w:val="left"/>
              <w:rPr>
                <w:sz w:val="20"/>
                <w:szCs w:val="20"/>
                <w:vertAlign w:val="subscript"/>
              </w:rPr>
            </w:pPr>
            <w:r w:rsidRPr="00B718AA">
              <w:rPr>
                <w:sz w:val="20"/>
                <w:szCs w:val="20"/>
              </w:rPr>
              <w:t>Odporność na ścieranie (dotyczy frakcji 10/14 mm odsianej z mieszanki) wg PN-EN 1097-1 [5], kat. M</w:t>
            </w:r>
            <w:r w:rsidRPr="00B718AA">
              <w:rPr>
                <w:sz w:val="20"/>
                <w:szCs w:val="20"/>
                <w:vertAlign w:val="subscript"/>
              </w:rPr>
              <w:t>DE</w:t>
            </w:r>
          </w:p>
        </w:tc>
        <w:tc>
          <w:tcPr>
            <w:tcW w:w="709" w:type="dxa"/>
          </w:tcPr>
          <w:p w:rsidR="00E52B27" w:rsidRPr="00B718AA" w:rsidRDefault="00E52B27" w:rsidP="00E52B27">
            <w:pPr>
              <w:pStyle w:val="Bezodstpw"/>
              <w:ind w:firstLine="0"/>
              <w:rPr>
                <w:sz w:val="20"/>
                <w:szCs w:val="20"/>
              </w:rPr>
            </w:pP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Deklarowana</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Mrozoodporność (dotyczy frakcji kruszywa 8/16 mm odsianej z mieszanki) wg PN-EN 1367-1 [8]</w:t>
            </w:r>
          </w:p>
        </w:tc>
        <w:tc>
          <w:tcPr>
            <w:tcW w:w="709" w:type="dxa"/>
          </w:tcPr>
          <w:p w:rsidR="00E52B27" w:rsidRPr="00B718AA" w:rsidRDefault="00E52B27" w:rsidP="00E52B27">
            <w:pPr>
              <w:pStyle w:val="Bezodstpw"/>
              <w:ind w:firstLine="0"/>
              <w:rPr>
                <w:sz w:val="20"/>
                <w:szCs w:val="20"/>
              </w:rPr>
            </w:pPr>
          </w:p>
        </w:tc>
        <w:tc>
          <w:tcPr>
            <w:tcW w:w="5194" w:type="dxa"/>
            <w:vAlign w:val="center"/>
          </w:tcPr>
          <w:p w:rsidR="00E52B27" w:rsidRPr="00B718AA" w:rsidRDefault="00E52B27" w:rsidP="00E52B27">
            <w:pPr>
              <w:pStyle w:val="Bezodstpw"/>
              <w:ind w:firstLine="0"/>
              <w:jc w:val="center"/>
              <w:rPr>
                <w:sz w:val="20"/>
                <w:szCs w:val="20"/>
              </w:rPr>
            </w:pPr>
            <w:r w:rsidRPr="00B718AA">
              <w:rPr>
                <w:i/>
                <w:sz w:val="20"/>
                <w:szCs w:val="20"/>
              </w:rPr>
              <w:t>F</w:t>
            </w:r>
            <w:r w:rsidRPr="00B718AA">
              <w:rPr>
                <w:sz w:val="20"/>
                <w:szCs w:val="20"/>
                <w:vertAlign w:val="subscript"/>
              </w:rPr>
              <w:t>4</w:t>
            </w:r>
            <w:r w:rsidRPr="00B718AA">
              <w:rPr>
                <w:sz w:val="20"/>
                <w:szCs w:val="20"/>
              </w:rPr>
              <w:t xml:space="preserve">  </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Wartość CBR po zagęszczeniu do wskaźnika zagęszczenia</w:t>
            </w:r>
          </w:p>
          <w:p w:rsidR="00E52B27" w:rsidRPr="00B718AA" w:rsidRDefault="00E52B27" w:rsidP="002122BD">
            <w:pPr>
              <w:pStyle w:val="Bezodstpw"/>
              <w:numPr>
                <w:ilvl w:val="0"/>
                <w:numId w:val="21"/>
              </w:numPr>
              <w:ind w:left="426"/>
              <w:jc w:val="left"/>
              <w:rPr>
                <w:sz w:val="20"/>
                <w:szCs w:val="20"/>
              </w:rPr>
            </w:pPr>
            <w:r w:rsidRPr="00B718AA">
              <w:rPr>
                <w:sz w:val="20"/>
                <w:szCs w:val="20"/>
              </w:rPr>
              <w:t>I</w:t>
            </w:r>
            <w:r w:rsidRPr="00B718AA">
              <w:rPr>
                <w:sz w:val="20"/>
                <w:szCs w:val="20"/>
                <w:vertAlign w:val="subscript"/>
              </w:rPr>
              <w:t>S</w:t>
            </w:r>
            <w:r w:rsidRPr="00B718AA">
              <w:rPr>
                <w:sz w:val="20"/>
                <w:szCs w:val="20"/>
              </w:rPr>
              <w:t>=1,03 i moczeniu w wodzie 96 h, co najmniej</w:t>
            </w:r>
          </w:p>
        </w:tc>
        <w:tc>
          <w:tcPr>
            <w:tcW w:w="709" w:type="dxa"/>
          </w:tcPr>
          <w:p w:rsidR="00E52B27" w:rsidRPr="00B718AA" w:rsidRDefault="00E52B27" w:rsidP="00E52B27">
            <w:pPr>
              <w:pStyle w:val="Bezodstpw"/>
              <w:ind w:firstLine="0"/>
              <w:rPr>
                <w:sz w:val="20"/>
                <w:szCs w:val="20"/>
              </w:rPr>
            </w:pP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 120</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 xml:space="preserve">Zawartość wody w mieszance zagęszczanej; % (m/m) wilgotności optymalnej wg metody </w:t>
            </w:r>
            <w:proofErr w:type="spellStart"/>
            <w:r w:rsidRPr="00B718AA">
              <w:rPr>
                <w:sz w:val="20"/>
                <w:szCs w:val="20"/>
              </w:rPr>
              <w:t>Proctora</w:t>
            </w:r>
            <w:proofErr w:type="spellEnd"/>
          </w:p>
        </w:tc>
        <w:tc>
          <w:tcPr>
            <w:tcW w:w="709" w:type="dxa"/>
          </w:tcPr>
          <w:p w:rsidR="00E52B27" w:rsidRPr="00B718AA" w:rsidRDefault="00E52B27" w:rsidP="00E52B27">
            <w:pPr>
              <w:pStyle w:val="Bezodstpw"/>
              <w:ind w:firstLine="0"/>
              <w:rPr>
                <w:sz w:val="20"/>
                <w:szCs w:val="20"/>
              </w:rPr>
            </w:pPr>
          </w:p>
        </w:tc>
        <w:tc>
          <w:tcPr>
            <w:tcW w:w="5194" w:type="dxa"/>
            <w:vAlign w:val="center"/>
          </w:tcPr>
          <w:p w:rsidR="00E52B27" w:rsidRPr="00B718AA" w:rsidRDefault="00E52B27" w:rsidP="00E52B27">
            <w:pPr>
              <w:pStyle w:val="Bezodstpw"/>
              <w:ind w:firstLine="0"/>
              <w:jc w:val="center"/>
              <w:rPr>
                <w:sz w:val="20"/>
                <w:szCs w:val="20"/>
              </w:rPr>
            </w:pPr>
            <w:r w:rsidRPr="00B718AA">
              <w:rPr>
                <w:sz w:val="20"/>
                <w:szCs w:val="20"/>
              </w:rPr>
              <w:t>80-100</w:t>
            </w:r>
          </w:p>
        </w:tc>
      </w:tr>
      <w:tr w:rsidR="00E52B27" w:rsidRPr="00B718AA" w:rsidTr="00E52B27">
        <w:tc>
          <w:tcPr>
            <w:tcW w:w="3085" w:type="dxa"/>
          </w:tcPr>
          <w:p w:rsidR="00E52B27" w:rsidRPr="00B718AA" w:rsidRDefault="00E52B27" w:rsidP="00E52B27">
            <w:pPr>
              <w:pStyle w:val="Bezodstpw"/>
              <w:ind w:firstLine="0"/>
              <w:jc w:val="left"/>
              <w:rPr>
                <w:sz w:val="20"/>
                <w:szCs w:val="20"/>
              </w:rPr>
            </w:pPr>
            <w:r w:rsidRPr="00B718AA">
              <w:rPr>
                <w:sz w:val="20"/>
                <w:szCs w:val="20"/>
              </w:rPr>
              <w:t>Inne cechy środowiskowe</w:t>
            </w:r>
          </w:p>
        </w:tc>
        <w:tc>
          <w:tcPr>
            <w:tcW w:w="709" w:type="dxa"/>
            <w:vAlign w:val="center"/>
          </w:tcPr>
          <w:p w:rsidR="00E52B27" w:rsidRPr="00B718AA" w:rsidRDefault="00E52B27" w:rsidP="00E52B27">
            <w:pPr>
              <w:pStyle w:val="Bezodstpw"/>
              <w:ind w:firstLine="0"/>
              <w:jc w:val="center"/>
              <w:rPr>
                <w:sz w:val="20"/>
                <w:szCs w:val="20"/>
              </w:rPr>
            </w:pPr>
            <w:r w:rsidRPr="00B718AA">
              <w:rPr>
                <w:sz w:val="20"/>
                <w:szCs w:val="20"/>
              </w:rPr>
              <w:t>4.5</w:t>
            </w:r>
          </w:p>
        </w:tc>
        <w:tc>
          <w:tcPr>
            <w:tcW w:w="5194" w:type="dxa"/>
          </w:tcPr>
          <w:p w:rsidR="00E52B27" w:rsidRPr="00B718AA" w:rsidRDefault="00E52B27" w:rsidP="00E52B27">
            <w:pPr>
              <w:pStyle w:val="Bezodstpw"/>
              <w:ind w:firstLine="0"/>
              <w:rPr>
                <w:sz w:val="20"/>
                <w:szCs w:val="20"/>
              </w:rPr>
            </w:pPr>
            <w:r w:rsidRPr="00B718AA">
              <w:rPr>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52B27" w:rsidRPr="00B718AA" w:rsidRDefault="00E52B27" w:rsidP="00E52B27">
      <w:pPr>
        <w:spacing w:line="360" w:lineRule="auto"/>
        <w:ind w:left="284" w:hanging="284"/>
        <w:jc w:val="both"/>
      </w:pPr>
      <w:r w:rsidRPr="00B718AA">
        <w:rPr>
          <w:vertAlign w:val="superscript"/>
        </w:rPr>
        <w:t>*)</w:t>
      </w:r>
      <w:r w:rsidRPr="00B718AA">
        <w:t xml:space="preserve">  Gdy wartości obliczone z 1,4D oraz d/2 nie są dokładnymi wymiarami sit serii ISO 565/R20, należy przyjąć następny niższy wymiar sita.</w:t>
      </w:r>
    </w:p>
    <w:p w:rsidR="00E52B27" w:rsidRPr="00B718AA" w:rsidRDefault="00E52B27" w:rsidP="00E52B27">
      <w:pPr>
        <w:spacing w:line="360" w:lineRule="auto"/>
        <w:ind w:left="284" w:hanging="284"/>
        <w:jc w:val="both"/>
      </w:pPr>
      <w:r w:rsidRPr="00B718AA">
        <w:rPr>
          <w:vertAlign w:val="superscript"/>
        </w:rPr>
        <w:t>**)</w:t>
      </w:r>
      <w:r w:rsidRPr="00B718AA">
        <w:t xml:space="preserve"> Procentowa zawartość ziaren przechodzących przez sito D może być większa niż 99% masy, ale w takich przypadkach dostawca powinien zadeklarować typowe uziarnienie.</w:t>
      </w:r>
    </w:p>
    <w:p w:rsidR="00E52B27" w:rsidRPr="00B718AA" w:rsidRDefault="00E52B27" w:rsidP="00E52B27">
      <w:pPr>
        <w:spacing w:line="360" w:lineRule="auto"/>
        <w:ind w:left="284" w:hanging="284"/>
        <w:jc w:val="both"/>
      </w:pPr>
      <w:r w:rsidRPr="00B718AA">
        <w:rPr>
          <w:vertAlign w:val="superscript"/>
        </w:rPr>
        <w:t xml:space="preserve">***) </w:t>
      </w:r>
      <w:r w:rsidRPr="00B718AA">
        <w:t xml:space="preserve">Badanie wskaźnika piaskowego SE należy wykonać na mieszance po pięciokrotnym zagęszczeniu metodą </w:t>
      </w:r>
      <w:proofErr w:type="spellStart"/>
      <w:r w:rsidRPr="00B718AA">
        <w:t>Proctora</w:t>
      </w:r>
      <w:proofErr w:type="spellEnd"/>
      <w:r w:rsidRPr="00B718AA">
        <w:t xml:space="preserve"> wg PN-EN 13286-2 [14].</w:t>
      </w:r>
    </w:p>
    <w:p w:rsidR="00E52B27" w:rsidRPr="00B718AA" w:rsidRDefault="00E52B27" w:rsidP="00E52B27">
      <w:pPr>
        <w:pStyle w:val="Nagwek2"/>
        <w:spacing w:line="360" w:lineRule="auto"/>
        <w:rPr>
          <w:i/>
        </w:rPr>
      </w:pPr>
      <w:r w:rsidRPr="00B718AA">
        <w:t xml:space="preserve">5.5. Wytwarzanie mieszanki kruszywa na warstwę podbudowy </w:t>
      </w:r>
    </w:p>
    <w:p w:rsidR="00E52B27" w:rsidRPr="00B718AA" w:rsidRDefault="00E52B27" w:rsidP="00E52B27">
      <w:pPr>
        <w:spacing w:line="360" w:lineRule="auto"/>
        <w:ind w:firstLine="709"/>
        <w:jc w:val="both"/>
      </w:pPr>
      <w:r w:rsidRPr="00B718AA">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rsidR="00E52B27" w:rsidRPr="00B718AA" w:rsidRDefault="00E52B27" w:rsidP="00E52B27">
      <w:pPr>
        <w:spacing w:line="360" w:lineRule="auto"/>
        <w:jc w:val="both"/>
      </w:pPr>
      <w:r w:rsidRPr="00B718AA">
        <w:tab/>
        <w:t>Ze względu na konieczność zapewnienia mieszance jednorodności nie zaleca się wytwarzania mieszanki przez mieszanie poszczególnych frakcji kruszywa na drodze.</w:t>
      </w:r>
    </w:p>
    <w:p w:rsidR="00E52B27" w:rsidRPr="00B718AA" w:rsidRDefault="00E52B27" w:rsidP="00E52B27">
      <w:pPr>
        <w:spacing w:after="240" w:line="360" w:lineRule="auto"/>
        <w:jc w:val="both"/>
      </w:pPr>
      <w:r w:rsidRPr="00B718AA">
        <w:tab/>
        <w:t xml:space="preserve">Przy produkcji mieszanki kruszywa należy prowadzić zakładową kontrolę produkcji mieszanek niezwiązanych, zgodnie z  WT-4 [23] załącznik C, a przy dostarczaniu mieszanki przez producenta/dostawcę należy stosować się do zasad deklarowania w odniesieniu </w:t>
      </w:r>
      <w:r w:rsidRPr="00B718AA">
        <w:br/>
        <w:t>do zakresu uziarnienia podanych w WT-4 [23] załącznik B.</w:t>
      </w:r>
      <w:bookmarkStart w:id="87" w:name="_Toc316558703"/>
    </w:p>
    <w:p w:rsidR="00E52B27" w:rsidRPr="00B718AA" w:rsidRDefault="00E52B27" w:rsidP="00E52B27">
      <w:pPr>
        <w:rPr>
          <w:bCs/>
          <w:i/>
        </w:rPr>
      </w:pPr>
    </w:p>
    <w:p w:rsidR="00E52B27" w:rsidRPr="00B718AA" w:rsidRDefault="00E52B27" w:rsidP="00E52B27">
      <w:pPr>
        <w:pStyle w:val="Nagwek2"/>
        <w:spacing w:before="0" w:after="0" w:line="360" w:lineRule="auto"/>
        <w:rPr>
          <w:bCs/>
          <w:i/>
        </w:rPr>
      </w:pPr>
      <w:bookmarkStart w:id="88" w:name="_Toc316558704"/>
      <w:bookmarkEnd w:id="87"/>
      <w:r w:rsidRPr="00B718AA">
        <w:t>5.6. Wbudowywanie i zagęszczanie mieszanki</w:t>
      </w:r>
      <w:bookmarkEnd w:id="88"/>
    </w:p>
    <w:p w:rsidR="00E52B27" w:rsidRPr="00B718AA" w:rsidRDefault="00E52B27" w:rsidP="00E52B27">
      <w:pPr>
        <w:spacing w:line="360" w:lineRule="auto"/>
        <w:jc w:val="both"/>
      </w:pPr>
      <w:r w:rsidRPr="00B718AA">
        <w:tab/>
        <w:t xml:space="preserve">Mieszanka kruszywa niezwiązanego po wyprodukowaniu powinna być od razu transportowana na miejsce wbudowania w taki sposób, aby nie uległa rozsegregowaniu </w:t>
      </w:r>
      <w:r w:rsidRPr="00B718AA">
        <w:br/>
      </w:r>
      <w:r w:rsidRPr="00B718AA">
        <w:lastRenderedPageBreak/>
        <w:t xml:space="preserve">i wysychaniu. Zaleca się w tym celu korzystanie z transportu samochodowego </w:t>
      </w:r>
      <w:r w:rsidRPr="00B718AA">
        <w:br/>
        <w:t>z zabezpieczoną (przykrytą) skrzynią ładunkową.</w:t>
      </w:r>
      <w:r w:rsidRPr="00B718AA">
        <w:tab/>
      </w:r>
    </w:p>
    <w:p w:rsidR="00E52B27" w:rsidRPr="00B718AA" w:rsidRDefault="00E52B27" w:rsidP="00E52B27">
      <w:pPr>
        <w:spacing w:line="360" w:lineRule="auto"/>
        <w:jc w:val="both"/>
      </w:pPr>
      <w:r w:rsidRPr="00B718AA">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B718AA">
          <w:t>20 cm</w:t>
        </w:r>
      </w:smartTag>
      <w:r w:rsidRPr="00B718AA">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w:t>
      </w:r>
      <w:r w:rsidRPr="00B718AA">
        <w:br/>
        <w:t>i zagęszczona z zachowaniem wymaganych spadków i rzędnych wysokościowych. Rozpoczęcie budowy każdej następnej warstwy może nastąpić po odbiorze poprzedniej warstwy przez Inspektora Nadzoru.</w:t>
      </w:r>
    </w:p>
    <w:p w:rsidR="00E52B27" w:rsidRPr="00B718AA" w:rsidRDefault="00E52B27" w:rsidP="00E52B27">
      <w:pPr>
        <w:spacing w:line="360" w:lineRule="auto"/>
        <w:jc w:val="both"/>
      </w:pPr>
      <w:r w:rsidRPr="00B718AA">
        <w:tab/>
        <w:t xml:space="preserve">Wilgotność mieszanki kruszywa podczas zagęszczania powinna odpowiadać wilgotności optymalnej, określonej według próby </w:t>
      </w:r>
      <w:proofErr w:type="spellStart"/>
      <w:r w:rsidRPr="00B718AA">
        <w:t>Proctora</w:t>
      </w:r>
      <w:proofErr w:type="spellEnd"/>
      <w:r w:rsidRPr="00B718AA">
        <w:t xml:space="preserve">, zgodnie z PN-B-04481 [18]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w:t>
      </w:r>
      <w:r w:rsidRPr="00B718AA">
        <w:br/>
        <w:t>od optymalnej o 10% jej wartości, mieszankę należy osuszyć.</w:t>
      </w:r>
    </w:p>
    <w:p w:rsidR="00E52B27" w:rsidRPr="00B718AA" w:rsidRDefault="00E52B27" w:rsidP="00E52B27">
      <w:pPr>
        <w:spacing w:line="360" w:lineRule="auto"/>
        <w:jc w:val="both"/>
      </w:pPr>
      <w:r w:rsidRPr="00B718AA">
        <w:tab/>
        <w:t>Wskaźnik zagęszczenia podbudowy wg BN-77/8931-12 [22] powinien odpowiadać przyjętemu poziomowi wskaźnika nośności podbudowy wg tablicy 7.</w:t>
      </w:r>
    </w:p>
    <w:p w:rsidR="00E52B27" w:rsidRPr="00B718AA" w:rsidRDefault="00E52B27" w:rsidP="00E52B27">
      <w:pPr>
        <w:spacing w:line="360" w:lineRule="auto"/>
        <w:jc w:val="both"/>
      </w:pPr>
    </w:p>
    <w:p w:rsidR="00E52B27" w:rsidRPr="00B718AA" w:rsidRDefault="00E52B27" w:rsidP="00E52B27">
      <w:pPr>
        <w:pStyle w:val="Nagwek2"/>
        <w:spacing w:before="0" w:after="0" w:line="360" w:lineRule="auto"/>
        <w:rPr>
          <w:bCs/>
          <w:i/>
        </w:rPr>
      </w:pPr>
      <w:bookmarkStart w:id="89" w:name="_Toc316558705"/>
      <w:r w:rsidRPr="00B718AA">
        <w:t>5.7. Utrzymanie podbudowy</w:t>
      </w:r>
      <w:bookmarkEnd w:id="89"/>
      <w:r w:rsidRPr="00B718AA">
        <w:t xml:space="preserve"> </w:t>
      </w:r>
    </w:p>
    <w:p w:rsidR="00E52B27" w:rsidRPr="00B718AA" w:rsidRDefault="00E52B27" w:rsidP="00E52B27">
      <w:pPr>
        <w:spacing w:line="360" w:lineRule="auto"/>
        <w:jc w:val="both"/>
      </w:pPr>
      <w:r w:rsidRPr="00B718AA">
        <w:tab/>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E52B27" w:rsidRPr="00B718AA" w:rsidRDefault="00E52B27" w:rsidP="00E52B27">
      <w:pPr>
        <w:pStyle w:val="Nagwek1"/>
        <w:spacing w:line="360" w:lineRule="auto"/>
      </w:pPr>
    </w:p>
    <w:p w:rsidR="00E52B27" w:rsidRPr="00B718AA" w:rsidRDefault="00E52B27" w:rsidP="00E52B27">
      <w:pPr>
        <w:pStyle w:val="Nagwek1"/>
        <w:spacing w:after="240" w:line="360" w:lineRule="auto"/>
      </w:pPr>
      <w:bookmarkStart w:id="90" w:name="_Toc316558706"/>
      <w:r w:rsidRPr="00B718AA">
        <w:t>6. KONTROLA JAKOŚCI ROBÓT</w:t>
      </w:r>
      <w:bookmarkEnd w:id="90"/>
    </w:p>
    <w:p w:rsidR="00E52B27" w:rsidRPr="00B718AA" w:rsidRDefault="00E52B27" w:rsidP="00E52B27">
      <w:pPr>
        <w:pStyle w:val="Nagwek2"/>
        <w:spacing w:before="0" w:after="0" w:line="360" w:lineRule="auto"/>
        <w:rPr>
          <w:bCs/>
          <w:i/>
        </w:rPr>
      </w:pPr>
      <w:bookmarkStart w:id="91" w:name="_Toc316558707"/>
      <w:r w:rsidRPr="00B718AA">
        <w:t>6.1. Ogólne zasady kontroli jakości robót</w:t>
      </w:r>
      <w:bookmarkEnd w:id="91"/>
    </w:p>
    <w:p w:rsidR="00E52B27" w:rsidRPr="00B718AA" w:rsidRDefault="00E52B27" w:rsidP="00E52B27">
      <w:pPr>
        <w:spacing w:line="360" w:lineRule="auto"/>
        <w:jc w:val="both"/>
      </w:pPr>
      <w:r w:rsidRPr="00B718AA">
        <w:tab/>
        <w:t>Ogólne zasady kontroli jakości robót podano w SST D-M-00.00.00 „Wymagania ogólne” pkt 6.</w:t>
      </w:r>
    </w:p>
    <w:p w:rsidR="00E52B27" w:rsidRPr="00B718AA" w:rsidRDefault="00E52B27" w:rsidP="00E52B27">
      <w:pPr>
        <w:spacing w:line="360" w:lineRule="auto"/>
        <w:jc w:val="both"/>
      </w:pPr>
    </w:p>
    <w:p w:rsidR="00E52B27" w:rsidRPr="00B718AA" w:rsidRDefault="00E52B27" w:rsidP="00E52B27">
      <w:pPr>
        <w:pStyle w:val="Nagwek2"/>
        <w:spacing w:before="0" w:after="0" w:line="360" w:lineRule="auto"/>
        <w:rPr>
          <w:bCs/>
          <w:i/>
        </w:rPr>
      </w:pPr>
      <w:bookmarkStart w:id="92" w:name="_Toc316558708"/>
      <w:r w:rsidRPr="00B718AA">
        <w:t>6.2. Badania przed przystąpieniem do robót</w:t>
      </w:r>
      <w:bookmarkEnd w:id="92"/>
    </w:p>
    <w:p w:rsidR="00E52B27" w:rsidRPr="00B718AA" w:rsidRDefault="00E52B27" w:rsidP="00E52B27">
      <w:pPr>
        <w:numPr>
          <w:ilvl w:val="12"/>
          <w:numId w:val="0"/>
        </w:numPr>
        <w:spacing w:line="360" w:lineRule="auto"/>
        <w:jc w:val="both"/>
      </w:pPr>
      <w:r w:rsidRPr="00B718AA">
        <w:t>Przed przystąpieniem do robót Wykonawca powinien:</w:t>
      </w:r>
    </w:p>
    <w:p w:rsidR="00E52B27" w:rsidRPr="00B718AA" w:rsidRDefault="00E52B27" w:rsidP="00E52B27">
      <w:pPr>
        <w:numPr>
          <w:ilvl w:val="0"/>
          <w:numId w:val="1"/>
        </w:numPr>
        <w:overflowPunct w:val="0"/>
        <w:autoSpaceDE w:val="0"/>
        <w:autoSpaceDN w:val="0"/>
        <w:adjustRightInd w:val="0"/>
        <w:spacing w:line="360" w:lineRule="auto"/>
        <w:jc w:val="both"/>
        <w:textAlignment w:val="baseline"/>
      </w:pPr>
      <w:r w:rsidRPr="00B718AA">
        <w:t xml:space="preserve">uzyskać wymagane dokumenty, dopuszczające wyroby budowlane do obrotu </w:t>
      </w:r>
      <w:r w:rsidRPr="00B718AA">
        <w:br/>
        <w:t xml:space="preserve">i powszechnego stosowania (np. stwierdzenie o oznakowaniu materiału znakiem CE </w:t>
      </w:r>
      <w:r w:rsidRPr="00B718AA">
        <w:br/>
        <w:t>lub znakiem budowlanym B, certyfikat zgodności, deklarację zgodności, aprobatę techniczną, ew. badania materiałów wykonane przez dostawców itp.),</w:t>
      </w:r>
    </w:p>
    <w:p w:rsidR="00E52B27" w:rsidRPr="00B718AA" w:rsidRDefault="00E52B27" w:rsidP="00E52B27">
      <w:pPr>
        <w:numPr>
          <w:ilvl w:val="0"/>
          <w:numId w:val="1"/>
        </w:numPr>
        <w:overflowPunct w:val="0"/>
        <w:autoSpaceDE w:val="0"/>
        <w:autoSpaceDN w:val="0"/>
        <w:adjustRightInd w:val="0"/>
        <w:spacing w:line="360" w:lineRule="auto"/>
        <w:jc w:val="both"/>
        <w:textAlignment w:val="baseline"/>
      </w:pPr>
      <w:r w:rsidRPr="00B718AA">
        <w:t>wykonać badania kruszyw przeznaczonych do wykonania robót, obejmujące wszystkie właściwości określone w tablicy 1 niniejszej SST.</w:t>
      </w:r>
    </w:p>
    <w:p w:rsidR="00E52B27" w:rsidRPr="00B718AA" w:rsidRDefault="00E52B27" w:rsidP="00E52B27">
      <w:pPr>
        <w:numPr>
          <w:ilvl w:val="12"/>
          <w:numId w:val="0"/>
        </w:numPr>
        <w:spacing w:line="360" w:lineRule="auto"/>
        <w:jc w:val="both"/>
      </w:pPr>
      <w:r w:rsidRPr="00B718AA">
        <w:tab/>
        <w:t>Wszystkie dokumenty oraz wyniki badań Wykonawca przedstawia Inspektorowi Nadzoru do akceptacji.</w:t>
      </w:r>
    </w:p>
    <w:p w:rsidR="00E52B27" w:rsidRPr="00B718AA" w:rsidRDefault="00E52B27" w:rsidP="00E52B27">
      <w:pPr>
        <w:spacing w:line="360" w:lineRule="auto"/>
        <w:jc w:val="both"/>
      </w:pPr>
    </w:p>
    <w:p w:rsidR="00E52B27" w:rsidRPr="00B718AA" w:rsidRDefault="00E52B27" w:rsidP="00E52B27">
      <w:pPr>
        <w:pStyle w:val="Nagwek2"/>
        <w:spacing w:before="0" w:after="0" w:line="360" w:lineRule="auto"/>
        <w:rPr>
          <w:bCs/>
          <w:i/>
        </w:rPr>
      </w:pPr>
      <w:bookmarkStart w:id="93" w:name="_Toc316558709"/>
      <w:r w:rsidRPr="00B718AA">
        <w:lastRenderedPageBreak/>
        <w:t>6.3. Badania w czasie robót</w:t>
      </w:r>
      <w:bookmarkEnd w:id="93"/>
    </w:p>
    <w:p w:rsidR="00E52B27" w:rsidRPr="00B718AA" w:rsidRDefault="00E52B27" w:rsidP="00E52B27">
      <w:pPr>
        <w:spacing w:line="360" w:lineRule="auto"/>
      </w:pPr>
      <w:r w:rsidRPr="00B718AA">
        <w:rPr>
          <w:b/>
        </w:rPr>
        <w:t xml:space="preserve">6.3.1. </w:t>
      </w:r>
      <w:r w:rsidRPr="00B718AA">
        <w:t>Częstotliwość oraz zakres badań i pomiarów</w:t>
      </w:r>
    </w:p>
    <w:p w:rsidR="00E52B27" w:rsidRPr="00B718AA" w:rsidRDefault="00E52B27" w:rsidP="00B718AA">
      <w:pPr>
        <w:spacing w:line="360" w:lineRule="auto"/>
      </w:pPr>
      <w:r w:rsidRPr="00B718AA">
        <w:tab/>
        <w:t>Częstotliwość oraz zakres badań podano w tablicy 5.</w:t>
      </w:r>
    </w:p>
    <w:p w:rsidR="00E52B27" w:rsidRPr="00B718AA" w:rsidRDefault="00E52B27" w:rsidP="00E52B27">
      <w:pPr>
        <w:pStyle w:val="tekstost"/>
        <w:jc w:val="left"/>
        <w:rPr>
          <w:i/>
        </w:rPr>
      </w:pPr>
      <w:r w:rsidRPr="00B718AA">
        <w:rPr>
          <w:i/>
        </w:rPr>
        <w:t xml:space="preserve">Tablica 5. Częstotliwość oraz zakres badań przy budowie podbudowy z mieszanki </w:t>
      </w:r>
      <w:r w:rsidRPr="00B718AA">
        <w:rPr>
          <w:i/>
        </w:rPr>
        <w:tab/>
      </w:r>
      <w:r w:rsidRPr="00B718AA">
        <w:rPr>
          <w:i/>
        </w:rPr>
        <w:tab/>
        <w:t xml:space="preserve">     niezwiązanej</w:t>
      </w:r>
    </w:p>
    <w:tbl>
      <w:tblPr>
        <w:tblW w:w="9426" w:type="dxa"/>
        <w:jc w:val="center"/>
        <w:tblLayout w:type="fixed"/>
        <w:tblCellMar>
          <w:left w:w="70" w:type="dxa"/>
          <w:right w:w="70" w:type="dxa"/>
        </w:tblCellMar>
        <w:tblLook w:val="0000" w:firstRow="0" w:lastRow="0" w:firstColumn="0" w:lastColumn="0" w:noHBand="0" w:noVBand="0"/>
      </w:tblPr>
      <w:tblGrid>
        <w:gridCol w:w="496"/>
        <w:gridCol w:w="4394"/>
        <w:gridCol w:w="2410"/>
        <w:gridCol w:w="2126"/>
      </w:tblGrid>
      <w:tr w:rsidR="00E52B27" w:rsidRPr="00B718AA" w:rsidTr="00E52B27">
        <w:trPr>
          <w:jc w:val="center"/>
        </w:trPr>
        <w:tc>
          <w:tcPr>
            <w:tcW w:w="496" w:type="dxa"/>
            <w:tcBorders>
              <w:top w:val="single" w:sz="6" w:space="0" w:color="auto"/>
              <w:left w:val="single" w:sz="6" w:space="0" w:color="auto"/>
              <w:bottom w:val="nil"/>
              <w:right w:val="nil"/>
            </w:tcBorders>
          </w:tcPr>
          <w:p w:rsidR="00E52B27" w:rsidRPr="00B718AA" w:rsidRDefault="00E52B27" w:rsidP="00E52B27">
            <w:pPr>
              <w:pStyle w:val="tekstost"/>
              <w:jc w:val="center"/>
            </w:pPr>
          </w:p>
        </w:tc>
        <w:tc>
          <w:tcPr>
            <w:tcW w:w="4394" w:type="dxa"/>
            <w:tcBorders>
              <w:top w:val="single" w:sz="6" w:space="0" w:color="auto"/>
              <w:left w:val="single" w:sz="6" w:space="0" w:color="auto"/>
              <w:bottom w:val="nil"/>
              <w:right w:val="nil"/>
            </w:tcBorders>
          </w:tcPr>
          <w:p w:rsidR="00E52B27" w:rsidRPr="00B718AA" w:rsidRDefault="00E52B27" w:rsidP="00E52B27">
            <w:pPr>
              <w:pStyle w:val="tekstost"/>
              <w:jc w:val="center"/>
            </w:pPr>
          </w:p>
        </w:tc>
        <w:tc>
          <w:tcPr>
            <w:tcW w:w="4536" w:type="dxa"/>
            <w:gridSpan w:val="2"/>
            <w:tcBorders>
              <w:top w:val="single" w:sz="6" w:space="0" w:color="auto"/>
              <w:left w:val="single" w:sz="6" w:space="0" w:color="auto"/>
              <w:bottom w:val="single" w:sz="6" w:space="0" w:color="auto"/>
              <w:right w:val="single" w:sz="6" w:space="0" w:color="auto"/>
            </w:tcBorders>
          </w:tcPr>
          <w:p w:rsidR="00E52B27" w:rsidRPr="00B718AA" w:rsidRDefault="00E52B27" w:rsidP="00E52B27">
            <w:pPr>
              <w:pStyle w:val="tekstost"/>
              <w:jc w:val="center"/>
            </w:pPr>
            <w:r w:rsidRPr="00B718AA">
              <w:t>Częstotliwość badań</w:t>
            </w:r>
          </w:p>
        </w:tc>
      </w:tr>
      <w:tr w:rsidR="00E52B27" w:rsidRPr="00B718AA" w:rsidTr="00E52B27">
        <w:trPr>
          <w:jc w:val="center"/>
        </w:trPr>
        <w:tc>
          <w:tcPr>
            <w:tcW w:w="496" w:type="dxa"/>
            <w:tcBorders>
              <w:top w:val="nil"/>
              <w:left w:val="single" w:sz="6" w:space="0" w:color="auto"/>
              <w:bottom w:val="double" w:sz="6" w:space="0" w:color="auto"/>
              <w:right w:val="single" w:sz="6" w:space="0" w:color="auto"/>
            </w:tcBorders>
            <w:vAlign w:val="center"/>
          </w:tcPr>
          <w:p w:rsidR="00E52B27" w:rsidRPr="00B718AA" w:rsidRDefault="00E52B27" w:rsidP="00E52B27">
            <w:pPr>
              <w:pStyle w:val="tekstost"/>
              <w:jc w:val="center"/>
            </w:pPr>
          </w:p>
          <w:p w:rsidR="00E52B27" w:rsidRPr="00B718AA" w:rsidRDefault="00E52B27" w:rsidP="00E52B27">
            <w:pPr>
              <w:pStyle w:val="tekstost"/>
              <w:jc w:val="center"/>
            </w:pPr>
            <w:r w:rsidRPr="00B718AA">
              <w:t>Lp.</w:t>
            </w:r>
          </w:p>
        </w:tc>
        <w:tc>
          <w:tcPr>
            <w:tcW w:w="4394" w:type="dxa"/>
            <w:tcBorders>
              <w:top w:val="nil"/>
              <w:left w:val="nil"/>
              <w:bottom w:val="double" w:sz="6" w:space="0" w:color="auto"/>
              <w:right w:val="nil"/>
            </w:tcBorders>
            <w:vAlign w:val="center"/>
          </w:tcPr>
          <w:p w:rsidR="00E52B27" w:rsidRPr="00B718AA" w:rsidRDefault="00E52B27" w:rsidP="00E52B27">
            <w:pPr>
              <w:pStyle w:val="tekstost"/>
            </w:pPr>
          </w:p>
          <w:p w:rsidR="00E52B27" w:rsidRPr="00B718AA" w:rsidRDefault="00E52B27" w:rsidP="00E52B27">
            <w:pPr>
              <w:pStyle w:val="tekstost"/>
              <w:jc w:val="center"/>
            </w:pPr>
            <w:r w:rsidRPr="00B718AA">
              <w:t>Wyszczególnienie badań</w:t>
            </w:r>
          </w:p>
        </w:tc>
        <w:tc>
          <w:tcPr>
            <w:tcW w:w="2410" w:type="dxa"/>
            <w:tcBorders>
              <w:top w:val="single" w:sz="6" w:space="0" w:color="auto"/>
              <w:left w:val="single" w:sz="6" w:space="0" w:color="auto"/>
              <w:bottom w:val="double" w:sz="6" w:space="0" w:color="auto"/>
              <w:right w:val="single" w:sz="6" w:space="0" w:color="auto"/>
            </w:tcBorders>
            <w:vAlign w:val="center"/>
          </w:tcPr>
          <w:p w:rsidR="00E52B27" w:rsidRPr="00B718AA" w:rsidRDefault="00E52B27" w:rsidP="00E52B27">
            <w:pPr>
              <w:pStyle w:val="tekstost"/>
              <w:jc w:val="center"/>
            </w:pPr>
            <w:r w:rsidRPr="00B718AA">
              <w:t>Minimalna liczba badań na dziennej działce roboczej</w:t>
            </w:r>
          </w:p>
        </w:tc>
        <w:tc>
          <w:tcPr>
            <w:tcW w:w="2126" w:type="dxa"/>
            <w:tcBorders>
              <w:top w:val="single" w:sz="6" w:space="0" w:color="auto"/>
              <w:left w:val="single" w:sz="6" w:space="0" w:color="auto"/>
              <w:bottom w:val="double" w:sz="6" w:space="0" w:color="auto"/>
              <w:right w:val="single" w:sz="6" w:space="0" w:color="auto"/>
            </w:tcBorders>
            <w:vAlign w:val="center"/>
          </w:tcPr>
          <w:p w:rsidR="00E52B27" w:rsidRPr="00B718AA" w:rsidRDefault="00E52B27" w:rsidP="00E52B27">
            <w:pPr>
              <w:pStyle w:val="tekstost"/>
              <w:jc w:val="left"/>
            </w:pPr>
            <w:r w:rsidRPr="00B718AA">
              <w:t>Maksymalna powierzchnia podbudowy przy-padająca na jedno badanie (m</w:t>
            </w:r>
            <w:r w:rsidRPr="00B718AA">
              <w:rPr>
                <w:vertAlign w:val="superscript"/>
              </w:rPr>
              <w:t>2</w:t>
            </w:r>
            <w:r w:rsidRPr="00B718AA">
              <w:t>)</w:t>
            </w:r>
          </w:p>
        </w:tc>
      </w:tr>
      <w:tr w:rsidR="00E52B27" w:rsidRPr="00B718AA" w:rsidTr="00E52B27">
        <w:trPr>
          <w:jc w:val="center"/>
        </w:trPr>
        <w:tc>
          <w:tcPr>
            <w:tcW w:w="496" w:type="dxa"/>
            <w:tcBorders>
              <w:top w:val="nil"/>
              <w:left w:val="single" w:sz="6" w:space="0" w:color="auto"/>
              <w:bottom w:val="single" w:sz="6" w:space="0" w:color="auto"/>
              <w:right w:val="single" w:sz="6" w:space="0" w:color="auto"/>
            </w:tcBorders>
            <w:vAlign w:val="center"/>
          </w:tcPr>
          <w:p w:rsidR="00E52B27" w:rsidRPr="00B718AA" w:rsidRDefault="00E52B27" w:rsidP="00E52B27">
            <w:pPr>
              <w:pStyle w:val="tekstost"/>
              <w:jc w:val="center"/>
            </w:pPr>
            <w:r w:rsidRPr="00B718AA">
              <w:t>1</w:t>
            </w:r>
          </w:p>
        </w:tc>
        <w:tc>
          <w:tcPr>
            <w:tcW w:w="4394" w:type="dxa"/>
            <w:tcBorders>
              <w:top w:val="nil"/>
              <w:left w:val="single" w:sz="6" w:space="0" w:color="auto"/>
              <w:bottom w:val="single" w:sz="6" w:space="0" w:color="auto"/>
              <w:right w:val="nil"/>
            </w:tcBorders>
            <w:vAlign w:val="center"/>
          </w:tcPr>
          <w:p w:rsidR="00E52B27" w:rsidRPr="00B718AA" w:rsidRDefault="00E52B27" w:rsidP="00E52B27">
            <w:pPr>
              <w:pStyle w:val="tekstost"/>
              <w:jc w:val="left"/>
            </w:pPr>
            <w:r w:rsidRPr="00B718AA">
              <w:t xml:space="preserve">Uziarnienie mieszanki </w:t>
            </w:r>
          </w:p>
        </w:tc>
        <w:tc>
          <w:tcPr>
            <w:tcW w:w="2410" w:type="dxa"/>
            <w:vMerge w:val="restart"/>
            <w:tcBorders>
              <w:top w:val="nil"/>
              <w:left w:val="single" w:sz="6" w:space="0" w:color="auto"/>
              <w:right w:val="nil"/>
            </w:tcBorders>
            <w:vAlign w:val="center"/>
          </w:tcPr>
          <w:p w:rsidR="00E52B27" w:rsidRPr="00B718AA" w:rsidRDefault="00E52B27" w:rsidP="00E52B27">
            <w:pPr>
              <w:pStyle w:val="tekstost"/>
              <w:jc w:val="center"/>
            </w:pPr>
            <w:r w:rsidRPr="00B718AA">
              <w:t>1</w:t>
            </w:r>
          </w:p>
        </w:tc>
        <w:tc>
          <w:tcPr>
            <w:tcW w:w="2126" w:type="dxa"/>
            <w:vMerge w:val="restart"/>
            <w:tcBorders>
              <w:top w:val="nil"/>
              <w:left w:val="single" w:sz="6" w:space="0" w:color="auto"/>
              <w:right w:val="single" w:sz="6" w:space="0" w:color="auto"/>
            </w:tcBorders>
            <w:vAlign w:val="center"/>
          </w:tcPr>
          <w:p w:rsidR="00E52B27" w:rsidRPr="00B718AA" w:rsidRDefault="00E52B27" w:rsidP="00E52B27">
            <w:pPr>
              <w:pStyle w:val="tekstost"/>
              <w:jc w:val="center"/>
            </w:pPr>
            <w:r w:rsidRPr="00B718AA">
              <w:t>1000</w:t>
            </w:r>
          </w:p>
        </w:tc>
      </w:tr>
      <w:tr w:rsidR="00E52B27" w:rsidRPr="00B718AA" w:rsidTr="00E52B27">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E52B27" w:rsidRPr="00B718AA" w:rsidRDefault="00E52B27" w:rsidP="00E52B27">
            <w:pPr>
              <w:pStyle w:val="tekstost"/>
              <w:jc w:val="center"/>
            </w:pPr>
            <w:r w:rsidRPr="00B718AA">
              <w:t>2</w:t>
            </w:r>
          </w:p>
        </w:tc>
        <w:tc>
          <w:tcPr>
            <w:tcW w:w="4394" w:type="dxa"/>
            <w:tcBorders>
              <w:top w:val="single" w:sz="6" w:space="0" w:color="auto"/>
              <w:left w:val="single" w:sz="6" w:space="0" w:color="auto"/>
              <w:bottom w:val="single" w:sz="6" w:space="0" w:color="auto"/>
              <w:right w:val="nil"/>
            </w:tcBorders>
            <w:vAlign w:val="center"/>
          </w:tcPr>
          <w:p w:rsidR="00E52B27" w:rsidRPr="00B718AA" w:rsidRDefault="00E52B27" w:rsidP="00E52B27">
            <w:pPr>
              <w:pStyle w:val="tekstost"/>
              <w:jc w:val="left"/>
            </w:pPr>
            <w:r w:rsidRPr="00B718AA">
              <w:t xml:space="preserve">Wilgotność mieszanki </w:t>
            </w:r>
          </w:p>
        </w:tc>
        <w:tc>
          <w:tcPr>
            <w:tcW w:w="2410" w:type="dxa"/>
            <w:vMerge/>
            <w:tcBorders>
              <w:left w:val="single" w:sz="6" w:space="0" w:color="auto"/>
              <w:right w:val="nil"/>
            </w:tcBorders>
            <w:vAlign w:val="center"/>
          </w:tcPr>
          <w:p w:rsidR="00E52B27" w:rsidRPr="00B718AA" w:rsidRDefault="00E52B27" w:rsidP="00E52B27">
            <w:pPr>
              <w:pStyle w:val="tekstost"/>
              <w:jc w:val="right"/>
            </w:pPr>
          </w:p>
        </w:tc>
        <w:tc>
          <w:tcPr>
            <w:tcW w:w="2126" w:type="dxa"/>
            <w:vMerge/>
            <w:tcBorders>
              <w:left w:val="single" w:sz="6" w:space="0" w:color="auto"/>
              <w:right w:val="single" w:sz="6" w:space="0" w:color="auto"/>
            </w:tcBorders>
            <w:vAlign w:val="center"/>
          </w:tcPr>
          <w:p w:rsidR="00E52B27" w:rsidRPr="00B718AA" w:rsidRDefault="00E52B27" w:rsidP="00E52B27">
            <w:pPr>
              <w:pStyle w:val="tekstost"/>
              <w:jc w:val="left"/>
            </w:pPr>
          </w:p>
        </w:tc>
      </w:tr>
      <w:tr w:rsidR="00E52B27" w:rsidRPr="00B718AA" w:rsidTr="00E52B27">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E52B27" w:rsidRPr="00B718AA" w:rsidRDefault="00E52B27" w:rsidP="00E52B27">
            <w:pPr>
              <w:pStyle w:val="tekstost"/>
              <w:jc w:val="center"/>
            </w:pPr>
            <w:r w:rsidRPr="00B718AA">
              <w:t>3</w:t>
            </w:r>
          </w:p>
        </w:tc>
        <w:tc>
          <w:tcPr>
            <w:tcW w:w="4394" w:type="dxa"/>
            <w:tcBorders>
              <w:top w:val="single" w:sz="6" w:space="0" w:color="auto"/>
              <w:left w:val="single" w:sz="6" w:space="0" w:color="auto"/>
              <w:bottom w:val="single" w:sz="6" w:space="0" w:color="auto"/>
              <w:right w:val="nil"/>
            </w:tcBorders>
            <w:vAlign w:val="center"/>
          </w:tcPr>
          <w:p w:rsidR="00E52B27" w:rsidRPr="00B718AA" w:rsidRDefault="00E52B27" w:rsidP="00E52B27">
            <w:pPr>
              <w:pStyle w:val="tekstost"/>
              <w:jc w:val="left"/>
            </w:pPr>
            <w:r w:rsidRPr="00B718AA">
              <w:t>Zagęszczenie warstwy</w:t>
            </w:r>
          </w:p>
        </w:tc>
        <w:tc>
          <w:tcPr>
            <w:tcW w:w="2410" w:type="dxa"/>
            <w:vMerge/>
            <w:tcBorders>
              <w:left w:val="single" w:sz="6" w:space="0" w:color="auto"/>
              <w:bottom w:val="single" w:sz="6" w:space="0" w:color="auto"/>
              <w:right w:val="single" w:sz="6" w:space="0" w:color="auto"/>
            </w:tcBorders>
            <w:vAlign w:val="center"/>
          </w:tcPr>
          <w:p w:rsidR="00E52B27" w:rsidRPr="00B718AA" w:rsidRDefault="00E52B27" w:rsidP="00E52B27">
            <w:pPr>
              <w:pStyle w:val="tekstost"/>
              <w:jc w:val="right"/>
            </w:pPr>
          </w:p>
        </w:tc>
        <w:tc>
          <w:tcPr>
            <w:tcW w:w="2126" w:type="dxa"/>
            <w:vMerge/>
            <w:tcBorders>
              <w:left w:val="single" w:sz="6" w:space="0" w:color="auto"/>
              <w:bottom w:val="single" w:sz="6" w:space="0" w:color="auto"/>
              <w:right w:val="single" w:sz="6" w:space="0" w:color="auto"/>
            </w:tcBorders>
            <w:vAlign w:val="center"/>
          </w:tcPr>
          <w:p w:rsidR="00E52B27" w:rsidRPr="00B718AA" w:rsidRDefault="00E52B27" w:rsidP="00E52B27">
            <w:pPr>
              <w:pStyle w:val="tekstost"/>
              <w:jc w:val="left"/>
            </w:pPr>
          </w:p>
        </w:tc>
      </w:tr>
      <w:tr w:rsidR="00E52B27" w:rsidRPr="00B718AA" w:rsidTr="00E52B27">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E52B27" w:rsidRPr="00B718AA" w:rsidRDefault="00E52B27" w:rsidP="00E52B27">
            <w:pPr>
              <w:pStyle w:val="tekstost"/>
              <w:jc w:val="center"/>
            </w:pPr>
            <w:r w:rsidRPr="00B718AA">
              <w:t>4</w:t>
            </w:r>
          </w:p>
        </w:tc>
        <w:tc>
          <w:tcPr>
            <w:tcW w:w="4394" w:type="dxa"/>
            <w:tcBorders>
              <w:top w:val="single" w:sz="6" w:space="0" w:color="auto"/>
              <w:left w:val="single" w:sz="6" w:space="0" w:color="auto"/>
              <w:bottom w:val="single" w:sz="6" w:space="0" w:color="auto"/>
              <w:right w:val="single" w:sz="6" w:space="0" w:color="auto"/>
            </w:tcBorders>
            <w:vAlign w:val="center"/>
          </w:tcPr>
          <w:p w:rsidR="00E52B27" w:rsidRPr="00B718AA" w:rsidRDefault="00E52B27" w:rsidP="00E52B27">
            <w:pPr>
              <w:pStyle w:val="tekstost"/>
              <w:jc w:val="left"/>
            </w:pPr>
            <w:r w:rsidRPr="00B718AA">
              <w:t>Badanie właściwości kruszywa wg tab. 1, pkt 2.2.3</w:t>
            </w:r>
          </w:p>
        </w:tc>
        <w:tc>
          <w:tcPr>
            <w:tcW w:w="4536" w:type="dxa"/>
            <w:gridSpan w:val="2"/>
            <w:tcBorders>
              <w:top w:val="single" w:sz="6" w:space="0" w:color="auto"/>
              <w:left w:val="single" w:sz="6" w:space="0" w:color="auto"/>
              <w:bottom w:val="single" w:sz="6" w:space="0" w:color="auto"/>
              <w:right w:val="single" w:sz="6" w:space="0" w:color="auto"/>
            </w:tcBorders>
            <w:vAlign w:val="center"/>
          </w:tcPr>
          <w:p w:rsidR="00E52B27" w:rsidRPr="00B718AA" w:rsidRDefault="00E52B27" w:rsidP="00E52B27">
            <w:pPr>
              <w:pStyle w:val="tekstost"/>
              <w:jc w:val="center"/>
            </w:pPr>
            <w:r w:rsidRPr="00B718AA">
              <w:t xml:space="preserve">dla każdej partii kruszywa </w:t>
            </w:r>
            <w:r w:rsidRPr="00B718AA">
              <w:br/>
              <w:t>i przy każdej zmianie kruszywa</w:t>
            </w:r>
          </w:p>
        </w:tc>
      </w:tr>
    </w:tbl>
    <w:p w:rsidR="00E52B27" w:rsidRPr="00B718AA" w:rsidRDefault="00E52B27" w:rsidP="00E52B27">
      <w:pPr>
        <w:pStyle w:val="tekstost"/>
        <w:spacing w:line="360" w:lineRule="auto"/>
      </w:pPr>
    </w:p>
    <w:p w:rsidR="00E52B27" w:rsidRPr="00B718AA" w:rsidRDefault="00E52B27" w:rsidP="00E52B27">
      <w:pPr>
        <w:pStyle w:val="tekstost"/>
        <w:spacing w:line="360" w:lineRule="auto"/>
      </w:pPr>
    </w:p>
    <w:p w:rsidR="00E52B27" w:rsidRPr="00B718AA" w:rsidRDefault="00E52B27" w:rsidP="00E52B27">
      <w:pPr>
        <w:pStyle w:val="tekstost"/>
        <w:spacing w:line="360" w:lineRule="auto"/>
      </w:pPr>
      <w:r w:rsidRPr="00B718AA">
        <w:rPr>
          <w:b/>
        </w:rPr>
        <w:t xml:space="preserve">6.3.2. </w:t>
      </w:r>
      <w:r w:rsidRPr="00B718AA">
        <w:t>Uziarnienie mieszanki</w:t>
      </w:r>
    </w:p>
    <w:p w:rsidR="00E52B27" w:rsidRPr="00B718AA" w:rsidRDefault="00E52B27" w:rsidP="00E52B27">
      <w:pPr>
        <w:pStyle w:val="tekstost"/>
        <w:spacing w:line="360" w:lineRule="auto"/>
      </w:pPr>
      <w:r w:rsidRPr="00B718AA">
        <w:tab/>
        <w:t>Uziarnienie mieszanki powinno być zgodne z wymaganiami podanymi na rys. 1. Próbki należy pobierać w sposób losowy, z rozłożonej warstwy, przed jej zagęszczeniem. Wyniki badań powinny być na bieżąco przekazywane Inspektorowi Nadzoru.</w:t>
      </w:r>
    </w:p>
    <w:p w:rsidR="00E52B27" w:rsidRPr="00B718AA" w:rsidRDefault="00E52B27" w:rsidP="00E52B27">
      <w:pPr>
        <w:pStyle w:val="tekstost"/>
        <w:spacing w:line="360" w:lineRule="auto"/>
      </w:pPr>
    </w:p>
    <w:p w:rsidR="00E52B27" w:rsidRPr="00B718AA" w:rsidRDefault="00E52B27" w:rsidP="00E52B27">
      <w:pPr>
        <w:pStyle w:val="tekstost"/>
        <w:spacing w:line="360" w:lineRule="auto"/>
      </w:pPr>
      <w:r w:rsidRPr="00B718AA">
        <w:rPr>
          <w:b/>
        </w:rPr>
        <w:t xml:space="preserve">6.3.3. </w:t>
      </w:r>
      <w:r w:rsidRPr="00B718AA">
        <w:t xml:space="preserve">Wilgotność mieszanki </w:t>
      </w:r>
    </w:p>
    <w:p w:rsidR="00E52B27" w:rsidRPr="00B718AA" w:rsidRDefault="00E52B27" w:rsidP="00E52B27">
      <w:pPr>
        <w:pStyle w:val="tekstost"/>
        <w:spacing w:line="360" w:lineRule="auto"/>
      </w:pPr>
      <w:r w:rsidRPr="00B718AA">
        <w:tab/>
        <w:t xml:space="preserve">Wilgotność mieszanki powinna odpowiadać wilgotności optymalnej, określonej według próby </w:t>
      </w:r>
      <w:proofErr w:type="spellStart"/>
      <w:r w:rsidRPr="00B718AA">
        <w:t>Proctora</w:t>
      </w:r>
      <w:proofErr w:type="spellEnd"/>
      <w:r w:rsidRPr="00B718AA">
        <w:t>, zgodnie z PN-B-04481 [18] (metoda II), z tolerancją +10% -20%.</w:t>
      </w:r>
    </w:p>
    <w:p w:rsidR="00E52B27" w:rsidRPr="00B718AA" w:rsidRDefault="00E52B27" w:rsidP="00E52B27">
      <w:pPr>
        <w:pStyle w:val="tekstost"/>
        <w:spacing w:line="360" w:lineRule="auto"/>
      </w:pPr>
      <w:r w:rsidRPr="00B718AA">
        <w:tab/>
        <w:t>Wilgotność należy określić według PN-B-06714-17.</w:t>
      </w:r>
    </w:p>
    <w:p w:rsidR="00E52B27" w:rsidRPr="00B718AA" w:rsidRDefault="00E52B27" w:rsidP="00E52B27">
      <w:pPr>
        <w:pStyle w:val="tekstost"/>
        <w:spacing w:line="360" w:lineRule="auto"/>
      </w:pPr>
    </w:p>
    <w:p w:rsidR="00E52B27" w:rsidRPr="00B718AA" w:rsidRDefault="00E52B27" w:rsidP="00E52B27">
      <w:pPr>
        <w:pStyle w:val="tekstost"/>
        <w:spacing w:line="360" w:lineRule="auto"/>
      </w:pPr>
      <w:r w:rsidRPr="00B718AA">
        <w:rPr>
          <w:b/>
        </w:rPr>
        <w:t xml:space="preserve">6.3.4. </w:t>
      </w:r>
      <w:r w:rsidRPr="00B718AA">
        <w:t>Zagęszczenie podbudowy</w:t>
      </w:r>
    </w:p>
    <w:p w:rsidR="00E52B27" w:rsidRPr="00B718AA" w:rsidRDefault="00E52B27" w:rsidP="00E52B27">
      <w:pPr>
        <w:pStyle w:val="tekstost"/>
        <w:spacing w:line="360" w:lineRule="auto"/>
      </w:pPr>
      <w:r w:rsidRPr="00B718AA">
        <w:tab/>
        <w:t>Zagęszczenie każdej warstwy powinno odbywać się aż do osiągnięcia wymaganego wskaźnika zagęszczenia.</w:t>
      </w:r>
    </w:p>
    <w:p w:rsidR="00E52B27" w:rsidRPr="00B718AA" w:rsidRDefault="00E52B27" w:rsidP="00E52B27">
      <w:pPr>
        <w:pStyle w:val="tekstost"/>
        <w:spacing w:line="360" w:lineRule="auto"/>
      </w:pPr>
      <w:r w:rsidRPr="00B718AA">
        <w:tab/>
        <w:t xml:space="preserve">Zagęszczenie podbudowy należy sprawdzać według BN-77/8931-12 [22]. </w:t>
      </w:r>
      <w:r w:rsidRPr="00B718AA">
        <w:br/>
        <w:t xml:space="preserve">W przypadku, gdy przeprowadzenie badania jest niemożliwe ze względu </w:t>
      </w:r>
      <w:r w:rsidRPr="00B718AA">
        <w:br/>
        <w:t>na gruboziarniste kruszywo, kontrolę zagęszczenia należy oprzeć na metodzie obciążeń płytowych, wg BN-64/8931-02 [19] i nie rzadziej niż raz na 2000 m</w:t>
      </w:r>
      <w:r w:rsidRPr="00B718AA">
        <w:rPr>
          <w:vertAlign w:val="superscript"/>
        </w:rPr>
        <w:t>2</w:t>
      </w:r>
      <w:r w:rsidRPr="00B718AA">
        <w:t>, lub według zaleceń Inspektora Nadzoru. Do bieżącej kontroli zagęszczenia poszczególnych warstw dopuszcza się również, po odpowiednim skalibrowaniu, użycie płyt dynamicznych.</w:t>
      </w:r>
    </w:p>
    <w:p w:rsidR="00E52B27" w:rsidRPr="00B718AA" w:rsidRDefault="00E52B27" w:rsidP="00E52B27">
      <w:pPr>
        <w:pStyle w:val="tekstost"/>
        <w:spacing w:line="360" w:lineRule="auto"/>
      </w:pPr>
      <w:r w:rsidRPr="00B718AA">
        <w:tab/>
        <w:t xml:space="preserve">Zagęszczenie podbudowy z mieszanki niezwiązanej należy uznać za prawidłowe, gdy stosunek wtórnego modułu </w:t>
      </w:r>
      <w:r w:rsidRPr="00B718AA">
        <w:rPr>
          <w:i/>
        </w:rPr>
        <w:t>E</w:t>
      </w:r>
      <w:r w:rsidRPr="00B718AA">
        <w:rPr>
          <w:vertAlign w:val="subscript"/>
        </w:rPr>
        <w:t>2</w:t>
      </w:r>
      <w:r w:rsidRPr="00B718AA">
        <w:t xml:space="preserve"> do pierwotnego modułu odkształcenia </w:t>
      </w:r>
      <w:r w:rsidRPr="00B718AA">
        <w:rPr>
          <w:i/>
        </w:rPr>
        <w:t>E</w:t>
      </w:r>
      <w:r w:rsidRPr="00B718AA">
        <w:rPr>
          <w:vertAlign w:val="subscript"/>
        </w:rPr>
        <w:t>1</w:t>
      </w:r>
      <w:r w:rsidRPr="00B718AA">
        <w:t xml:space="preserve"> jest nie większy od 2,2 dla każdej warstwy konstrukcyjnej podbudowy.</w:t>
      </w:r>
    </w:p>
    <w:p w:rsidR="00E52B27" w:rsidRPr="00B718AA" w:rsidRDefault="00E52B27" w:rsidP="00E52B27">
      <w:pPr>
        <w:pStyle w:val="tekstost"/>
        <w:spacing w:line="360" w:lineRule="auto"/>
      </w:pPr>
      <w:r w:rsidRPr="00B718AA">
        <w:tab/>
      </w:r>
      <w:r w:rsidRPr="00B718AA">
        <w:tab/>
      </w:r>
      <w:r w:rsidRPr="00B718AA">
        <w:tab/>
      </w:r>
      <w:r w:rsidRPr="00B718AA">
        <w:tab/>
      </w:r>
      <w:r w:rsidRPr="00B718AA">
        <w:rPr>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9" o:title=""/>
          </v:shape>
          <o:OLEObject Type="Embed" ProgID="Equation.3" ShapeID="_x0000_i1025" DrawAspect="Content" ObjectID="_1626630766" r:id="rId10"/>
        </w:object>
      </w:r>
      <w:r w:rsidRPr="00B718AA">
        <w:t xml:space="preserve">  </w:t>
      </w:r>
      <w:r w:rsidRPr="00B718AA">
        <w:sym w:font="Symbol" w:char="00A3"/>
      </w:r>
      <w:r w:rsidRPr="00B718AA">
        <w:t xml:space="preserve">   2,2</w:t>
      </w:r>
    </w:p>
    <w:p w:rsidR="00E52B27" w:rsidRPr="00B718AA" w:rsidRDefault="00E52B27" w:rsidP="00E52B27">
      <w:pPr>
        <w:spacing w:line="360" w:lineRule="auto"/>
        <w:jc w:val="both"/>
      </w:pPr>
      <w:r w:rsidRPr="00B718AA">
        <w:t xml:space="preserve">Obciążenie końcowe na płytę należy doprowadzić do 0,45 </w:t>
      </w:r>
      <w:proofErr w:type="spellStart"/>
      <w:r w:rsidRPr="00B718AA">
        <w:t>MPa</w:t>
      </w:r>
      <w:proofErr w:type="spellEnd"/>
      <w:r w:rsidRPr="00B718AA">
        <w:t xml:space="preserve">; zakres obciążenia </w:t>
      </w:r>
      <w:r w:rsidRPr="00B718AA">
        <w:br/>
        <w:t xml:space="preserve">do obliczenia modułów – 0,25/0,35 </w:t>
      </w:r>
      <w:proofErr w:type="spellStart"/>
      <w:r w:rsidRPr="00B718AA">
        <w:t>MPa</w:t>
      </w:r>
      <w:proofErr w:type="spellEnd"/>
      <w:r w:rsidRPr="00B718AA">
        <w:t>; we wzorze obliczeniowym modułów należy zastosować mnożnik ¾”.</w:t>
      </w:r>
    </w:p>
    <w:p w:rsidR="00E52B27" w:rsidRPr="00B718AA" w:rsidRDefault="00E52B27" w:rsidP="00E52B27">
      <w:pPr>
        <w:pStyle w:val="tekstost"/>
        <w:spacing w:line="360" w:lineRule="auto"/>
      </w:pPr>
    </w:p>
    <w:p w:rsidR="00E52B27" w:rsidRPr="00B718AA" w:rsidRDefault="00E52B27" w:rsidP="00E52B27">
      <w:pPr>
        <w:pStyle w:val="tekstost"/>
        <w:spacing w:line="360" w:lineRule="auto"/>
      </w:pPr>
      <w:r w:rsidRPr="00B718AA">
        <w:rPr>
          <w:b/>
        </w:rPr>
        <w:t xml:space="preserve">6.3.5. </w:t>
      </w:r>
      <w:r w:rsidRPr="00B718AA">
        <w:t>Właściwości kruszywa</w:t>
      </w:r>
    </w:p>
    <w:p w:rsidR="00E52B27" w:rsidRPr="00B718AA" w:rsidRDefault="00E52B27" w:rsidP="00E52B27">
      <w:pPr>
        <w:pStyle w:val="tekstost"/>
        <w:spacing w:line="360" w:lineRule="auto"/>
      </w:pPr>
      <w:r w:rsidRPr="00B718AA">
        <w:lastRenderedPageBreak/>
        <w:tab/>
        <w:t>Badania kruszywa powinny obejmować ocenę wszystkich właściwości określonych w pkt 2.2.3.</w:t>
      </w:r>
    </w:p>
    <w:p w:rsidR="00E52B27" w:rsidRPr="00B718AA" w:rsidRDefault="00E52B27" w:rsidP="00E52B27">
      <w:pPr>
        <w:pStyle w:val="tekstost"/>
        <w:spacing w:line="360" w:lineRule="auto"/>
      </w:pPr>
      <w:r w:rsidRPr="00B718AA">
        <w:tab/>
        <w:t>Próbki do badań pełnych powinny być pobierane przez Wykonawcę w sposób losowy w obecności Inspektora Nadzoru.</w:t>
      </w:r>
    </w:p>
    <w:p w:rsidR="00E52B27" w:rsidRPr="00B718AA" w:rsidRDefault="00E52B27" w:rsidP="00E52B27">
      <w:pPr>
        <w:pStyle w:val="Nagwek2"/>
        <w:spacing w:line="360" w:lineRule="auto"/>
        <w:rPr>
          <w:bCs/>
          <w:i/>
        </w:rPr>
      </w:pPr>
      <w:bookmarkStart w:id="94" w:name="_Toc316558710"/>
      <w:r w:rsidRPr="00B718AA">
        <w:t>6.4. Wymagania dotyczące cech geometrycznych podbudowy</w:t>
      </w:r>
      <w:bookmarkEnd w:id="94"/>
      <w:r w:rsidRPr="00B718AA">
        <w:t xml:space="preserve"> </w:t>
      </w:r>
    </w:p>
    <w:p w:rsidR="00E52B27" w:rsidRPr="00B718AA" w:rsidRDefault="00E52B27" w:rsidP="00E52B27">
      <w:pPr>
        <w:spacing w:line="360" w:lineRule="auto"/>
        <w:jc w:val="both"/>
      </w:pPr>
      <w:r w:rsidRPr="00B718AA">
        <w:rPr>
          <w:b/>
        </w:rPr>
        <w:t xml:space="preserve">6.4.1. </w:t>
      </w:r>
      <w:r w:rsidRPr="00B718AA">
        <w:t>Częstotliwość oraz zakres pomiarów</w:t>
      </w:r>
    </w:p>
    <w:p w:rsidR="00E52B27" w:rsidRPr="00B718AA" w:rsidRDefault="00E52B27" w:rsidP="00E52B27">
      <w:pPr>
        <w:spacing w:line="360" w:lineRule="auto"/>
        <w:jc w:val="both"/>
      </w:pPr>
      <w:r w:rsidRPr="00B718AA">
        <w:tab/>
        <w:t xml:space="preserve"> Częstotliwość oraz zakres pomiarów dotyczących cech geometrycznych podbudowy podano w tablicy 6.</w:t>
      </w:r>
    </w:p>
    <w:p w:rsidR="00E52B27" w:rsidRPr="00B718AA" w:rsidRDefault="00E52B27" w:rsidP="00E52B27">
      <w:pPr>
        <w:spacing w:line="360" w:lineRule="auto"/>
        <w:jc w:val="both"/>
      </w:pPr>
    </w:p>
    <w:p w:rsidR="00E52B27" w:rsidRPr="00B718AA" w:rsidRDefault="00E52B27" w:rsidP="00E52B27">
      <w:pPr>
        <w:ind w:left="1134" w:hanging="1134"/>
        <w:rPr>
          <w:i/>
        </w:rPr>
      </w:pPr>
      <w:r w:rsidRPr="00B718AA">
        <w:rPr>
          <w:i/>
        </w:rPr>
        <w:t>Tablica 6.  Częstotliwość oraz zakres pomiarów wykonanej podbudowy z mieszanki niezwiązanej</w:t>
      </w: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5038"/>
      </w:tblGrid>
      <w:tr w:rsidR="00E52B27" w:rsidRPr="00B718AA" w:rsidTr="00E52B27">
        <w:tc>
          <w:tcPr>
            <w:tcW w:w="637" w:type="dxa"/>
            <w:tcBorders>
              <w:top w:val="single" w:sz="6" w:space="0" w:color="auto"/>
              <w:left w:val="single" w:sz="6" w:space="0" w:color="auto"/>
              <w:bottom w:val="double" w:sz="6" w:space="0" w:color="auto"/>
              <w:right w:val="single" w:sz="6" w:space="0" w:color="auto"/>
            </w:tcBorders>
          </w:tcPr>
          <w:p w:rsidR="00E52B27" w:rsidRPr="00B718AA" w:rsidRDefault="00E52B27" w:rsidP="00E52B27">
            <w:pPr>
              <w:ind w:right="-11"/>
              <w:jc w:val="center"/>
              <w:rPr>
                <w:b/>
              </w:rPr>
            </w:pPr>
            <w:r w:rsidRPr="00B718AA">
              <w:t>Lp.</w:t>
            </w:r>
          </w:p>
        </w:tc>
        <w:tc>
          <w:tcPr>
            <w:tcW w:w="3467" w:type="dxa"/>
            <w:tcBorders>
              <w:top w:val="single" w:sz="6" w:space="0" w:color="auto"/>
              <w:left w:val="single" w:sz="6" w:space="0" w:color="auto"/>
              <w:bottom w:val="double" w:sz="6" w:space="0" w:color="auto"/>
              <w:right w:val="single" w:sz="6" w:space="0" w:color="auto"/>
            </w:tcBorders>
          </w:tcPr>
          <w:p w:rsidR="00E52B27" w:rsidRPr="00B718AA" w:rsidRDefault="00E52B27" w:rsidP="00E52B27">
            <w:pPr>
              <w:ind w:right="-11"/>
              <w:jc w:val="center"/>
              <w:rPr>
                <w:b/>
              </w:rPr>
            </w:pPr>
            <w:r w:rsidRPr="00B718AA">
              <w:t>Wyszczególnienie badań i pomiarów</w:t>
            </w:r>
          </w:p>
        </w:tc>
        <w:tc>
          <w:tcPr>
            <w:tcW w:w="5038" w:type="dxa"/>
            <w:tcBorders>
              <w:top w:val="single" w:sz="6" w:space="0" w:color="auto"/>
              <w:left w:val="single" w:sz="6" w:space="0" w:color="auto"/>
              <w:bottom w:val="double" w:sz="6" w:space="0" w:color="auto"/>
              <w:right w:val="single" w:sz="6" w:space="0" w:color="auto"/>
            </w:tcBorders>
          </w:tcPr>
          <w:p w:rsidR="00E52B27" w:rsidRPr="00B718AA" w:rsidRDefault="00E52B27" w:rsidP="00E52B27">
            <w:pPr>
              <w:ind w:right="-11"/>
              <w:jc w:val="center"/>
              <w:rPr>
                <w:b/>
              </w:rPr>
            </w:pPr>
            <w:r w:rsidRPr="00B718AA">
              <w:t>Minimalna częstotliwość pomiarów</w:t>
            </w:r>
          </w:p>
        </w:tc>
      </w:tr>
      <w:tr w:rsidR="00E52B27" w:rsidRPr="00B718AA" w:rsidTr="00E52B27">
        <w:tc>
          <w:tcPr>
            <w:tcW w:w="63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jc w:val="center"/>
              <w:rPr>
                <w:b/>
              </w:rPr>
            </w:pPr>
            <w:r w:rsidRPr="00B718AA">
              <w:t>1</w:t>
            </w:r>
          </w:p>
        </w:tc>
        <w:tc>
          <w:tcPr>
            <w:tcW w:w="346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rPr>
                <w:b/>
              </w:rPr>
            </w:pPr>
            <w:r w:rsidRPr="00B718AA">
              <w:t>Równość podłużna</w:t>
            </w:r>
          </w:p>
        </w:tc>
        <w:tc>
          <w:tcPr>
            <w:tcW w:w="5038"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rPr>
                <w:b/>
              </w:rPr>
            </w:pPr>
            <w:r w:rsidRPr="00B718AA">
              <w:t xml:space="preserve">w sposób ciągły </w:t>
            </w:r>
            <w:proofErr w:type="spellStart"/>
            <w:r w:rsidRPr="00B718AA">
              <w:t>planografem</w:t>
            </w:r>
            <w:proofErr w:type="spellEnd"/>
            <w:r w:rsidRPr="00B718AA">
              <w:t xml:space="preserve"> albo co 50 m łatą na każdym pasie ruchu</w:t>
            </w:r>
          </w:p>
        </w:tc>
      </w:tr>
      <w:tr w:rsidR="00E52B27" w:rsidRPr="00B718AA" w:rsidTr="00E52B27">
        <w:tc>
          <w:tcPr>
            <w:tcW w:w="63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4"/>
              <w:jc w:val="center"/>
              <w:rPr>
                <w:b/>
              </w:rPr>
            </w:pPr>
            <w:r w:rsidRPr="00B718AA">
              <w:t>2</w:t>
            </w:r>
          </w:p>
        </w:tc>
        <w:tc>
          <w:tcPr>
            <w:tcW w:w="346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4"/>
              <w:rPr>
                <w:b/>
              </w:rPr>
            </w:pPr>
            <w:r w:rsidRPr="00B718AA">
              <w:t>Równość poprzeczna</w:t>
            </w:r>
          </w:p>
        </w:tc>
        <w:tc>
          <w:tcPr>
            <w:tcW w:w="5038"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4"/>
              <w:rPr>
                <w:b/>
              </w:rPr>
            </w:pPr>
            <w:r w:rsidRPr="00B718AA">
              <w:t xml:space="preserve">20 razy na </w:t>
            </w:r>
            <w:smartTag w:uri="urn:schemas-microsoft-com:office:smarttags" w:element="metricconverter">
              <w:smartTagPr>
                <w:attr w:name="ProductID" w:val="1 km"/>
              </w:smartTagPr>
              <w:r w:rsidRPr="00B718AA">
                <w:t>1 km</w:t>
              </w:r>
            </w:smartTag>
          </w:p>
        </w:tc>
      </w:tr>
      <w:tr w:rsidR="00E52B27" w:rsidRPr="00B718AA" w:rsidTr="00E52B27">
        <w:tc>
          <w:tcPr>
            <w:tcW w:w="63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4"/>
              <w:jc w:val="center"/>
              <w:rPr>
                <w:b/>
              </w:rPr>
            </w:pPr>
            <w:r w:rsidRPr="00B718AA">
              <w:t>3</w:t>
            </w:r>
          </w:p>
        </w:tc>
        <w:tc>
          <w:tcPr>
            <w:tcW w:w="346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4"/>
              <w:rPr>
                <w:b/>
              </w:rPr>
            </w:pPr>
            <w:r w:rsidRPr="00B718AA">
              <w:t>Spadki poprzeczne*</w:t>
            </w:r>
            <w:r w:rsidRPr="00B718AA">
              <w:rPr>
                <w:vertAlign w:val="superscript"/>
              </w:rPr>
              <w:t>)</w:t>
            </w:r>
          </w:p>
        </w:tc>
        <w:tc>
          <w:tcPr>
            <w:tcW w:w="5038" w:type="dxa"/>
            <w:tcBorders>
              <w:top w:val="single" w:sz="6" w:space="0" w:color="auto"/>
              <w:left w:val="single" w:sz="6" w:space="0" w:color="auto"/>
              <w:bottom w:val="nil"/>
              <w:right w:val="single" w:sz="6" w:space="0" w:color="auto"/>
            </w:tcBorders>
          </w:tcPr>
          <w:p w:rsidR="00E52B27" w:rsidRPr="00B718AA" w:rsidRDefault="00E52B27" w:rsidP="00E52B27">
            <w:pPr>
              <w:ind w:right="-14"/>
              <w:rPr>
                <w:b/>
              </w:rPr>
            </w:pPr>
            <w:r w:rsidRPr="00B718AA">
              <w:t xml:space="preserve">20 razy na </w:t>
            </w:r>
            <w:smartTag w:uri="urn:schemas-microsoft-com:office:smarttags" w:element="metricconverter">
              <w:smartTagPr>
                <w:attr w:name="ProductID" w:val="1 km"/>
              </w:smartTagPr>
              <w:r w:rsidRPr="00B718AA">
                <w:t>1 km</w:t>
              </w:r>
            </w:smartTag>
          </w:p>
        </w:tc>
      </w:tr>
      <w:tr w:rsidR="00E52B27" w:rsidRPr="00B718AA" w:rsidTr="00E52B27">
        <w:tc>
          <w:tcPr>
            <w:tcW w:w="63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jc w:val="center"/>
              <w:rPr>
                <w:b/>
              </w:rPr>
            </w:pPr>
            <w:r w:rsidRPr="00B718AA">
              <w:t>4</w:t>
            </w:r>
          </w:p>
        </w:tc>
        <w:tc>
          <w:tcPr>
            <w:tcW w:w="346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rPr>
                <w:b/>
              </w:rPr>
            </w:pPr>
            <w:r w:rsidRPr="00B718AA">
              <w:t xml:space="preserve">Grubość podbudowy </w:t>
            </w:r>
          </w:p>
        </w:tc>
        <w:tc>
          <w:tcPr>
            <w:tcW w:w="5038"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rPr>
                <w:b/>
              </w:rPr>
            </w:pPr>
            <w:r w:rsidRPr="00B718AA">
              <w:t>w 3 punktach, lecz nie rzadziej niż raz na 1000 m</w:t>
            </w:r>
            <w:r w:rsidRPr="00B718AA">
              <w:rPr>
                <w:vertAlign w:val="superscript"/>
              </w:rPr>
              <w:t>2</w:t>
            </w:r>
          </w:p>
        </w:tc>
      </w:tr>
      <w:tr w:rsidR="00E52B27" w:rsidRPr="00B718AA" w:rsidTr="00E52B27">
        <w:trPr>
          <w:trHeight w:val="65"/>
        </w:trPr>
        <w:tc>
          <w:tcPr>
            <w:tcW w:w="63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jc w:val="center"/>
            </w:pPr>
            <w:r w:rsidRPr="00B718AA">
              <w:t>5</w:t>
            </w:r>
          </w:p>
        </w:tc>
        <w:tc>
          <w:tcPr>
            <w:tcW w:w="3467"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pPr>
            <w:r w:rsidRPr="00B718AA">
              <w:t>Nośność podbudowy:</w:t>
            </w:r>
          </w:p>
          <w:p w:rsidR="00E52B27" w:rsidRPr="00B718AA" w:rsidRDefault="00E52B27" w:rsidP="00E52B27">
            <w:pPr>
              <w:ind w:right="-11"/>
            </w:pPr>
            <w:r w:rsidRPr="00B718AA">
              <w:t>- moduł odkształcenia</w:t>
            </w:r>
          </w:p>
          <w:p w:rsidR="00E52B27" w:rsidRPr="00B718AA" w:rsidRDefault="00E52B27" w:rsidP="00E52B27">
            <w:pPr>
              <w:ind w:right="-11"/>
            </w:pPr>
            <w:r w:rsidRPr="00B718AA">
              <w:t>- ugięcie sprężyste</w:t>
            </w:r>
          </w:p>
        </w:tc>
        <w:tc>
          <w:tcPr>
            <w:tcW w:w="5038" w:type="dxa"/>
            <w:tcBorders>
              <w:top w:val="single" w:sz="6" w:space="0" w:color="auto"/>
              <w:left w:val="single" w:sz="6" w:space="0" w:color="auto"/>
              <w:bottom w:val="single" w:sz="6" w:space="0" w:color="auto"/>
              <w:right w:val="single" w:sz="6" w:space="0" w:color="auto"/>
            </w:tcBorders>
          </w:tcPr>
          <w:p w:rsidR="00E52B27" w:rsidRPr="00B718AA" w:rsidRDefault="00E52B27" w:rsidP="00E52B27">
            <w:pPr>
              <w:ind w:right="-11"/>
            </w:pPr>
          </w:p>
          <w:p w:rsidR="00E52B27" w:rsidRPr="00B718AA" w:rsidRDefault="00E52B27" w:rsidP="00E52B27">
            <w:pPr>
              <w:ind w:right="-11"/>
              <w:rPr>
                <w:vertAlign w:val="superscript"/>
              </w:rPr>
            </w:pPr>
            <w:r w:rsidRPr="00B718AA">
              <w:t>raz na 2000 m</w:t>
            </w:r>
            <w:r w:rsidRPr="00B718AA">
              <w:rPr>
                <w:vertAlign w:val="superscript"/>
              </w:rPr>
              <w:t>2</w:t>
            </w:r>
          </w:p>
          <w:p w:rsidR="00E52B27" w:rsidRPr="00B718AA" w:rsidRDefault="00E52B27" w:rsidP="00E52B27">
            <w:pPr>
              <w:ind w:right="-11"/>
            </w:pPr>
            <w:r w:rsidRPr="00B718AA">
              <w:t xml:space="preserve">co najmniej w 20 punktach na każde </w:t>
            </w:r>
            <w:smartTag w:uri="urn:schemas-microsoft-com:office:smarttags" w:element="metricconverter">
              <w:smartTagPr>
                <w:attr w:name="ProductID" w:val="1000 m"/>
              </w:smartTagPr>
              <w:r w:rsidRPr="00B718AA">
                <w:t>1000 m</w:t>
              </w:r>
            </w:smartTag>
          </w:p>
        </w:tc>
      </w:tr>
    </w:tbl>
    <w:p w:rsidR="00E52B27" w:rsidRPr="00B718AA" w:rsidRDefault="00E52B27" w:rsidP="00E52B27">
      <w:pPr>
        <w:ind w:left="284" w:right="-11" w:hanging="284"/>
        <w:jc w:val="both"/>
      </w:pPr>
      <w:r w:rsidRPr="00B718AA">
        <w:t>*) Dodatkowe pomiary spadków poprzecznych i ukształtowania osi w planie należy wykonać w punktach głównych łuków poziomych.</w:t>
      </w:r>
    </w:p>
    <w:p w:rsidR="00E52B27" w:rsidRPr="00B718AA" w:rsidRDefault="00E52B27" w:rsidP="00E52B27">
      <w:pPr>
        <w:ind w:left="284" w:right="-11" w:hanging="284"/>
        <w:jc w:val="both"/>
      </w:pPr>
    </w:p>
    <w:p w:rsidR="00E52B27" w:rsidRPr="00B718AA" w:rsidRDefault="00E52B27" w:rsidP="00E52B27">
      <w:pPr>
        <w:keepNext/>
        <w:spacing w:line="360" w:lineRule="auto"/>
        <w:ind w:right="-11"/>
        <w:jc w:val="both"/>
      </w:pPr>
      <w:r w:rsidRPr="00B718AA">
        <w:rPr>
          <w:b/>
        </w:rPr>
        <w:t xml:space="preserve">6.4.2. </w:t>
      </w:r>
      <w:r w:rsidRPr="00B718AA">
        <w:t xml:space="preserve">Szerokość podbudowy </w:t>
      </w:r>
    </w:p>
    <w:p w:rsidR="00E52B27" w:rsidRPr="00B718AA" w:rsidRDefault="00E52B27" w:rsidP="00E52B27">
      <w:pPr>
        <w:spacing w:line="360" w:lineRule="auto"/>
        <w:ind w:right="-11"/>
        <w:jc w:val="both"/>
      </w:pPr>
      <w:r w:rsidRPr="00B718AA">
        <w:tab/>
        <w:t xml:space="preserve">Szerokość podbudowy nie może różnić się od szerokości projektowanej o więcej </w:t>
      </w:r>
      <w:r w:rsidRPr="00B718AA">
        <w:br/>
        <w:t>niż +</w:t>
      </w:r>
      <w:smartTag w:uri="urn:schemas-microsoft-com:office:smarttags" w:element="metricconverter">
        <w:smartTagPr>
          <w:attr w:name="ProductID" w:val="10 cm"/>
        </w:smartTagPr>
        <w:r w:rsidRPr="00B718AA">
          <w:t>10 cm</w:t>
        </w:r>
      </w:smartTag>
      <w:r w:rsidRPr="00B718AA">
        <w:t xml:space="preserve">, </w:t>
      </w:r>
      <w:smartTag w:uri="urn:schemas-microsoft-com:office:smarttags" w:element="metricconverter">
        <w:smartTagPr>
          <w:attr w:name="ProductID" w:val="-5 cm"/>
        </w:smartTagPr>
        <w:r w:rsidRPr="00B718AA">
          <w:t>-5 cm</w:t>
        </w:r>
      </w:smartTag>
      <w:r w:rsidRPr="00B718AA">
        <w:t>.</w:t>
      </w:r>
    </w:p>
    <w:p w:rsidR="00E52B27" w:rsidRPr="00B718AA" w:rsidRDefault="00E52B27" w:rsidP="00E52B27">
      <w:pPr>
        <w:spacing w:line="360" w:lineRule="auto"/>
        <w:ind w:right="-11"/>
        <w:jc w:val="both"/>
      </w:pPr>
      <w:r w:rsidRPr="00B718AA">
        <w:tab/>
        <w:t xml:space="preserve">Na jezdniach bez krawężników szerokość podbudowy powinna być większa </w:t>
      </w:r>
      <w:r w:rsidRPr="00B718AA">
        <w:br/>
        <w:t xml:space="preserve">od szerokości warstwy wyżej leżącej o co najmniej </w:t>
      </w:r>
      <w:smartTag w:uri="urn:schemas-microsoft-com:office:smarttags" w:element="metricconverter">
        <w:smartTagPr>
          <w:attr w:name="ProductID" w:val="25 cm"/>
        </w:smartTagPr>
        <w:r w:rsidRPr="00B718AA">
          <w:t>25 cm.</w:t>
        </w:r>
      </w:smartTag>
      <w:r w:rsidRPr="00B718AA">
        <w:t xml:space="preserve"> </w:t>
      </w:r>
    </w:p>
    <w:p w:rsidR="00E52B27" w:rsidRPr="00B718AA" w:rsidRDefault="00E52B27" w:rsidP="00E52B27">
      <w:pPr>
        <w:spacing w:line="360" w:lineRule="auto"/>
        <w:ind w:right="-11"/>
        <w:jc w:val="both"/>
      </w:pPr>
      <w:r w:rsidRPr="00B718AA">
        <w:rPr>
          <w:b/>
        </w:rPr>
        <w:t xml:space="preserve">6.4.3. </w:t>
      </w:r>
      <w:r w:rsidRPr="00B718AA">
        <w:t xml:space="preserve">Równość podbudowy </w:t>
      </w:r>
    </w:p>
    <w:p w:rsidR="00E52B27" w:rsidRPr="00B718AA" w:rsidRDefault="00E52B27" w:rsidP="00E52B27">
      <w:pPr>
        <w:spacing w:line="360" w:lineRule="auto"/>
        <w:ind w:right="-11"/>
        <w:jc w:val="both"/>
      </w:pPr>
      <w:r w:rsidRPr="00B718AA">
        <w:tab/>
        <w:t xml:space="preserve">Nierówności podłużne podbudowy należy mierzyć 4-metrową łatą lub </w:t>
      </w:r>
      <w:proofErr w:type="spellStart"/>
      <w:r w:rsidRPr="00B718AA">
        <w:t>planografem</w:t>
      </w:r>
      <w:proofErr w:type="spellEnd"/>
      <w:r w:rsidRPr="00B718AA">
        <w:t xml:space="preserve">, zgodnie z BN-68/8931-04 [20]. </w:t>
      </w:r>
    </w:p>
    <w:p w:rsidR="00E52B27" w:rsidRPr="00B718AA" w:rsidRDefault="00E52B27" w:rsidP="00E52B27">
      <w:pPr>
        <w:spacing w:line="360" w:lineRule="auto"/>
        <w:ind w:right="-11"/>
        <w:jc w:val="both"/>
      </w:pPr>
      <w:r w:rsidRPr="00B718AA">
        <w:tab/>
        <w:t xml:space="preserve">Nierówności poprzeczne podbudowy należy mierzyć 4-metrową łatą. </w:t>
      </w:r>
    </w:p>
    <w:p w:rsidR="00E52B27" w:rsidRPr="00B718AA" w:rsidRDefault="00E52B27" w:rsidP="00E52B27">
      <w:pPr>
        <w:spacing w:line="360" w:lineRule="auto"/>
        <w:ind w:right="-11"/>
        <w:jc w:val="both"/>
        <w:rPr>
          <w:b/>
        </w:rPr>
      </w:pPr>
      <w:r w:rsidRPr="00B718AA">
        <w:tab/>
        <w:t>Nierówności podłużne i poprzeczne podbudowy  nie mogą przekraczać 12 mm</w:t>
      </w:r>
      <w:r w:rsidRPr="00B718AA">
        <w:rPr>
          <w:b/>
        </w:rPr>
        <w:t>.</w:t>
      </w:r>
    </w:p>
    <w:p w:rsidR="00E52B27" w:rsidRPr="00B718AA" w:rsidRDefault="00E52B27" w:rsidP="00E52B27">
      <w:pPr>
        <w:spacing w:line="360" w:lineRule="auto"/>
        <w:ind w:right="-11"/>
        <w:jc w:val="both"/>
      </w:pPr>
    </w:p>
    <w:p w:rsidR="00E52B27" w:rsidRPr="00B718AA" w:rsidRDefault="00E52B27" w:rsidP="00E52B27">
      <w:pPr>
        <w:spacing w:line="360" w:lineRule="auto"/>
        <w:ind w:right="-11"/>
        <w:jc w:val="both"/>
      </w:pPr>
      <w:r w:rsidRPr="00B718AA">
        <w:rPr>
          <w:b/>
        </w:rPr>
        <w:t xml:space="preserve">6.4.4. </w:t>
      </w:r>
      <w:r w:rsidRPr="00B718AA">
        <w:t xml:space="preserve">Spadki poprzeczne podbudowy </w:t>
      </w:r>
    </w:p>
    <w:p w:rsidR="00E52B27" w:rsidRPr="00B718AA" w:rsidRDefault="00E52B27" w:rsidP="00E52B27">
      <w:pPr>
        <w:spacing w:line="360" w:lineRule="auto"/>
        <w:ind w:right="-11"/>
        <w:jc w:val="both"/>
      </w:pPr>
      <w:r w:rsidRPr="00B718AA">
        <w:tab/>
        <w:t xml:space="preserve">Spadki poprzeczne podbudowy na prostych i łukach powinny być zgodne </w:t>
      </w:r>
      <w:r w:rsidRPr="00B718AA">
        <w:br/>
        <w:t xml:space="preserve">z założonymi,  z tolerancją </w:t>
      </w:r>
      <w:r w:rsidRPr="00B718AA">
        <w:sym w:font="Symbol" w:char="00B1"/>
      </w:r>
      <w:r w:rsidRPr="00B718AA">
        <w:t xml:space="preserve"> 0,5 %.</w:t>
      </w:r>
    </w:p>
    <w:p w:rsidR="00E52B27" w:rsidRPr="00B718AA" w:rsidRDefault="00E52B27" w:rsidP="00E52B27">
      <w:pPr>
        <w:spacing w:line="360" w:lineRule="auto"/>
        <w:ind w:right="-11"/>
        <w:jc w:val="both"/>
      </w:pPr>
    </w:p>
    <w:p w:rsidR="00E52B27" w:rsidRPr="00B718AA" w:rsidRDefault="00E52B27" w:rsidP="00E52B27">
      <w:pPr>
        <w:spacing w:line="360" w:lineRule="auto"/>
        <w:ind w:right="-11"/>
        <w:jc w:val="both"/>
      </w:pPr>
      <w:r w:rsidRPr="00B718AA">
        <w:rPr>
          <w:b/>
        </w:rPr>
        <w:t xml:space="preserve">6.4.5. </w:t>
      </w:r>
      <w:r w:rsidRPr="00B718AA">
        <w:t xml:space="preserve">Rzędne wysokościowe podbudowy </w:t>
      </w:r>
    </w:p>
    <w:p w:rsidR="00E52B27" w:rsidRPr="00B718AA" w:rsidRDefault="00E52B27" w:rsidP="00E52B27">
      <w:pPr>
        <w:spacing w:line="360" w:lineRule="auto"/>
        <w:ind w:right="-11"/>
        <w:jc w:val="both"/>
      </w:pPr>
      <w:r w:rsidRPr="00B718AA">
        <w:tab/>
        <w:t xml:space="preserve">Różnice pomiędzy rzędnymi wysokościowymi podbudowy i rzędnymi założonymi nie powinny przekraczać + </w:t>
      </w:r>
      <w:smartTag w:uri="urn:schemas-microsoft-com:office:smarttags" w:element="metricconverter">
        <w:smartTagPr>
          <w:attr w:name="ProductID" w:val="1 cm"/>
        </w:smartTagPr>
        <w:r w:rsidRPr="00B718AA">
          <w:t>1 cm</w:t>
        </w:r>
      </w:smartTag>
      <w:r w:rsidRPr="00B718AA">
        <w:t xml:space="preserve">, </w:t>
      </w:r>
      <w:smartTag w:uri="urn:schemas-microsoft-com:office:smarttags" w:element="metricconverter">
        <w:smartTagPr>
          <w:attr w:name="ProductID" w:val="-2 cm"/>
        </w:smartTagPr>
        <w:r w:rsidRPr="00B718AA">
          <w:t>-2 cm</w:t>
        </w:r>
      </w:smartTag>
      <w:r w:rsidRPr="00B718AA">
        <w:t>.</w:t>
      </w:r>
    </w:p>
    <w:p w:rsidR="00E52B27" w:rsidRPr="00B718AA" w:rsidRDefault="00E52B27" w:rsidP="00E52B27">
      <w:pPr>
        <w:spacing w:line="360" w:lineRule="auto"/>
        <w:ind w:right="-11"/>
        <w:jc w:val="both"/>
      </w:pPr>
    </w:p>
    <w:p w:rsidR="00E52B27" w:rsidRPr="00B718AA" w:rsidRDefault="00E52B27" w:rsidP="00E52B27">
      <w:pPr>
        <w:spacing w:line="360" w:lineRule="auto"/>
        <w:ind w:right="-11"/>
        <w:jc w:val="both"/>
      </w:pPr>
      <w:r w:rsidRPr="00B718AA">
        <w:rPr>
          <w:b/>
        </w:rPr>
        <w:t xml:space="preserve">6.4.6. </w:t>
      </w:r>
      <w:r w:rsidRPr="00B718AA">
        <w:t>Ukształtowanie osi podbudowy i ulepszonego podłoża</w:t>
      </w:r>
    </w:p>
    <w:p w:rsidR="00E52B27" w:rsidRPr="00B718AA" w:rsidRDefault="00E52B27" w:rsidP="00E52B27">
      <w:pPr>
        <w:spacing w:line="360" w:lineRule="auto"/>
        <w:ind w:right="-11"/>
        <w:jc w:val="both"/>
      </w:pPr>
      <w:r w:rsidRPr="00B718AA">
        <w:tab/>
        <w:t xml:space="preserve">Oś podbudowy w planie nie może być przesunięta w stosunku do osi założonej o więcej niż </w:t>
      </w:r>
      <w:r w:rsidRPr="00B718AA">
        <w:sym w:font="Symbol" w:char="00B1"/>
      </w:r>
      <w:r w:rsidRPr="00B718AA">
        <w:t xml:space="preserve"> </w:t>
      </w:r>
      <w:smartTag w:uri="urn:schemas-microsoft-com:office:smarttags" w:element="metricconverter">
        <w:smartTagPr>
          <w:attr w:name="ProductID" w:val="5 cm"/>
        </w:smartTagPr>
        <w:r w:rsidRPr="00B718AA">
          <w:t>5 cm</w:t>
        </w:r>
      </w:smartTag>
      <w:r w:rsidRPr="00B718AA">
        <w:t>.</w:t>
      </w:r>
    </w:p>
    <w:p w:rsidR="00E52B27" w:rsidRPr="00B718AA" w:rsidRDefault="00E52B27" w:rsidP="00E52B27">
      <w:pPr>
        <w:spacing w:line="360" w:lineRule="auto"/>
        <w:ind w:right="-11"/>
        <w:jc w:val="both"/>
      </w:pPr>
    </w:p>
    <w:p w:rsidR="00E52B27" w:rsidRPr="00B718AA" w:rsidRDefault="00E52B27" w:rsidP="00E52B27">
      <w:pPr>
        <w:spacing w:line="360" w:lineRule="auto"/>
        <w:ind w:right="-11"/>
        <w:jc w:val="both"/>
      </w:pPr>
    </w:p>
    <w:p w:rsidR="00E52B27" w:rsidRPr="00B718AA" w:rsidRDefault="00E52B27" w:rsidP="00E52B27">
      <w:pPr>
        <w:spacing w:line="360" w:lineRule="auto"/>
        <w:ind w:right="-11"/>
        <w:jc w:val="both"/>
      </w:pPr>
      <w:r w:rsidRPr="00B718AA">
        <w:rPr>
          <w:b/>
        </w:rPr>
        <w:t xml:space="preserve">6.4.7. </w:t>
      </w:r>
      <w:r w:rsidRPr="00B718AA">
        <w:t>Grubość podbudowy i ulepszonego podłoża</w:t>
      </w:r>
    </w:p>
    <w:p w:rsidR="00E52B27" w:rsidRPr="00B718AA" w:rsidRDefault="00E52B27" w:rsidP="00E52B27">
      <w:pPr>
        <w:jc w:val="both"/>
        <w:rPr>
          <w:b/>
        </w:rPr>
      </w:pPr>
      <w:r w:rsidRPr="00B718AA">
        <w:lastRenderedPageBreak/>
        <w:tab/>
        <w:t xml:space="preserve">Grubość podbudowy nie może się  różnić od grubości projektowanej o więcej </w:t>
      </w:r>
      <w:r w:rsidRPr="00B718AA">
        <w:br/>
        <w:t xml:space="preserve">niż </w:t>
      </w:r>
      <w:r w:rsidRPr="00B718AA">
        <w:sym w:font="Symbol" w:char="00B1"/>
      </w:r>
      <w:r w:rsidRPr="00B718AA">
        <w:t>10%.</w:t>
      </w:r>
    </w:p>
    <w:p w:rsidR="00E52B27" w:rsidRPr="00B718AA" w:rsidRDefault="00E52B27" w:rsidP="00E52B27">
      <w:pPr>
        <w:pStyle w:val="tekstost"/>
        <w:spacing w:line="360" w:lineRule="auto"/>
      </w:pPr>
      <w:r w:rsidRPr="00B718AA">
        <w:t>Niezależnie od tego musi być zachowany pakiet warstw konstrukcji nawierzchni, założony w dokumentacji przetargowej.</w:t>
      </w:r>
    </w:p>
    <w:p w:rsidR="00E52B27" w:rsidRPr="00B718AA" w:rsidRDefault="00E52B27" w:rsidP="00E52B27">
      <w:pPr>
        <w:pStyle w:val="tekstost"/>
        <w:spacing w:line="360" w:lineRule="auto"/>
      </w:pPr>
    </w:p>
    <w:p w:rsidR="00E52B27" w:rsidRPr="00B718AA" w:rsidRDefault="00E52B27" w:rsidP="00E52B27">
      <w:pPr>
        <w:pStyle w:val="tekstost"/>
        <w:spacing w:line="360" w:lineRule="auto"/>
      </w:pPr>
      <w:r w:rsidRPr="00B718AA">
        <w:rPr>
          <w:b/>
        </w:rPr>
        <w:t xml:space="preserve">6.4.8. </w:t>
      </w:r>
      <w:r w:rsidRPr="00B718AA">
        <w:t>Nośność podbudowy</w:t>
      </w:r>
    </w:p>
    <w:p w:rsidR="00E52B27" w:rsidRPr="00B718AA" w:rsidRDefault="00E52B27" w:rsidP="00E52B27">
      <w:pPr>
        <w:pStyle w:val="tekstost"/>
        <w:numPr>
          <w:ilvl w:val="0"/>
          <w:numId w:val="1"/>
        </w:numPr>
        <w:overflowPunct w:val="0"/>
        <w:autoSpaceDE w:val="0"/>
        <w:autoSpaceDN w:val="0"/>
        <w:adjustRightInd w:val="0"/>
        <w:spacing w:line="360" w:lineRule="auto"/>
      </w:pPr>
      <w:r w:rsidRPr="00B718AA">
        <w:t xml:space="preserve">moduł odkształcenia wg BN-64/8931-02 [19] powinien być zgodny z podanym </w:t>
      </w:r>
      <w:r w:rsidRPr="00B718AA">
        <w:br/>
        <w:t>w tablicy 7,</w:t>
      </w:r>
    </w:p>
    <w:p w:rsidR="00E52B27" w:rsidRPr="00B718AA" w:rsidRDefault="00E52B27" w:rsidP="00E52B27">
      <w:pPr>
        <w:pStyle w:val="tekstost"/>
        <w:numPr>
          <w:ilvl w:val="0"/>
          <w:numId w:val="1"/>
        </w:numPr>
        <w:overflowPunct w:val="0"/>
        <w:autoSpaceDE w:val="0"/>
        <w:autoSpaceDN w:val="0"/>
        <w:adjustRightInd w:val="0"/>
        <w:spacing w:line="360" w:lineRule="auto"/>
        <w:ind w:left="284" w:hanging="284"/>
      </w:pPr>
      <w:r w:rsidRPr="00B718AA">
        <w:t>ugięcie sprężyste wg BN-70/8931-06 [21] powinno być zgodne z podanym w tablicy 7.</w:t>
      </w:r>
    </w:p>
    <w:p w:rsidR="00E52B27" w:rsidRPr="00B718AA" w:rsidRDefault="00E52B27" w:rsidP="00E52B27">
      <w:pPr>
        <w:pStyle w:val="tekstost"/>
        <w:spacing w:line="360" w:lineRule="auto"/>
        <w:ind w:left="284"/>
      </w:pPr>
    </w:p>
    <w:p w:rsidR="00E52B27" w:rsidRPr="00B718AA" w:rsidRDefault="00E52B27" w:rsidP="00E52B27">
      <w:pPr>
        <w:pStyle w:val="tekstost"/>
        <w:rPr>
          <w:i/>
        </w:rPr>
      </w:pPr>
      <w:r w:rsidRPr="00B718AA">
        <w:rPr>
          <w:i/>
        </w:rPr>
        <w:t>Tablica 7. Cechy podbudowy</w:t>
      </w:r>
    </w:p>
    <w:p w:rsidR="00E52B27" w:rsidRPr="00B718AA" w:rsidRDefault="00E52B27" w:rsidP="00E52B27"/>
    <w:tbl>
      <w:tblPr>
        <w:tblW w:w="0" w:type="auto"/>
        <w:tblLayout w:type="fixed"/>
        <w:tblCellMar>
          <w:left w:w="70" w:type="dxa"/>
          <w:right w:w="70" w:type="dxa"/>
        </w:tblCellMar>
        <w:tblLook w:val="0000" w:firstRow="0" w:lastRow="0" w:firstColumn="0" w:lastColumn="0" w:noHBand="0" w:noVBand="0"/>
      </w:tblPr>
      <w:tblGrid>
        <w:gridCol w:w="1630"/>
        <w:gridCol w:w="1842"/>
        <w:gridCol w:w="1276"/>
        <w:gridCol w:w="1418"/>
        <w:gridCol w:w="1701"/>
        <w:gridCol w:w="1559"/>
      </w:tblGrid>
      <w:tr w:rsidR="00E52B27" w:rsidRPr="00B718AA" w:rsidTr="00E52B27">
        <w:tc>
          <w:tcPr>
            <w:tcW w:w="1630" w:type="dxa"/>
            <w:tcBorders>
              <w:top w:val="single" w:sz="6" w:space="0" w:color="auto"/>
              <w:left w:val="single" w:sz="6" w:space="0" w:color="auto"/>
              <w:bottom w:val="nil"/>
              <w:right w:val="nil"/>
            </w:tcBorders>
          </w:tcPr>
          <w:p w:rsidR="00E52B27" w:rsidRPr="00B718AA" w:rsidRDefault="00E52B27" w:rsidP="00E52B27">
            <w:pPr>
              <w:pStyle w:val="tekstost"/>
              <w:jc w:val="center"/>
            </w:pPr>
          </w:p>
        </w:tc>
        <w:tc>
          <w:tcPr>
            <w:tcW w:w="7796" w:type="dxa"/>
            <w:gridSpan w:val="5"/>
            <w:tcBorders>
              <w:top w:val="single" w:sz="6" w:space="0" w:color="auto"/>
              <w:left w:val="single" w:sz="6" w:space="0" w:color="auto"/>
              <w:bottom w:val="single" w:sz="6" w:space="0" w:color="auto"/>
              <w:right w:val="single" w:sz="6" w:space="0" w:color="auto"/>
            </w:tcBorders>
          </w:tcPr>
          <w:p w:rsidR="00E52B27" w:rsidRPr="00B718AA" w:rsidRDefault="00E52B27" w:rsidP="00E52B27">
            <w:pPr>
              <w:pStyle w:val="tekstost"/>
              <w:jc w:val="center"/>
            </w:pPr>
            <w:r w:rsidRPr="00B718AA">
              <w:t>Wymagane cechy podbudowy</w:t>
            </w:r>
          </w:p>
        </w:tc>
      </w:tr>
      <w:tr w:rsidR="00E52B27" w:rsidRPr="00B718AA" w:rsidTr="00E52B27">
        <w:tc>
          <w:tcPr>
            <w:tcW w:w="1630" w:type="dxa"/>
            <w:vMerge w:val="restart"/>
            <w:tcBorders>
              <w:top w:val="nil"/>
              <w:left w:val="single" w:sz="6" w:space="0" w:color="auto"/>
              <w:right w:val="nil"/>
            </w:tcBorders>
          </w:tcPr>
          <w:p w:rsidR="00E52B27" w:rsidRPr="00B718AA" w:rsidRDefault="00E52B27" w:rsidP="00E52B27">
            <w:pPr>
              <w:jc w:val="center"/>
            </w:pPr>
            <w:r w:rsidRPr="00B718AA">
              <w:t>Podbudowa</w:t>
            </w:r>
          </w:p>
          <w:p w:rsidR="00E52B27" w:rsidRPr="00B718AA" w:rsidRDefault="00E52B27" w:rsidP="00E52B27">
            <w:pPr>
              <w:jc w:val="center"/>
            </w:pPr>
            <w:r w:rsidRPr="00B718AA">
              <w:t xml:space="preserve">z kruszywa </w:t>
            </w:r>
            <w:r w:rsidRPr="00B718AA">
              <w:br/>
              <w:t>o wskaźniku w</w:t>
            </w:r>
            <w:r w:rsidRPr="00B718AA">
              <w:rPr>
                <w:vertAlign w:val="subscript"/>
              </w:rPr>
              <w:t>noś</w:t>
            </w:r>
            <w:r w:rsidRPr="00B718AA">
              <w:t xml:space="preserve"> nie mniejszym niż   %</w:t>
            </w:r>
          </w:p>
        </w:tc>
        <w:tc>
          <w:tcPr>
            <w:tcW w:w="1842" w:type="dxa"/>
            <w:vMerge w:val="restart"/>
            <w:tcBorders>
              <w:top w:val="single" w:sz="6" w:space="0" w:color="auto"/>
              <w:left w:val="single" w:sz="6" w:space="0" w:color="auto"/>
              <w:right w:val="single" w:sz="6" w:space="0" w:color="auto"/>
            </w:tcBorders>
          </w:tcPr>
          <w:p w:rsidR="00E52B27" w:rsidRPr="00B718AA" w:rsidRDefault="00E52B27" w:rsidP="00E52B27">
            <w:pPr>
              <w:jc w:val="center"/>
            </w:pPr>
          </w:p>
          <w:p w:rsidR="00E52B27" w:rsidRPr="00B718AA" w:rsidRDefault="00E52B27" w:rsidP="00E52B27">
            <w:pPr>
              <w:jc w:val="center"/>
            </w:pPr>
            <w:r w:rsidRPr="00B718AA">
              <w:t>Wskaźnik zagęszczenia I</w:t>
            </w:r>
            <w:r w:rsidRPr="00B718AA">
              <w:rPr>
                <w:vertAlign w:val="subscript"/>
              </w:rPr>
              <w:t>S</w:t>
            </w:r>
            <w:r w:rsidRPr="00B718AA">
              <w:t xml:space="preserve"> </w:t>
            </w:r>
            <w:r w:rsidRPr="00B718AA">
              <w:br/>
              <w:t xml:space="preserve">nie mniejszy niż </w:t>
            </w:r>
          </w:p>
        </w:tc>
        <w:tc>
          <w:tcPr>
            <w:tcW w:w="2694" w:type="dxa"/>
            <w:gridSpan w:val="2"/>
            <w:tcBorders>
              <w:top w:val="single" w:sz="6" w:space="0" w:color="auto"/>
              <w:left w:val="single" w:sz="6" w:space="0" w:color="auto"/>
              <w:bottom w:val="single" w:sz="6" w:space="0" w:color="auto"/>
              <w:right w:val="single" w:sz="6" w:space="0" w:color="auto"/>
            </w:tcBorders>
            <w:vAlign w:val="center"/>
          </w:tcPr>
          <w:p w:rsidR="00E52B27" w:rsidRPr="00B718AA" w:rsidRDefault="00E52B27" w:rsidP="00E52B27">
            <w:pPr>
              <w:jc w:val="center"/>
            </w:pPr>
          </w:p>
          <w:p w:rsidR="00E52B27" w:rsidRPr="00B718AA" w:rsidRDefault="00E52B27" w:rsidP="00E52B27">
            <w:pPr>
              <w:jc w:val="center"/>
            </w:pPr>
            <w:r w:rsidRPr="00B718AA">
              <w:t xml:space="preserve">Maksymalne ugięcie </w:t>
            </w:r>
            <w:r w:rsidRPr="00B718AA">
              <w:br/>
              <w:t>sprężyste pod kołem</w:t>
            </w:r>
            <w:r w:rsidRPr="00B718AA">
              <w:br/>
              <w:t>mm</w:t>
            </w:r>
          </w:p>
        </w:tc>
        <w:tc>
          <w:tcPr>
            <w:tcW w:w="3260" w:type="dxa"/>
            <w:gridSpan w:val="2"/>
            <w:tcBorders>
              <w:top w:val="single" w:sz="6" w:space="0" w:color="auto"/>
              <w:left w:val="single" w:sz="6" w:space="0" w:color="auto"/>
              <w:bottom w:val="single" w:sz="6" w:space="0" w:color="auto"/>
              <w:right w:val="single" w:sz="6" w:space="0" w:color="auto"/>
            </w:tcBorders>
            <w:vAlign w:val="center"/>
          </w:tcPr>
          <w:p w:rsidR="00E52B27" w:rsidRPr="00B718AA" w:rsidRDefault="00E52B27" w:rsidP="00E52B27">
            <w:pPr>
              <w:jc w:val="center"/>
            </w:pPr>
            <w:r w:rsidRPr="00B718AA">
              <w:t>Minimalny moduł odkształcenia mierzony płytą o średnicy 30 cm</w:t>
            </w:r>
            <w:r w:rsidRPr="00B718AA">
              <w:br/>
            </w:r>
            <w:proofErr w:type="spellStart"/>
            <w:r w:rsidRPr="00B718AA">
              <w:t>MPa</w:t>
            </w:r>
            <w:proofErr w:type="spellEnd"/>
          </w:p>
        </w:tc>
      </w:tr>
      <w:tr w:rsidR="00E52B27" w:rsidRPr="00B718AA" w:rsidTr="00E52B27">
        <w:tc>
          <w:tcPr>
            <w:tcW w:w="1630" w:type="dxa"/>
            <w:vMerge/>
            <w:tcBorders>
              <w:left w:val="single" w:sz="6" w:space="0" w:color="auto"/>
              <w:bottom w:val="double" w:sz="6" w:space="0" w:color="auto"/>
              <w:right w:val="single" w:sz="6" w:space="0" w:color="auto"/>
            </w:tcBorders>
          </w:tcPr>
          <w:p w:rsidR="00E52B27" w:rsidRPr="00B718AA" w:rsidRDefault="00E52B27" w:rsidP="00E52B27"/>
        </w:tc>
        <w:tc>
          <w:tcPr>
            <w:tcW w:w="1842" w:type="dxa"/>
            <w:vMerge/>
            <w:tcBorders>
              <w:left w:val="single" w:sz="6" w:space="0" w:color="auto"/>
              <w:bottom w:val="double" w:sz="6" w:space="0" w:color="auto"/>
              <w:right w:val="single" w:sz="6" w:space="0" w:color="auto"/>
            </w:tcBorders>
          </w:tcPr>
          <w:p w:rsidR="00E52B27" w:rsidRPr="00B718AA" w:rsidRDefault="00E52B27" w:rsidP="00E52B27">
            <w:pPr>
              <w:jc w:val="center"/>
            </w:pPr>
          </w:p>
        </w:tc>
        <w:tc>
          <w:tcPr>
            <w:tcW w:w="1276" w:type="dxa"/>
            <w:tcBorders>
              <w:top w:val="nil"/>
              <w:left w:val="single" w:sz="6" w:space="0" w:color="auto"/>
              <w:bottom w:val="double" w:sz="6" w:space="0" w:color="auto"/>
              <w:right w:val="single" w:sz="6" w:space="0" w:color="auto"/>
            </w:tcBorders>
            <w:vAlign w:val="center"/>
          </w:tcPr>
          <w:p w:rsidR="00E52B27" w:rsidRPr="00B718AA" w:rsidRDefault="00E52B27" w:rsidP="00E52B27">
            <w:pPr>
              <w:jc w:val="center"/>
            </w:pPr>
            <w:r w:rsidRPr="00B718AA">
              <w:t xml:space="preserve">40 </w:t>
            </w:r>
            <w:proofErr w:type="spellStart"/>
            <w:r w:rsidRPr="00B718AA">
              <w:t>kN</w:t>
            </w:r>
            <w:proofErr w:type="spellEnd"/>
          </w:p>
        </w:tc>
        <w:tc>
          <w:tcPr>
            <w:tcW w:w="1418" w:type="dxa"/>
            <w:tcBorders>
              <w:top w:val="nil"/>
              <w:left w:val="single" w:sz="6" w:space="0" w:color="auto"/>
              <w:bottom w:val="double" w:sz="6" w:space="0" w:color="auto"/>
              <w:right w:val="single" w:sz="6" w:space="0" w:color="auto"/>
            </w:tcBorders>
            <w:vAlign w:val="center"/>
          </w:tcPr>
          <w:p w:rsidR="00E52B27" w:rsidRPr="00B718AA" w:rsidRDefault="00E52B27" w:rsidP="00E52B27">
            <w:pPr>
              <w:jc w:val="center"/>
            </w:pPr>
            <w:r w:rsidRPr="00B718AA">
              <w:t xml:space="preserve">50 </w:t>
            </w:r>
            <w:proofErr w:type="spellStart"/>
            <w:r w:rsidRPr="00B718AA">
              <w:t>kN</w:t>
            </w:r>
            <w:proofErr w:type="spellEnd"/>
          </w:p>
        </w:tc>
        <w:tc>
          <w:tcPr>
            <w:tcW w:w="1701" w:type="dxa"/>
            <w:tcBorders>
              <w:top w:val="nil"/>
              <w:left w:val="single" w:sz="6" w:space="0" w:color="auto"/>
              <w:bottom w:val="double" w:sz="4" w:space="0" w:color="auto"/>
              <w:right w:val="single" w:sz="6" w:space="0" w:color="auto"/>
            </w:tcBorders>
          </w:tcPr>
          <w:p w:rsidR="00E52B27" w:rsidRPr="00B718AA" w:rsidRDefault="00E52B27" w:rsidP="00E52B27">
            <w:pPr>
              <w:jc w:val="center"/>
            </w:pPr>
            <w:r w:rsidRPr="00B718AA">
              <w:t>od pierwszego obciążenia E</w:t>
            </w:r>
            <w:r w:rsidRPr="00B718AA">
              <w:rPr>
                <w:vertAlign w:val="subscript"/>
              </w:rPr>
              <w:t>1</w:t>
            </w:r>
          </w:p>
        </w:tc>
        <w:tc>
          <w:tcPr>
            <w:tcW w:w="1559" w:type="dxa"/>
            <w:tcBorders>
              <w:top w:val="nil"/>
              <w:left w:val="single" w:sz="6" w:space="0" w:color="auto"/>
              <w:bottom w:val="double" w:sz="4" w:space="0" w:color="auto"/>
              <w:right w:val="single" w:sz="6" w:space="0" w:color="auto"/>
            </w:tcBorders>
          </w:tcPr>
          <w:p w:rsidR="00E52B27" w:rsidRPr="00B718AA" w:rsidRDefault="00E52B27" w:rsidP="00E52B27">
            <w:pPr>
              <w:jc w:val="center"/>
            </w:pPr>
            <w:r w:rsidRPr="00B718AA">
              <w:t>od drugiego obciążenia E</w:t>
            </w:r>
            <w:r w:rsidRPr="00B718AA">
              <w:rPr>
                <w:vertAlign w:val="subscript"/>
              </w:rPr>
              <w:t>2</w:t>
            </w:r>
          </w:p>
        </w:tc>
      </w:tr>
      <w:tr w:rsidR="00E52B27" w:rsidRPr="00B718AA" w:rsidTr="00E52B27">
        <w:trPr>
          <w:trHeight w:val="523"/>
        </w:trPr>
        <w:tc>
          <w:tcPr>
            <w:tcW w:w="1630" w:type="dxa"/>
            <w:tcBorders>
              <w:top w:val="nil"/>
              <w:left w:val="single" w:sz="6" w:space="0" w:color="auto"/>
              <w:bottom w:val="single" w:sz="6" w:space="0" w:color="auto"/>
              <w:right w:val="single" w:sz="6" w:space="0" w:color="auto"/>
            </w:tcBorders>
            <w:vAlign w:val="center"/>
          </w:tcPr>
          <w:p w:rsidR="00E52B27" w:rsidRPr="00B718AA" w:rsidRDefault="00E52B27" w:rsidP="00E52B27">
            <w:pPr>
              <w:jc w:val="center"/>
            </w:pPr>
            <w:r w:rsidRPr="00B718AA">
              <w:t>120</w:t>
            </w:r>
          </w:p>
        </w:tc>
        <w:tc>
          <w:tcPr>
            <w:tcW w:w="1842" w:type="dxa"/>
            <w:tcBorders>
              <w:top w:val="nil"/>
              <w:left w:val="single" w:sz="6" w:space="0" w:color="auto"/>
              <w:bottom w:val="single" w:sz="6" w:space="0" w:color="auto"/>
              <w:right w:val="single" w:sz="6" w:space="0" w:color="auto"/>
            </w:tcBorders>
            <w:vAlign w:val="center"/>
          </w:tcPr>
          <w:p w:rsidR="00E52B27" w:rsidRPr="00B718AA" w:rsidRDefault="00E52B27" w:rsidP="00E52B27">
            <w:pPr>
              <w:jc w:val="center"/>
            </w:pPr>
            <w:r w:rsidRPr="00B718AA">
              <w:t>1,03</w:t>
            </w:r>
          </w:p>
        </w:tc>
        <w:tc>
          <w:tcPr>
            <w:tcW w:w="1276" w:type="dxa"/>
            <w:tcBorders>
              <w:top w:val="nil"/>
              <w:left w:val="single" w:sz="6" w:space="0" w:color="auto"/>
              <w:bottom w:val="single" w:sz="6" w:space="0" w:color="auto"/>
              <w:right w:val="single" w:sz="6" w:space="0" w:color="auto"/>
            </w:tcBorders>
            <w:vAlign w:val="center"/>
          </w:tcPr>
          <w:p w:rsidR="00E52B27" w:rsidRPr="00B718AA" w:rsidRDefault="00E52B27" w:rsidP="00E52B27">
            <w:pPr>
              <w:jc w:val="center"/>
            </w:pPr>
            <w:r w:rsidRPr="00B718AA">
              <w:t>1,10</w:t>
            </w:r>
          </w:p>
        </w:tc>
        <w:tc>
          <w:tcPr>
            <w:tcW w:w="1418" w:type="dxa"/>
            <w:tcBorders>
              <w:top w:val="nil"/>
              <w:left w:val="single" w:sz="6" w:space="0" w:color="auto"/>
              <w:bottom w:val="single" w:sz="6" w:space="0" w:color="auto"/>
              <w:right w:val="single" w:sz="6" w:space="0" w:color="auto"/>
            </w:tcBorders>
            <w:vAlign w:val="center"/>
          </w:tcPr>
          <w:p w:rsidR="00E52B27" w:rsidRPr="00B718AA" w:rsidRDefault="00E52B27" w:rsidP="00E52B27">
            <w:pPr>
              <w:jc w:val="center"/>
            </w:pPr>
            <w:r w:rsidRPr="00B718AA">
              <w:t>1,20</w:t>
            </w:r>
          </w:p>
        </w:tc>
        <w:tc>
          <w:tcPr>
            <w:tcW w:w="1701" w:type="dxa"/>
            <w:tcBorders>
              <w:top w:val="double" w:sz="4" w:space="0" w:color="auto"/>
              <w:left w:val="single" w:sz="6" w:space="0" w:color="auto"/>
              <w:bottom w:val="single" w:sz="6" w:space="0" w:color="auto"/>
              <w:right w:val="single" w:sz="6" w:space="0" w:color="auto"/>
            </w:tcBorders>
            <w:vAlign w:val="center"/>
          </w:tcPr>
          <w:p w:rsidR="00E52B27" w:rsidRPr="00B718AA" w:rsidRDefault="00E52B27" w:rsidP="00E52B27">
            <w:pPr>
              <w:jc w:val="center"/>
            </w:pPr>
            <w:r w:rsidRPr="00B718AA">
              <w:t>100</w:t>
            </w:r>
          </w:p>
        </w:tc>
        <w:tc>
          <w:tcPr>
            <w:tcW w:w="1559" w:type="dxa"/>
            <w:tcBorders>
              <w:top w:val="double" w:sz="4" w:space="0" w:color="auto"/>
              <w:left w:val="single" w:sz="6" w:space="0" w:color="auto"/>
              <w:bottom w:val="single" w:sz="6" w:space="0" w:color="auto"/>
              <w:right w:val="single" w:sz="6" w:space="0" w:color="auto"/>
            </w:tcBorders>
            <w:vAlign w:val="center"/>
          </w:tcPr>
          <w:p w:rsidR="00E52B27" w:rsidRPr="00B718AA" w:rsidRDefault="00E52B27" w:rsidP="00E52B27">
            <w:pPr>
              <w:jc w:val="center"/>
            </w:pPr>
            <w:r w:rsidRPr="00B718AA">
              <w:t>180</w:t>
            </w:r>
          </w:p>
        </w:tc>
      </w:tr>
    </w:tbl>
    <w:p w:rsidR="00E52B27" w:rsidRPr="00B718AA" w:rsidRDefault="00E52B27" w:rsidP="00E52B27">
      <w:pPr>
        <w:spacing w:line="360" w:lineRule="auto"/>
      </w:pPr>
    </w:p>
    <w:p w:rsidR="00E52B27" w:rsidRPr="00B718AA" w:rsidRDefault="00E52B27" w:rsidP="00E52B27">
      <w:pPr>
        <w:spacing w:line="360" w:lineRule="auto"/>
        <w:jc w:val="both"/>
      </w:pPr>
      <w:r w:rsidRPr="00B718AA">
        <w:t xml:space="preserve">Obciążenie końcowe na płytę należy doprowadzić do 0,45 </w:t>
      </w:r>
      <w:proofErr w:type="spellStart"/>
      <w:r w:rsidRPr="00B718AA">
        <w:t>MPa</w:t>
      </w:r>
      <w:proofErr w:type="spellEnd"/>
      <w:r w:rsidRPr="00B718AA">
        <w:t xml:space="preserve">; zakres obciążenia </w:t>
      </w:r>
      <w:r w:rsidRPr="00B718AA">
        <w:br/>
        <w:t xml:space="preserve">do obliczenia modułów – 0,25/0,35 </w:t>
      </w:r>
      <w:proofErr w:type="spellStart"/>
      <w:r w:rsidRPr="00B718AA">
        <w:t>MPa</w:t>
      </w:r>
      <w:proofErr w:type="spellEnd"/>
      <w:r w:rsidRPr="00B718AA">
        <w:t>; we wzorze obliczeniowym modułów należy zastosować mnożnik ¾”.</w:t>
      </w:r>
    </w:p>
    <w:p w:rsidR="00E52B27" w:rsidRPr="00B718AA" w:rsidRDefault="00E52B27" w:rsidP="00E52B27">
      <w:pPr>
        <w:pStyle w:val="Nagwek2"/>
        <w:spacing w:line="360" w:lineRule="auto"/>
        <w:rPr>
          <w:bCs/>
          <w:i/>
        </w:rPr>
      </w:pPr>
      <w:bookmarkStart w:id="95" w:name="_Toc316558711"/>
      <w:r w:rsidRPr="00B718AA">
        <w:t>6.5. Zasady postępowania z wadliwie wykonanymi odcinkami podbudowy</w:t>
      </w:r>
      <w:bookmarkEnd w:id="95"/>
      <w:r w:rsidRPr="00B718AA">
        <w:t xml:space="preserve"> </w:t>
      </w:r>
    </w:p>
    <w:p w:rsidR="00E52B27" w:rsidRPr="00B718AA" w:rsidRDefault="00E52B27" w:rsidP="00E52B27">
      <w:pPr>
        <w:spacing w:line="360" w:lineRule="auto"/>
        <w:jc w:val="both"/>
      </w:pPr>
      <w:r w:rsidRPr="00B718AA">
        <w:rPr>
          <w:b/>
        </w:rPr>
        <w:t xml:space="preserve">6.5.1. </w:t>
      </w:r>
      <w:r w:rsidRPr="00B718AA">
        <w:t xml:space="preserve">Niewłaściwe cechy geometryczne podbudowy </w:t>
      </w:r>
    </w:p>
    <w:p w:rsidR="00E52B27" w:rsidRPr="00B718AA" w:rsidRDefault="00E52B27" w:rsidP="00E52B27">
      <w:pPr>
        <w:spacing w:line="360" w:lineRule="auto"/>
        <w:jc w:val="both"/>
      </w:pPr>
      <w:r w:rsidRPr="00B718AA">
        <w:tab/>
        <w:t xml:space="preserve">Wszystkie powierzchnie podbudowy, które wykazują większe odchylenia </w:t>
      </w:r>
      <w:r w:rsidRPr="00B718AA">
        <w:br/>
        <w:t xml:space="preserve">od  określonych w punkcie 6.4 powinny być naprawione przez spulchnienie lub zerwanie do głębokości co najmniej </w:t>
      </w:r>
      <w:smartTag w:uri="urn:schemas-microsoft-com:office:smarttags" w:element="metricconverter">
        <w:smartTagPr>
          <w:attr w:name="ProductID" w:val="10 cm"/>
        </w:smartTagPr>
        <w:r w:rsidRPr="00B718AA">
          <w:t>10 cm</w:t>
        </w:r>
      </w:smartTag>
      <w:r w:rsidRPr="00B718AA">
        <w:t>, wyrównane i powtórnie zagęszczone. Dodanie nowego materiału bez spulchnienia wykonanej warstwy jest niedopuszczalne.</w:t>
      </w:r>
    </w:p>
    <w:p w:rsidR="00E52B27" w:rsidRPr="00B718AA" w:rsidRDefault="00E52B27" w:rsidP="00B718AA">
      <w:pPr>
        <w:spacing w:line="360" w:lineRule="auto"/>
        <w:jc w:val="both"/>
      </w:pPr>
      <w:r w:rsidRPr="00B718AA">
        <w:tab/>
        <w:t xml:space="preserve">Jeżeli szerokość podbudowy jest mniejsza od szerokości projektowanej o więcej niż </w:t>
      </w:r>
      <w:smartTag w:uri="urn:schemas-microsoft-com:office:smarttags" w:element="metricconverter">
        <w:smartTagPr>
          <w:attr w:name="ProductID" w:val="5 cm"/>
        </w:smartTagPr>
        <w:r w:rsidRPr="00B718AA">
          <w:t>5 cm</w:t>
        </w:r>
      </w:smartTag>
      <w:r w:rsidRPr="00B718AA">
        <w:t xml:space="preserve"> i nie zapewnia podparcia warstwom wyżej leżącym, to Wykonawca powinien </w:t>
      </w:r>
      <w:r w:rsidRPr="00B718AA">
        <w:br/>
        <w:t xml:space="preserve">na własny koszt poszerzyć podbudowę przez spulchnienie warstwy na pełną grubość </w:t>
      </w:r>
      <w:r w:rsidRPr="00B718AA">
        <w:br/>
        <w:t>do połowy szerokości pasa ruchu, dołożenie materiału i powtórne zagęszczenie.</w:t>
      </w:r>
    </w:p>
    <w:p w:rsidR="00E52B27" w:rsidRPr="00B718AA" w:rsidRDefault="00E52B27" w:rsidP="00E52B27">
      <w:pPr>
        <w:spacing w:line="360" w:lineRule="auto"/>
        <w:jc w:val="both"/>
      </w:pPr>
    </w:p>
    <w:p w:rsidR="00E52B27" w:rsidRPr="00B718AA" w:rsidRDefault="00E52B27" w:rsidP="00E52B27">
      <w:pPr>
        <w:spacing w:line="360" w:lineRule="auto"/>
        <w:jc w:val="both"/>
      </w:pPr>
      <w:r w:rsidRPr="00B718AA">
        <w:rPr>
          <w:b/>
        </w:rPr>
        <w:t xml:space="preserve">6.5.2. </w:t>
      </w:r>
      <w:r w:rsidRPr="00B718AA">
        <w:t xml:space="preserve">Niewłaściwa grubość podbudowy </w:t>
      </w:r>
    </w:p>
    <w:p w:rsidR="00E52B27" w:rsidRPr="00B718AA" w:rsidRDefault="00E52B27" w:rsidP="00E52B27">
      <w:pPr>
        <w:spacing w:line="360" w:lineRule="auto"/>
        <w:jc w:val="both"/>
      </w:pPr>
      <w:r w:rsidRPr="00B718AA">
        <w:tab/>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w:t>
      </w:r>
    </w:p>
    <w:p w:rsidR="00E52B27" w:rsidRPr="00B718AA" w:rsidRDefault="00E52B27" w:rsidP="00E52B27">
      <w:pPr>
        <w:spacing w:line="360" w:lineRule="auto"/>
        <w:ind w:firstLine="709"/>
        <w:jc w:val="both"/>
      </w:pPr>
      <w:r w:rsidRPr="00B718AA">
        <w:t>Roboty te Wykonawca wykona na własny koszt. Po wykonaniu tych robót nastąpi ponowny pomiar i ocena grubości warstwy, według wyżej podanych zasad, na koszt Wykonawcy.</w:t>
      </w:r>
    </w:p>
    <w:p w:rsidR="00E52B27" w:rsidRPr="00B718AA" w:rsidRDefault="00E52B27" w:rsidP="00E52B27">
      <w:pPr>
        <w:spacing w:line="360" w:lineRule="auto"/>
        <w:ind w:firstLine="709"/>
        <w:jc w:val="both"/>
      </w:pPr>
    </w:p>
    <w:p w:rsidR="00E52B27" w:rsidRPr="00B718AA" w:rsidRDefault="00E52B27" w:rsidP="00E52B27">
      <w:pPr>
        <w:spacing w:line="360" w:lineRule="auto"/>
        <w:jc w:val="both"/>
      </w:pPr>
      <w:r w:rsidRPr="00B718AA">
        <w:rPr>
          <w:b/>
        </w:rPr>
        <w:t xml:space="preserve">6.5.3. </w:t>
      </w:r>
      <w:r w:rsidRPr="00B718AA">
        <w:t xml:space="preserve">Niewłaściwa nośność podbudowy </w:t>
      </w:r>
    </w:p>
    <w:p w:rsidR="00E52B27" w:rsidRPr="00B718AA" w:rsidRDefault="00E52B27" w:rsidP="00E52B27">
      <w:pPr>
        <w:spacing w:line="360" w:lineRule="auto"/>
        <w:jc w:val="both"/>
      </w:pPr>
      <w:r w:rsidRPr="00B718AA">
        <w:lastRenderedPageBreak/>
        <w:tab/>
        <w:t xml:space="preserve">Jeżeli nośność podbudowy będzie mniejsza od wymaganej, to Wykonawca wykona wszelkie roboty niezbędne do zapewnienia wymaganej nośności, zalecone </w:t>
      </w:r>
      <w:r w:rsidRPr="00B718AA">
        <w:br/>
        <w:t>przez Inspektora Nadzoru.</w:t>
      </w:r>
    </w:p>
    <w:p w:rsidR="00E52B27" w:rsidRPr="00B718AA" w:rsidRDefault="00E52B27" w:rsidP="00E52B27">
      <w:pPr>
        <w:spacing w:line="360" w:lineRule="auto"/>
        <w:jc w:val="both"/>
      </w:pPr>
      <w:r w:rsidRPr="00B718AA">
        <w:tab/>
        <w:t xml:space="preserve">Koszty tych dodatkowych robót poniesie Wykonawca podbudowy tylko wtedy, </w:t>
      </w:r>
      <w:r w:rsidRPr="00B718AA">
        <w:br/>
        <w:t xml:space="preserve">gdy zaniżenie nośności podbudowy wynikło z niewłaściwego wykonania robót </w:t>
      </w:r>
      <w:r w:rsidRPr="00B718AA">
        <w:br/>
        <w:t>przez Wykonawcę podbudowy.</w:t>
      </w:r>
    </w:p>
    <w:p w:rsidR="00E52B27" w:rsidRPr="00B718AA" w:rsidRDefault="00E52B27" w:rsidP="00E52B27">
      <w:pPr>
        <w:spacing w:line="360" w:lineRule="auto"/>
        <w:jc w:val="both"/>
      </w:pPr>
    </w:p>
    <w:p w:rsidR="00E52B27" w:rsidRPr="00B718AA" w:rsidRDefault="00E52B27" w:rsidP="00E52B27">
      <w:pPr>
        <w:pStyle w:val="Nagwek1"/>
        <w:spacing w:after="240" w:line="360" w:lineRule="auto"/>
      </w:pPr>
      <w:bookmarkStart w:id="96" w:name="_Toc316558712"/>
      <w:r w:rsidRPr="00B718AA">
        <w:t>7. OBMIAR ROBÓT</w:t>
      </w:r>
      <w:bookmarkEnd w:id="96"/>
    </w:p>
    <w:p w:rsidR="00E52B27" w:rsidRPr="00B718AA" w:rsidRDefault="00E52B27" w:rsidP="00E52B27">
      <w:pPr>
        <w:pStyle w:val="Nagwek2"/>
        <w:spacing w:before="0" w:after="0" w:line="360" w:lineRule="auto"/>
        <w:rPr>
          <w:bCs/>
          <w:i/>
        </w:rPr>
      </w:pPr>
      <w:bookmarkStart w:id="97" w:name="_Toc316558713"/>
      <w:r w:rsidRPr="00B718AA">
        <w:t>7.1. Ogólne zasady obmiaru robót</w:t>
      </w:r>
      <w:bookmarkEnd w:id="97"/>
    </w:p>
    <w:p w:rsidR="00E52B27" w:rsidRPr="00B718AA" w:rsidRDefault="00E52B27" w:rsidP="00E52B27">
      <w:pPr>
        <w:spacing w:line="360" w:lineRule="auto"/>
        <w:ind w:right="-11"/>
        <w:jc w:val="both"/>
      </w:pPr>
      <w:r w:rsidRPr="00B718AA">
        <w:tab/>
        <w:t>Ogólne zasady obmiaru robót podano w SST D-M-00.00.00 „Wymagania ogólne” pkt 7.</w:t>
      </w:r>
    </w:p>
    <w:p w:rsidR="00E52B27" w:rsidRPr="00B718AA" w:rsidRDefault="00E52B27" w:rsidP="00E52B27">
      <w:pPr>
        <w:spacing w:line="360" w:lineRule="auto"/>
        <w:ind w:right="-11"/>
        <w:jc w:val="both"/>
      </w:pPr>
    </w:p>
    <w:p w:rsidR="00E52B27" w:rsidRPr="00B718AA" w:rsidRDefault="00E52B27" w:rsidP="00E52B27">
      <w:pPr>
        <w:pStyle w:val="Nagwek2"/>
        <w:spacing w:before="0" w:after="0" w:line="360" w:lineRule="auto"/>
        <w:rPr>
          <w:bCs/>
          <w:i/>
        </w:rPr>
      </w:pPr>
      <w:bookmarkStart w:id="98" w:name="_Toc316558714"/>
      <w:r w:rsidRPr="00B718AA">
        <w:t>7.2. Jednostka obmiarowa</w:t>
      </w:r>
      <w:bookmarkEnd w:id="98"/>
    </w:p>
    <w:p w:rsidR="00E52B27" w:rsidRPr="00B718AA" w:rsidRDefault="00E52B27" w:rsidP="00E52B27">
      <w:pPr>
        <w:spacing w:line="360" w:lineRule="auto"/>
        <w:ind w:right="-11"/>
        <w:jc w:val="both"/>
      </w:pPr>
      <w:r w:rsidRPr="00B718AA">
        <w:tab/>
        <w:t>Jednostką obmiarową jest m</w:t>
      </w:r>
      <w:r w:rsidRPr="00B718AA">
        <w:rPr>
          <w:vertAlign w:val="superscript"/>
        </w:rPr>
        <w:t>2</w:t>
      </w:r>
      <w:r w:rsidRPr="00B718AA">
        <w:t xml:space="preserve"> (metr kwadratowy) podbudowy z mieszanki niezwiązanej.</w:t>
      </w:r>
    </w:p>
    <w:p w:rsidR="00E52B27" w:rsidRPr="00B718AA" w:rsidRDefault="00E52B27" w:rsidP="00E52B27">
      <w:pPr>
        <w:spacing w:line="360" w:lineRule="auto"/>
        <w:ind w:right="-11"/>
        <w:jc w:val="both"/>
      </w:pPr>
    </w:p>
    <w:p w:rsidR="00E52B27" w:rsidRPr="00B718AA" w:rsidRDefault="00E52B27" w:rsidP="00E52B27">
      <w:pPr>
        <w:pStyle w:val="Nagwek1"/>
        <w:spacing w:line="360" w:lineRule="auto"/>
      </w:pPr>
      <w:bookmarkStart w:id="99" w:name="_Toc316558715"/>
      <w:r w:rsidRPr="00B718AA">
        <w:t>8. ODBIÓR ROBÓT</w:t>
      </w:r>
      <w:bookmarkEnd w:id="99"/>
    </w:p>
    <w:p w:rsidR="00E52B27" w:rsidRPr="00B718AA" w:rsidRDefault="00E52B27" w:rsidP="00E52B27">
      <w:pPr>
        <w:spacing w:line="360" w:lineRule="auto"/>
        <w:ind w:right="-11"/>
        <w:jc w:val="both"/>
      </w:pPr>
      <w:r w:rsidRPr="00B718AA">
        <w:tab/>
        <w:t xml:space="preserve">Ogólne zasady odbioru robót podano w SST D-M-00.00.00 „Wymagania ogólne” </w:t>
      </w:r>
      <w:r w:rsidRPr="00B718AA">
        <w:br/>
        <w:t>pkt 8.</w:t>
      </w:r>
    </w:p>
    <w:p w:rsidR="00E52B27" w:rsidRPr="00B718AA" w:rsidRDefault="00E52B27" w:rsidP="00E52B27">
      <w:pPr>
        <w:spacing w:line="360" w:lineRule="auto"/>
        <w:ind w:right="-11"/>
        <w:jc w:val="both"/>
      </w:pPr>
      <w:r w:rsidRPr="00B718AA">
        <w:tab/>
        <w:t>Roboty uznaje się za zgodne z dokumentacją, SST i wymaganiami Inspektora Nadzoru, jeżeli wszystkie pomiary i badania z zachowaniem tolerancji wg pkt 6 dały wyniki pozytywne.</w:t>
      </w:r>
    </w:p>
    <w:p w:rsidR="00E52B27" w:rsidRPr="00B718AA" w:rsidRDefault="00E52B27" w:rsidP="00E52B27">
      <w:pPr>
        <w:pStyle w:val="Nagwek1"/>
        <w:spacing w:line="360" w:lineRule="auto"/>
      </w:pPr>
    </w:p>
    <w:p w:rsidR="00E52B27" w:rsidRPr="00B718AA" w:rsidRDefault="00E52B27" w:rsidP="00E52B27">
      <w:pPr>
        <w:pStyle w:val="Nagwek1"/>
        <w:spacing w:after="240" w:line="360" w:lineRule="auto"/>
      </w:pPr>
      <w:bookmarkStart w:id="100" w:name="_Toc316558716"/>
      <w:r w:rsidRPr="00B718AA">
        <w:t>9. PODSTAWA PŁATNOŚCI</w:t>
      </w:r>
      <w:bookmarkEnd w:id="100"/>
    </w:p>
    <w:p w:rsidR="00E52B27" w:rsidRPr="00B718AA" w:rsidRDefault="00E52B27" w:rsidP="00E52B27">
      <w:pPr>
        <w:pStyle w:val="Nagwek2"/>
        <w:spacing w:before="0" w:after="0" w:line="360" w:lineRule="auto"/>
        <w:rPr>
          <w:bCs/>
          <w:i/>
        </w:rPr>
      </w:pPr>
      <w:bookmarkStart w:id="101" w:name="_Toc316558717"/>
      <w:r w:rsidRPr="00B718AA">
        <w:t>9.1. Ogólne ustalenia dotyczące podstawy płatności</w:t>
      </w:r>
      <w:bookmarkEnd w:id="101"/>
    </w:p>
    <w:p w:rsidR="00E52B27" w:rsidRPr="00B718AA" w:rsidRDefault="00E52B27" w:rsidP="00E52B27">
      <w:pPr>
        <w:spacing w:line="360" w:lineRule="auto"/>
        <w:ind w:right="-11"/>
        <w:jc w:val="both"/>
      </w:pPr>
      <w:r w:rsidRPr="00B718AA">
        <w:rPr>
          <w:b/>
        </w:rPr>
        <w:tab/>
      </w:r>
      <w:r w:rsidRPr="00B718AA">
        <w:t>Ogólne ustalenia dotyczące podstawy płatności podano w SST D-M-00.00.00 „Wymagania ogólne” pkt 9.</w:t>
      </w:r>
    </w:p>
    <w:p w:rsidR="00E52B27" w:rsidRPr="00B718AA" w:rsidRDefault="00E52B27" w:rsidP="00E52B27">
      <w:pPr>
        <w:pStyle w:val="Nagwek2"/>
        <w:spacing w:before="0" w:after="0" w:line="360" w:lineRule="auto"/>
        <w:rPr>
          <w:bCs/>
          <w:i/>
        </w:rPr>
      </w:pPr>
      <w:bookmarkStart w:id="102" w:name="_Toc316558718"/>
      <w:r w:rsidRPr="00B718AA">
        <w:t>9.2. Cena jednostki obmiarowej</w:t>
      </w:r>
      <w:bookmarkEnd w:id="102"/>
    </w:p>
    <w:p w:rsidR="00E52B27" w:rsidRPr="00B718AA" w:rsidRDefault="00E52B27" w:rsidP="00E52B27">
      <w:pPr>
        <w:spacing w:line="360" w:lineRule="auto"/>
        <w:jc w:val="both"/>
      </w:pPr>
      <w:r w:rsidRPr="00B718AA">
        <w:tab/>
        <w:t>Cena wykonania 1 m</w:t>
      </w:r>
      <w:r w:rsidRPr="00B718AA">
        <w:rPr>
          <w:vertAlign w:val="superscript"/>
        </w:rPr>
        <w:t>2</w:t>
      </w:r>
      <w:r w:rsidRPr="00B718AA">
        <w:t xml:space="preserve"> podbudowy obejmuje:</w:t>
      </w:r>
    </w:p>
    <w:p w:rsidR="00E52B27" w:rsidRPr="00B718AA" w:rsidRDefault="00E52B27" w:rsidP="002122BD">
      <w:pPr>
        <w:numPr>
          <w:ilvl w:val="0"/>
          <w:numId w:val="22"/>
        </w:numPr>
        <w:spacing w:line="360" w:lineRule="auto"/>
        <w:jc w:val="both"/>
      </w:pPr>
      <w:r w:rsidRPr="00B718AA">
        <w:t>prace pomiarowe i roboty przygotowawcze,</w:t>
      </w:r>
    </w:p>
    <w:p w:rsidR="00E52B27" w:rsidRPr="00B718AA" w:rsidRDefault="00E52B27" w:rsidP="002122BD">
      <w:pPr>
        <w:numPr>
          <w:ilvl w:val="0"/>
          <w:numId w:val="22"/>
        </w:numPr>
        <w:spacing w:line="360" w:lineRule="auto"/>
        <w:jc w:val="both"/>
      </w:pPr>
      <w:r w:rsidRPr="00B718AA">
        <w:t>oznakowanie robót,</w:t>
      </w:r>
    </w:p>
    <w:p w:rsidR="00E52B27" w:rsidRPr="00B718AA" w:rsidRDefault="00E52B27" w:rsidP="002122BD">
      <w:pPr>
        <w:numPr>
          <w:ilvl w:val="0"/>
          <w:numId w:val="22"/>
        </w:numPr>
        <w:spacing w:line="360" w:lineRule="auto"/>
        <w:jc w:val="both"/>
      </w:pPr>
      <w:r w:rsidRPr="00B718AA">
        <w:t>przygotowanie mieszanki z kruszywa, zgodnie z receptą,</w:t>
      </w:r>
    </w:p>
    <w:p w:rsidR="00E52B27" w:rsidRPr="00B718AA" w:rsidRDefault="00E52B27" w:rsidP="002122BD">
      <w:pPr>
        <w:numPr>
          <w:ilvl w:val="0"/>
          <w:numId w:val="22"/>
        </w:numPr>
        <w:spacing w:line="360" w:lineRule="auto"/>
        <w:jc w:val="both"/>
      </w:pPr>
      <w:r w:rsidRPr="00B718AA">
        <w:t>dostarczenie mieszanki na miejsce wbudowania,</w:t>
      </w:r>
    </w:p>
    <w:p w:rsidR="00E52B27" w:rsidRPr="00B718AA" w:rsidRDefault="00E52B27" w:rsidP="002122BD">
      <w:pPr>
        <w:numPr>
          <w:ilvl w:val="0"/>
          <w:numId w:val="22"/>
        </w:numPr>
        <w:spacing w:line="360" w:lineRule="auto"/>
        <w:jc w:val="both"/>
      </w:pPr>
      <w:r w:rsidRPr="00B718AA">
        <w:t>rozłożenie mieszanki,</w:t>
      </w:r>
    </w:p>
    <w:p w:rsidR="00E52B27" w:rsidRPr="00B718AA" w:rsidRDefault="00E52B27" w:rsidP="002122BD">
      <w:pPr>
        <w:numPr>
          <w:ilvl w:val="0"/>
          <w:numId w:val="22"/>
        </w:numPr>
        <w:spacing w:line="360" w:lineRule="auto"/>
        <w:jc w:val="both"/>
      </w:pPr>
      <w:r w:rsidRPr="00B718AA">
        <w:t>zagęszczenie rozłożonej mieszanki,</w:t>
      </w:r>
    </w:p>
    <w:p w:rsidR="00E52B27" w:rsidRPr="00B718AA" w:rsidRDefault="00E52B27" w:rsidP="002122BD">
      <w:pPr>
        <w:numPr>
          <w:ilvl w:val="0"/>
          <w:numId w:val="22"/>
        </w:numPr>
        <w:spacing w:line="360" w:lineRule="auto"/>
        <w:jc w:val="both"/>
      </w:pPr>
      <w:r w:rsidRPr="00B718AA">
        <w:t>przeprowadzenie pomiarów i badań laboratoryjnych określonych w specyfikacji technicznej,</w:t>
      </w:r>
    </w:p>
    <w:p w:rsidR="00E52B27" w:rsidRPr="00B718AA" w:rsidRDefault="00E52B27" w:rsidP="002122BD">
      <w:pPr>
        <w:numPr>
          <w:ilvl w:val="0"/>
          <w:numId w:val="22"/>
        </w:numPr>
        <w:spacing w:line="360" w:lineRule="auto"/>
        <w:jc w:val="both"/>
      </w:pPr>
      <w:r w:rsidRPr="00B718AA">
        <w:t>utrzymanie podbudowy w czasie robót.</w:t>
      </w:r>
      <w:bookmarkStart w:id="103" w:name="_Toc316558719"/>
    </w:p>
    <w:p w:rsidR="00E52B27" w:rsidRPr="00B718AA" w:rsidRDefault="00E52B27" w:rsidP="00E52B27"/>
    <w:p w:rsidR="00E52B27" w:rsidRPr="00B718AA" w:rsidRDefault="00E52B27" w:rsidP="00E52B27">
      <w:pPr>
        <w:pStyle w:val="Nagwek1"/>
        <w:spacing w:after="240" w:line="360" w:lineRule="auto"/>
      </w:pPr>
      <w:r w:rsidRPr="00B718AA">
        <w:lastRenderedPageBreak/>
        <w:t>10. przepisy związane</w:t>
      </w:r>
      <w:bookmarkEnd w:id="103"/>
    </w:p>
    <w:p w:rsidR="00E52B27" w:rsidRPr="00B718AA" w:rsidRDefault="00E52B27" w:rsidP="00E52B27">
      <w:pPr>
        <w:pStyle w:val="Nagwek2"/>
        <w:tabs>
          <w:tab w:val="left" w:pos="2977"/>
          <w:tab w:val="left" w:pos="3261"/>
        </w:tabs>
        <w:spacing w:before="0" w:after="0" w:line="360" w:lineRule="auto"/>
        <w:rPr>
          <w:i/>
        </w:rPr>
      </w:pPr>
      <w:bookmarkStart w:id="104" w:name="_Toc316558720"/>
      <w:r w:rsidRPr="00B718AA">
        <w:t>10.1. Normy</w:t>
      </w:r>
      <w:bookmarkEnd w:id="104"/>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933-1</w:t>
      </w:r>
      <w:r w:rsidRPr="00B718AA">
        <w:tab/>
        <w:t xml:space="preserve">Badania geometrycznych właściwości kruszyw – </w:t>
      </w:r>
      <w:r w:rsidRPr="00B718AA">
        <w:tab/>
        <w:t>Oznaczanie składu ziarnowego – Metoda przesiewania</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933-3</w:t>
      </w:r>
      <w:r w:rsidRPr="00B718AA">
        <w:tab/>
        <w:t xml:space="preserve">Badania geometrycznych właściwości kruszyw – </w:t>
      </w:r>
      <w:r w:rsidRPr="00B718AA">
        <w:tab/>
        <w:t xml:space="preserve">Oznaczanie kształtu ziaren za pomocą wskaźnika </w:t>
      </w:r>
      <w:r w:rsidRPr="00B718AA">
        <w:tab/>
        <w:t>płaskości</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933-4</w:t>
      </w:r>
      <w:r w:rsidRPr="00B718AA">
        <w:tab/>
        <w:t xml:space="preserve">Badania geometrycznych właściwości kruszyw – </w:t>
      </w:r>
      <w:r w:rsidRPr="00B718AA">
        <w:tab/>
        <w:t>Oznaczanie kształtu ziaren – Wskaźnik kształtu</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933-5</w:t>
      </w:r>
      <w:r w:rsidRPr="00B718AA">
        <w:tab/>
        <w:t xml:space="preserve">Badania geometrycznych właściwości kruszyw – </w:t>
      </w:r>
      <w:r w:rsidRPr="00B718AA">
        <w:tab/>
        <w:t xml:space="preserve">Oznaczanie procentowej zawartości </w:t>
      </w:r>
      <w:proofErr w:type="spellStart"/>
      <w:r w:rsidRPr="00B718AA">
        <w:t>ziarn</w:t>
      </w:r>
      <w:proofErr w:type="spellEnd"/>
      <w:r w:rsidRPr="00B718AA">
        <w:t xml:space="preserve"> o </w:t>
      </w:r>
      <w:r w:rsidRPr="00B718AA">
        <w:tab/>
        <w:t xml:space="preserve">powierzchniach powstałych w wyniku </w:t>
      </w:r>
      <w:proofErr w:type="spellStart"/>
      <w:r w:rsidRPr="00B718AA">
        <w:t>przekruszenia</w:t>
      </w:r>
      <w:proofErr w:type="spellEnd"/>
      <w:r w:rsidRPr="00B718AA">
        <w:t xml:space="preserve"> lub </w:t>
      </w:r>
      <w:r w:rsidRPr="00B718AA">
        <w:tab/>
        <w:t>łamania kruszyw grubych</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1097-1</w:t>
      </w:r>
      <w:r w:rsidRPr="00B718AA">
        <w:tab/>
        <w:t xml:space="preserve">Badania mechanicznych i fizycznych właściwości kruszyw </w:t>
      </w:r>
      <w:r w:rsidRPr="00B718AA">
        <w:tab/>
        <w:t>– Oznaczanie odporności na ścieranie (mikro-</w:t>
      </w:r>
      <w:proofErr w:type="spellStart"/>
      <w:r w:rsidRPr="00B718AA">
        <w:t>Deval</w:t>
      </w:r>
      <w:proofErr w:type="spellEnd"/>
      <w:r w:rsidRPr="00B718AA">
        <w:t>)</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1097-2</w:t>
      </w:r>
      <w:r w:rsidRPr="00B718AA">
        <w:tab/>
        <w:t xml:space="preserve">Badania mechanicznych i fizycznych właściwości kruszyw </w:t>
      </w:r>
      <w:r w:rsidRPr="00B718AA">
        <w:tab/>
        <w:t>– Metody oznaczania odporności na rozdrabnianie</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1097-6</w:t>
      </w:r>
      <w:r w:rsidRPr="00B718AA">
        <w:tab/>
        <w:t xml:space="preserve">Badania mechanicznych i fizycznych właściwości kruszyw </w:t>
      </w:r>
      <w:r w:rsidRPr="00B718AA">
        <w:tab/>
        <w:t xml:space="preserve">– Część 6: Oznaczanie gęstości </w:t>
      </w:r>
      <w:proofErr w:type="spellStart"/>
      <w:r w:rsidRPr="00B718AA">
        <w:t>ziarn</w:t>
      </w:r>
      <w:proofErr w:type="spellEnd"/>
      <w:r w:rsidRPr="00B718AA">
        <w:t xml:space="preserve"> i nasiąkliwości</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1367-1</w:t>
      </w:r>
      <w:r w:rsidRPr="00B718AA">
        <w:tab/>
        <w:t xml:space="preserve">Badania właściwości cieplnych i odporności kruszyw na </w:t>
      </w:r>
      <w:r w:rsidRPr="00B718AA">
        <w:tab/>
        <w:t xml:space="preserve">działanie czynników atmosferycznych – Część 1: </w:t>
      </w:r>
      <w:r w:rsidRPr="00B718AA">
        <w:tab/>
        <w:t>Oznaczanie mrozoodporności</w:t>
      </w:r>
    </w:p>
    <w:p w:rsidR="00E52B27" w:rsidRPr="00B718AA" w:rsidRDefault="00E52B27" w:rsidP="002122BD">
      <w:pPr>
        <w:pStyle w:val="Akapitzlist"/>
        <w:numPr>
          <w:ilvl w:val="0"/>
          <w:numId w:val="23"/>
        </w:numPr>
        <w:tabs>
          <w:tab w:val="left" w:pos="851"/>
          <w:tab w:val="left" w:pos="3261"/>
        </w:tabs>
        <w:spacing w:line="360" w:lineRule="auto"/>
        <w:ind w:left="851" w:hanging="425"/>
      </w:pPr>
      <w:r w:rsidRPr="00B718AA">
        <w:t>PN-EN 1367-3</w:t>
      </w:r>
      <w:r w:rsidRPr="00B718AA">
        <w:tab/>
        <w:t xml:space="preserve">Badania właściwości cieplnych i odporności kruszyw na </w:t>
      </w:r>
      <w:r w:rsidRPr="00B718AA">
        <w:tab/>
        <w:t xml:space="preserve">działanie czynników atmosferycznych – Część 3: Badanie </w:t>
      </w:r>
      <w:r w:rsidRPr="00B718AA">
        <w:tab/>
        <w:t>bazaltowej zgorzeli słonecznej metodą gotowania</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PN-EN 1744-1</w:t>
      </w:r>
      <w:r w:rsidRPr="00B718AA">
        <w:tab/>
        <w:t xml:space="preserve">Badania chemicznych właściwości kruszyw – Analiza </w:t>
      </w:r>
      <w:r w:rsidRPr="00B718AA">
        <w:tab/>
        <w:t>chemiczna</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PN-EN 1744-3</w:t>
      </w:r>
      <w:r w:rsidRPr="00B718AA">
        <w:tab/>
        <w:t xml:space="preserve">Badania chemicznych właściwości kruszyw – Część 3: </w:t>
      </w:r>
      <w:r w:rsidRPr="00B718AA">
        <w:tab/>
        <w:t>Przygotowanie wyciągów przez wymywanie kruszyw</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PN-EN 13242</w:t>
      </w:r>
      <w:r w:rsidRPr="00B718AA">
        <w:tab/>
        <w:t xml:space="preserve">Kruszywa do niezwiązanych i związanych hydraulicznie </w:t>
      </w:r>
      <w:r w:rsidRPr="00B718AA">
        <w:tab/>
        <w:t xml:space="preserve">materiałów stosowanych w obiektach budowlanych i </w:t>
      </w:r>
      <w:r w:rsidRPr="00B718AA">
        <w:tab/>
        <w:t>budownictwie drogowym</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PN-EN 13285</w:t>
      </w:r>
      <w:r w:rsidRPr="00B718AA">
        <w:tab/>
        <w:t xml:space="preserve">Mieszanki niezwiązane – Wymagania </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PN-EN 13286-2</w:t>
      </w:r>
      <w:r w:rsidRPr="00B718AA">
        <w:tab/>
        <w:t xml:space="preserve">Mieszanki niezwiązane i związane spoiwem </w:t>
      </w:r>
      <w:r w:rsidRPr="00B718AA">
        <w:tab/>
        <w:t xml:space="preserve">hydraulicznym – Część 2: Metody określania gęstości i </w:t>
      </w:r>
      <w:r w:rsidRPr="00B718AA">
        <w:tab/>
        <w:t xml:space="preserve">zawartości wody – Zagęszczanie metodą </w:t>
      </w:r>
      <w:proofErr w:type="spellStart"/>
      <w:r w:rsidRPr="00B718AA">
        <w:t>Proctor</w:t>
      </w:r>
      <w:proofErr w:type="spellEnd"/>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PN-EN 13286-47</w:t>
      </w:r>
      <w:r w:rsidRPr="00B718AA">
        <w:tab/>
        <w:t xml:space="preserve">Mieszanki niezwiązane i związane spoiwem </w:t>
      </w:r>
      <w:r w:rsidRPr="00B718AA">
        <w:tab/>
        <w:t xml:space="preserve">hydraulicznym – Część 47: Metody badań dla określenia </w:t>
      </w:r>
      <w:r w:rsidRPr="00B718AA">
        <w:tab/>
        <w:t xml:space="preserve">nośności, kalifornijski wskaźnik nośności CBR, </w:t>
      </w:r>
      <w:r w:rsidRPr="00B718AA">
        <w:tab/>
        <w:t>natychmiastowy wskaźnik nośności i pęcznienia liniowego</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PN-S-02205</w:t>
      </w:r>
      <w:r w:rsidRPr="00B718AA">
        <w:tab/>
        <w:t>Drogi samochodowe. Drogi samochodowe. Roboty</w:t>
      </w:r>
      <w:r w:rsidRPr="00B718AA">
        <w:tab/>
        <w:t>ziemne. Wymagania i badania.</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PN-S-06102</w:t>
      </w:r>
      <w:r w:rsidRPr="00B718AA">
        <w:tab/>
        <w:t>Drogi samochodowe. Podbudowy z kruszyw</w:t>
      </w:r>
      <w:r w:rsidRPr="00B718AA">
        <w:tab/>
        <w:t>stabilizowanych mechanicznie.</w:t>
      </w:r>
    </w:p>
    <w:p w:rsidR="00E52B27" w:rsidRPr="00B718AA" w:rsidRDefault="00E52B27" w:rsidP="002122BD">
      <w:pPr>
        <w:pStyle w:val="Akapitzlist"/>
        <w:numPr>
          <w:ilvl w:val="0"/>
          <w:numId w:val="23"/>
        </w:numPr>
        <w:tabs>
          <w:tab w:val="left" w:pos="851"/>
          <w:tab w:val="left" w:pos="3261"/>
        </w:tabs>
        <w:spacing w:line="360" w:lineRule="auto"/>
        <w:ind w:left="851" w:hanging="491"/>
      </w:pPr>
      <w:r w:rsidRPr="00B718AA">
        <w:t>PN-B-04481</w:t>
      </w:r>
      <w:r w:rsidRPr="00B718AA">
        <w:tab/>
        <w:t>Grunty budowlane. Badania próbek gruntu</w:t>
      </w:r>
    </w:p>
    <w:p w:rsidR="00E52B27" w:rsidRPr="00B718AA" w:rsidRDefault="00E52B27" w:rsidP="002122BD">
      <w:pPr>
        <w:pStyle w:val="Akapitzlist"/>
        <w:numPr>
          <w:ilvl w:val="0"/>
          <w:numId w:val="23"/>
        </w:numPr>
        <w:tabs>
          <w:tab w:val="left" w:pos="3261"/>
        </w:tabs>
        <w:spacing w:line="360" w:lineRule="auto"/>
        <w:ind w:left="851" w:hanging="491"/>
      </w:pPr>
      <w:r w:rsidRPr="00B718AA">
        <w:t>BN-64/8931-02</w:t>
      </w:r>
      <w:r w:rsidRPr="00B718AA">
        <w:tab/>
        <w:t>Drogi samochodowe. Oznaczanie modułu odkształcenia</w:t>
      </w:r>
      <w:r w:rsidRPr="00B718AA">
        <w:tab/>
        <w:t>nawierzchni podatnych i podłoża przez obciążenie płytą</w:t>
      </w:r>
    </w:p>
    <w:p w:rsidR="00E52B27" w:rsidRPr="00B718AA" w:rsidRDefault="00E52B27" w:rsidP="002122BD">
      <w:pPr>
        <w:pStyle w:val="Akapitzlist"/>
        <w:numPr>
          <w:ilvl w:val="0"/>
          <w:numId w:val="23"/>
        </w:numPr>
        <w:tabs>
          <w:tab w:val="left" w:pos="3261"/>
        </w:tabs>
        <w:spacing w:line="360" w:lineRule="auto"/>
        <w:ind w:left="851" w:hanging="491"/>
      </w:pPr>
      <w:r w:rsidRPr="00B718AA">
        <w:lastRenderedPageBreak/>
        <w:t>BN-68/8931-04</w:t>
      </w:r>
      <w:r w:rsidRPr="00B718AA">
        <w:tab/>
        <w:t>Drogi samochodowe. Pomiar równości nawierzchni</w:t>
      </w:r>
      <w:r w:rsidRPr="00B718AA">
        <w:tab/>
      </w:r>
      <w:proofErr w:type="spellStart"/>
      <w:r w:rsidRPr="00B718AA">
        <w:t>planografem</w:t>
      </w:r>
      <w:proofErr w:type="spellEnd"/>
      <w:r w:rsidRPr="00B718AA">
        <w:t xml:space="preserve"> i łatą.</w:t>
      </w:r>
    </w:p>
    <w:p w:rsidR="00E52B27" w:rsidRPr="00B718AA" w:rsidRDefault="00E52B27" w:rsidP="002122BD">
      <w:pPr>
        <w:pStyle w:val="Akapitzlist"/>
        <w:numPr>
          <w:ilvl w:val="0"/>
          <w:numId w:val="23"/>
        </w:numPr>
        <w:tabs>
          <w:tab w:val="left" w:pos="3261"/>
        </w:tabs>
        <w:spacing w:line="360" w:lineRule="auto"/>
        <w:ind w:left="851" w:hanging="491"/>
      </w:pPr>
      <w:r w:rsidRPr="00B718AA">
        <w:t>BN-70/8931-06</w:t>
      </w:r>
      <w:r w:rsidRPr="00B718AA">
        <w:tab/>
        <w:t>Drogi samochodowe. Pomiar ugięć podatnych</w:t>
      </w:r>
      <w:r w:rsidRPr="00B718AA">
        <w:tab/>
      </w:r>
      <w:proofErr w:type="spellStart"/>
      <w:r w:rsidRPr="00B718AA">
        <w:t>ugięciomierzem</w:t>
      </w:r>
      <w:proofErr w:type="spellEnd"/>
      <w:r w:rsidRPr="00B718AA">
        <w:t xml:space="preserve"> belkowym.</w:t>
      </w:r>
    </w:p>
    <w:p w:rsidR="00E52B27" w:rsidRPr="00B718AA" w:rsidRDefault="00E52B27" w:rsidP="002122BD">
      <w:pPr>
        <w:pStyle w:val="Akapitzlist"/>
        <w:numPr>
          <w:ilvl w:val="0"/>
          <w:numId w:val="23"/>
        </w:numPr>
        <w:tabs>
          <w:tab w:val="left" w:pos="3261"/>
        </w:tabs>
        <w:spacing w:line="360" w:lineRule="auto"/>
        <w:ind w:left="851" w:hanging="491"/>
      </w:pPr>
      <w:r w:rsidRPr="00B718AA">
        <w:t>BN-77/8931-12</w:t>
      </w:r>
      <w:r w:rsidRPr="00B718AA">
        <w:tab/>
        <w:t>Oznaczanie wskaźnika zagęszczenia gruntu.</w:t>
      </w:r>
    </w:p>
    <w:p w:rsidR="00E52B27" w:rsidRPr="00B718AA" w:rsidRDefault="00E52B27" w:rsidP="00E52B27">
      <w:pPr>
        <w:spacing w:line="360" w:lineRule="auto"/>
      </w:pPr>
    </w:p>
    <w:p w:rsidR="00E52B27" w:rsidRPr="00B718AA" w:rsidRDefault="00E52B27" w:rsidP="00E52B27">
      <w:pPr>
        <w:pStyle w:val="Nagwek2"/>
        <w:spacing w:line="360" w:lineRule="auto"/>
        <w:rPr>
          <w:i/>
        </w:rPr>
      </w:pPr>
      <w:r w:rsidRPr="00B718AA">
        <w:t xml:space="preserve">10.3. Inne dokumenty </w:t>
      </w:r>
    </w:p>
    <w:p w:rsidR="00E52B27" w:rsidRPr="00B718AA" w:rsidRDefault="00E52B27" w:rsidP="002122BD">
      <w:pPr>
        <w:pStyle w:val="Akapitzlist"/>
        <w:numPr>
          <w:ilvl w:val="0"/>
          <w:numId w:val="23"/>
        </w:numPr>
        <w:overflowPunct w:val="0"/>
        <w:autoSpaceDE w:val="0"/>
        <w:autoSpaceDN w:val="0"/>
        <w:adjustRightInd w:val="0"/>
        <w:spacing w:line="360" w:lineRule="auto"/>
        <w:ind w:left="851" w:hanging="491"/>
        <w:jc w:val="both"/>
        <w:textAlignment w:val="baseline"/>
      </w:pPr>
      <w:r w:rsidRPr="00B718AA">
        <w:t xml:space="preserve">Mieszanki niezwiązane do dróg krajowych. WT-4 2010. Wymagania techniczne (zalecone do stosowania w specyfikacji technicznej na roboty budowlane </w:t>
      </w:r>
      <w:r w:rsidRPr="00B718AA">
        <w:br/>
        <w:t xml:space="preserve">na drogach krajowych wg zarządzenia nr 102 </w:t>
      </w:r>
      <w:proofErr w:type="spellStart"/>
      <w:r w:rsidRPr="00B718AA">
        <w:t>GDDKiA</w:t>
      </w:r>
      <w:proofErr w:type="spellEnd"/>
      <w:r w:rsidRPr="00B718AA">
        <w:t xml:space="preserve"> z dnia 19.11.2010 r.)</w:t>
      </w:r>
    </w:p>
    <w:p w:rsidR="00E52B27" w:rsidRPr="00B718AA" w:rsidRDefault="00E52B27" w:rsidP="002122BD">
      <w:pPr>
        <w:numPr>
          <w:ilvl w:val="0"/>
          <w:numId w:val="23"/>
        </w:numPr>
        <w:overflowPunct w:val="0"/>
        <w:autoSpaceDE w:val="0"/>
        <w:autoSpaceDN w:val="0"/>
        <w:adjustRightInd w:val="0"/>
        <w:spacing w:line="360" w:lineRule="auto"/>
        <w:ind w:left="851" w:hanging="491"/>
        <w:jc w:val="both"/>
        <w:textAlignment w:val="baseline"/>
      </w:pPr>
      <w:r w:rsidRPr="00B718AA">
        <w:t xml:space="preserve">Rozporządzenie Ministra Transportu i Gospodarki Morskiej z dnia 2 marca 1999 r. w sprawie warunków technicznych, jakim powinny odpowiadać drogi publiczne </w:t>
      </w:r>
      <w:r w:rsidRPr="00B718AA">
        <w:br/>
        <w:t>i ich usytuowanie (</w:t>
      </w:r>
      <w:proofErr w:type="spellStart"/>
      <w:r w:rsidRPr="00B718AA">
        <w:t>Dz.U</w:t>
      </w:r>
      <w:proofErr w:type="spellEnd"/>
      <w:r w:rsidRPr="00B718AA">
        <w:t>. nr 43, poz. 430)</w:t>
      </w:r>
    </w:p>
    <w:p w:rsidR="00E52B27" w:rsidRPr="00B718AA" w:rsidRDefault="00E52B27" w:rsidP="00E52B27">
      <w:r w:rsidRPr="00B718AA">
        <w:t>Katalog typowych konstrukcji nawierzchni podatnych i półsztywnych. Generalna Dyrekcja Dróg Publicznych – Instytut Ba</w:t>
      </w:r>
      <w:bookmarkEnd w:id="70"/>
      <w:r w:rsidRPr="00B718AA">
        <w:t>dawczy Dróg i Mostów</w:t>
      </w:r>
    </w:p>
    <w:p w:rsidR="0051730D" w:rsidRPr="00B718AA" w:rsidRDefault="0051730D" w:rsidP="00E52B27"/>
    <w:p w:rsidR="0051730D" w:rsidRDefault="0051730D" w:rsidP="00E52B27">
      <w:pPr>
        <w:rPr>
          <w:rFonts w:ascii="Verdana" w:hAnsi="Verdana"/>
        </w:rPr>
      </w:pPr>
    </w:p>
    <w:p w:rsidR="0051730D" w:rsidRDefault="0051730D" w:rsidP="00E52B27">
      <w:pPr>
        <w:rPr>
          <w:rFonts w:ascii="Verdana" w:hAnsi="Verdana"/>
        </w:rPr>
      </w:pPr>
    </w:p>
    <w:p w:rsidR="0051730D" w:rsidRDefault="0051730D"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A36FDB" w:rsidRDefault="00A36FDB" w:rsidP="00E52B27">
      <w:pPr>
        <w:rPr>
          <w:rFonts w:ascii="Verdana" w:hAnsi="Verdana"/>
        </w:rPr>
      </w:pPr>
    </w:p>
    <w:p w:rsidR="0051730D" w:rsidRDefault="0051730D" w:rsidP="0051730D">
      <w:pPr>
        <w:pStyle w:val="Standardowytekst"/>
        <w:rPr>
          <w:b/>
          <w:sz w:val="28"/>
        </w:rPr>
      </w:pPr>
      <w:bookmarkStart w:id="105" w:name="_Hlk15765112"/>
      <w:r>
        <w:rPr>
          <w:b/>
          <w:sz w:val="28"/>
        </w:rPr>
        <w:lastRenderedPageBreak/>
        <w:t xml:space="preserve">D-04.02.01. WARSTWY  ODSĄCZAJĄCE  </w:t>
      </w:r>
    </w:p>
    <w:bookmarkEnd w:id="105"/>
    <w:p w:rsidR="0051730D" w:rsidRDefault="0051730D" w:rsidP="0051730D">
      <w:pPr>
        <w:pStyle w:val="Standardowytekst"/>
        <w:rPr>
          <w:sz w:val="24"/>
        </w:rPr>
      </w:pPr>
    </w:p>
    <w:p w:rsidR="0051730D" w:rsidRDefault="0051730D" w:rsidP="0051730D">
      <w:pPr>
        <w:pStyle w:val="Nagwek1"/>
      </w:pPr>
      <w:r>
        <w:t>1. WSTĘP</w:t>
      </w:r>
    </w:p>
    <w:p w:rsidR="0051730D" w:rsidRDefault="0051730D" w:rsidP="0051730D">
      <w:pPr>
        <w:pStyle w:val="Nagwek2"/>
      </w:pPr>
      <w:r>
        <w:t>1.1. Przedmiot SST</w:t>
      </w:r>
    </w:p>
    <w:p w:rsidR="0051730D" w:rsidRDefault="0051730D" w:rsidP="0051730D">
      <w:pPr>
        <w:pStyle w:val="tekstost"/>
      </w:pPr>
      <w:r>
        <w:tab/>
        <w:t xml:space="preserve">Przedmiotem niniejszej szczegółowej specyfikacji technicznej (SST) są wymagania dotyczące wykonania i odbioru robót związanych z wykonaniem warstw odsączających </w:t>
      </w:r>
    </w:p>
    <w:p w:rsidR="0051730D" w:rsidRDefault="0051730D" w:rsidP="0051730D">
      <w:pPr>
        <w:pStyle w:val="tekstost"/>
      </w:pPr>
    </w:p>
    <w:p w:rsidR="0051730D" w:rsidRDefault="0051730D" w:rsidP="0051730D">
      <w:pPr>
        <w:pStyle w:val="tekstost"/>
        <w:rPr>
          <w:b/>
        </w:rPr>
      </w:pPr>
      <w:r>
        <w:rPr>
          <w:b/>
        </w:rPr>
        <w:t>1.2. Zakres stosowania SST</w:t>
      </w:r>
    </w:p>
    <w:p w:rsidR="0051730D" w:rsidRDefault="0051730D" w:rsidP="0051730D">
      <w:pPr>
        <w:pStyle w:val="tekstost"/>
        <w:rPr>
          <w:b/>
        </w:rPr>
      </w:pPr>
    </w:p>
    <w:p w:rsidR="0051730D" w:rsidRDefault="0051730D" w:rsidP="0051730D">
      <w:pPr>
        <w:jc w:val="both"/>
      </w:pPr>
      <w:r>
        <w:tab/>
        <w:t>Szczegółowa specyfikacja techniczna (SST) stanowi jako dokument przetargowy i kontraktowy przy zlecaniu i realizacji robót na drogach.</w:t>
      </w:r>
    </w:p>
    <w:p w:rsidR="0051730D" w:rsidRDefault="0051730D" w:rsidP="0051730D">
      <w:pPr>
        <w:pStyle w:val="Nagwek2"/>
      </w:pPr>
      <w:r>
        <w:t>1.3. Zakres robót objętych SST</w:t>
      </w:r>
    </w:p>
    <w:p w:rsidR="0051730D" w:rsidRDefault="0051730D" w:rsidP="0051730D">
      <w:pPr>
        <w:jc w:val="both"/>
      </w:pPr>
      <w:r>
        <w:tab/>
        <w:t xml:space="preserve">Ustalenia zawarte w niniejszej specyfikacji dotyczą zasad prowadzenia robót związanych z wykonaniem warstw odsączających, stanowiących część podbudowy pomocniczej, w przypadku gdy podłoże stanowi grunt </w:t>
      </w:r>
      <w:proofErr w:type="spellStart"/>
      <w:r>
        <w:t>wysadzinowy</w:t>
      </w:r>
      <w:proofErr w:type="spellEnd"/>
      <w:r>
        <w:t xml:space="preserve"> lub wątpliwy, nieulepszony spoiwem lub lepiszczem. </w:t>
      </w:r>
    </w:p>
    <w:p w:rsidR="0051730D" w:rsidRDefault="0051730D" w:rsidP="0051730D">
      <w:pPr>
        <w:pStyle w:val="Nagwek2"/>
      </w:pPr>
      <w:r>
        <w:t>1.4. Określenia podstawowe</w:t>
      </w:r>
    </w:p>
    <w:p w:rsidR="0051730D" w:rsidRDefault="0051730D" w:rsidP="0051730D">
      <w:pPr>
        <w:jc w:val="both"/>
      </w:pPr>
      <w:r>
        <w:tab/>
        <w:t>Określenia podstawowe są zgodne z obowiązującymi, odpowiednimi polskimi normami i z określeniami podanymi w SST D-00.00.00 „Wymagania ogólne” pkt 1.4.</w:t>
      </w:r>
    </w:p>
    <w:p w:rsidR="0051730D" w:rsidRDefault="0051730D" w:rsidP="0051730D">
      <w:pPr>
        <w:pStyle w:val="Nagwek2"/>
      </w:pPr>
      <w:r>
        <w:t>1.5. Ogólne wymagania dotyczące robót</w:t>
      </w:r>
    </w:p>
    <w:p w:rsidR="0051730D" w:rsidRDefault="0051730D" w:rsidP="0051730D">
      <w:pPr>
        <w:jc w:val="both"/>
      </w:pPr>
      <w:r>
        <w:tab/>
        <w:t>Ogólne wymagania dotyczące robót podano w SST D-00.00.00 „Wymagania ogólne” pkt 1.5.</w:t>
      </w:r>
    </w:p>
    <w:p w:rsidR="0051730D" w:rsidRDefault="0051730D" w:rsidP="0051730D">
      <w:pPr>
        <w:pStyle w:val="Nagwek1"/>
      </w:pPr>
      <w:r>
        <w:t>2. materiały</w:t>
      </w:r>
    </w:p>
    <w:p w:rsidR="0051730D" w:rsidRDefault="0051730D" w:rsidP="0051730D">
      <w:pPr>
        <w:pStyle w:val="Nagwek2"/>
      </w:pPr>
      <w:r>
        <w:t>2.1. Ogólne wymagania dotyczące materiałów</w:t>
      </w:r>
    </w:p>
    <w:p w:rsidR="0051730D" w:rsidRDefault="0051730D" w:rsidP="0051730D">
      <w:pPr>
        <w:jc w:val="both"/>
      </w:pPr>
      <w:r>
        <w:tab/>
        <w:t>Ogólne wymagania dotyczące materiałów, ich pozyskiwania i składowania, podano w SST D-00.00.00 „Wymagania ogólne” pkt 2.</w:t>
      </w:r>
    </w:p>
    <w:p w:rsidR="0051730D" w:rsidRDefault="0051730D" w:rsidP="0051730D">
      <w:pPr>
        <w:pStyle w:val="Nagwek2"/>
      </w:pPr>
      <w:r>
        <w:t>2.2. Rodzaje materiałów</w:t>
      </w:r>
    </w:p>
    <w:p w:rsidR="0051730D" w:rsidRDefault="0051730D" w:rsidP="0051730D">
      <w:pPr>
        <w:jc w:val="both"/>
      </w:pPr>
      <w:r>
        <w:tab/>
        <w:t>Materiałami stosowanymi przy wykonywaniu warstw odsączających są:</w:t>
      </w:r>
    </w:p>
    <w:p w:rsidR="0051730D" w:rsidRDefault="0051730D" w:rsidP="0051730D">
      <w:pPr>
        <w:numPr>
          <w:ilvl w:val="0"/>
          <w:numId w:val="1"/>
        </w:numPr>
        <w:jc w:val="both"/>
      </w:pPr>
      <w:r>
        <w:t>piaski,</w:t>
      </w:r>
    </w:p>
    <w:p w:rsidR="0051730D" w:rsidRDefault="0051730D" w:rsidP="0051730D">
      <w:pPr>
        <w:numPr>
          <w:ilvl w:val="0"/>
          <w:numId w:val="1"/>
        </w:numPr>
        <w:jc w:val="both"/>
      </w:pPr>
      <w:r>
        <w:t>żwir i mieszanka,</w:t>
      </w:r>
    </w:p>
    <w:p w:rsidR="0051730D" w:rsidRDefault="0051730D" w:rsidP="0051730D">
      <w:pPr>
        <w:pStyle w:val="Nagwek2"/>
      </w:pPr>
      <w:r>
        <w:t>2.3. Wymagania dla kruszywa</w:t>
      </w:r>
    </w:p>
    <w:p w:rsidR="0051730D" w:rsidRDefault="0051730D" w:rsidP="0051730D">
      <w:pPr>
        <w:jc w:val="both"/>
      </w:pPr>
      <w:r>
        <w:tab/>
        <w:t>Kruszywa do wykonania warstw odsączających powinny spełniać następujące warunki:</w:t>
      </w:r>
    </w:p>
    <w:p w:rsidR="0051730D" w:rsidRDefault="0051730D" w:rsidP="0051730D">
      <w:pPr>
        <w:jc w:val="both"/>
      </w:pPr>
      <w:r>
        <w:t>a) szczelności, określony zależnością:</w:t>
      </w:r>
    </w:p>
    <w:p w:rsidR="0051730D" w:rsidRDefault="0051730D" w:rsidP="0051730D">
      <w:pPr>
        <w:jc w:val="both"/>
      </w:pPr>
      <w:r>
        <w:rPr>
          <w:position w:val="-20"/>
        </w:rPr>
        <w:object w:dxaOrig="740" w:dyaOrig="600">
          <v:shape id="_x0000_i1026" type="#_x0000_t75" style="width:37.5pt;height:30pt" o:ole="">
            <v:imagedata r:id="rId11" o:title=""/>
          </v:shape>
          <o:OLEObject Type="Embed" ProgID="Equation.2" ShapeID="_x0000_i1026" DrawAspect="Content" ObjectID="_1626630767" r:id="rId12"/>
        </w:object>
      </w:r>
    </w:p>
    <w:p w:rsidR="0051730D" w:rsidRDefault="0051730D" w:rsidP="0051730D">
      <w:pPr>
        <w:jc w:val="both"/>
      </w:pPr>
      <w:r>
        <w:t>gdzie:</w:t>
      </w:r>
    </w:p>
    <w:p w:rsidR="0051730D" w:rsidRDefault="0051730D" w:rsidP="0051730D">
      <w:pPr>
        <w:jc w:val="both"/>
      </w:pPr>
      <w:r>
        <w:rPr>
          <w:i/>
        </w:rPr>
        <w:t>D</w:t>
      </w:r>
      <w:r>
        <w:rPr>
          <w:vertAlign w:val="subscript"/>
        </w:rPr>
        <w:t>15</w:t>
      </w:r>
      <w:r>
        <w:t xml:space="preserve"> - wymiar sita, przez które przechodzi 15% </w:t>
      </w:r>
      <w:proofErr w:type="spellStart"/>
      <w:r>
        <w:t>ziarn</w:t>
      </w:r>
      <w:proofErr w:type="spellEnd"/>
      <w:r>
        <w:t xml:space="preserve"> warstwy odsączającej</w:t>
      </w:r>
    </w:p>
    <w:p w:rsidR="0051730D" w:rsidRDefault="0051730D" w:rsidP="0051730D">
      <w:pPr>
        <w:jc w:val="both"/>
      </w:pPr>
      <w:r>
        <w:rPr>
          <w:i/>
        </w:rPr>
        <w:t>d</w:t>
      </w:r>
      <w:r>
        <w:rPr>
          <w:vertAlign w:val="subscript"/>
        </w:rPr>
        <w:t xml:space="preserve">85 </w:t>
      </w:r>
      <w:r>
        <w:t xml:space="preserve"> - wymiar sita, przez które przechodzi 85% </w:t>
      </w:r>
      <w:proofErr w:type="spellStart"/>
      <w:r>
        <w:t>ziarn</w:t>
      </w:r>
      <w:proofErr w:type="spellEnd"/>
      <w:r>
        <w:t xml:space="preserve"> gruntu podłoża.</w:t>
      </w:r>
    </w:p>
    <w:p w:rsidR="0051730D" w:rsidRDefault="0051730D" w:rsidP="0051730D">
      <w:pPr>
        <w:jc w:val="both"/>
      </w:pPr>
      <w:r>
        <w:tab/>
        <w:t>Dla materiałów stosowanych przy wykonywaniu warstw odsączających warunek szczelności musi być spełniony, gdy warstwa ta nie jest układana na warstwie odcinającej.</w:t>
      </w:r>
    </w:p>
    <w:p w:rsidR="0051730D" w:rsidRDefault="0051730D" w:rsidP="0051730D">
      <w:pPr>
        <w:ind w:left="426" w:hanging="426"/>
        <w:jc w:val="both"/>
      </w:pPr>
    </w:p>
    <w:p w:rsidR="0051730D" w:rsidRDefault="0051730D" w:rsidP="0051730D">
      <w:pPr>
        <w:tabs>
          <w:tab w:val="left" w:pos="0"/>
        </w:tabs>
        <w:ind w:hanging="426"/>
        <w:jc w:val="both"/>
      </w:pPr>
      <w:r>
        <w:tab/>
      </w:r>
      <w:r>
        <w:tab/>
        <w:t>Piasek stosowany do wykonywania warstw odsączających powinien spełniać wymagania normy PN-B-11113 [5] dla gatunku 1 i 2.</w:t>
      </w:r>
    </w:p>
    <w:p w:rsidR="0051730D" w:rsidRDefault="0051730D" w:rsidP="0051730D">
      <w:pPr>
        <w:jc w:val="both"/>
      </w:pPr>
      <w:r>
        <w:tab/>
        <w:t xml:space="preserve">Żwir i mieszanka stosowane do wykonywania warstw odsączających  powinny spełniać wymagania normy PN-B-11111 [3], dla klasy I </w:t>
      </w:r>
      <w:proofErr w:type="spellStart"/>
      <w:r>
        <w:t>i</w:t>
      </w:r>
      <w:proofErr w:type="spellEnd"/>
      <w:r>
        <w:t xml:space="preserve"> II.</w:t>
      </w:r>
    </w:p>
    <w:p w:rsidR="0051730D" w:rsidRDefault="0051730D" w:rsidP="0051730D">
      <w:pPr>
        <w:pStyle w:val="Nagwek2"/>
      </w:pPr>
      <w:r>
        <w:t>2.5. Składowanie materiałów</w:t>
      </w:r>
    </w:p>
    <w:p w:rsidR="0051730D" w:rsidRDefault="0051730D" w:rsidP="0051730D">
      <w:pPr>
        <w:spacing w:after="120"/>
        <w:jc w:val="both"/>
      </w:pPr>
      <w:r>
        <w:rPr>
          <w:b/>
        </w:rPr>
        <w:t xml:space="preserve">2.5.1. </w:t>
      </w:r>
      <w:r>
        <w:t>Składowanie kruszywa</w:t>
      </w:r>
    </w:p>
    <w:p w:rsidR="0051730D" w:rsidRDefault="0051730D" w:rsidP="0051730D">
      <w:pPr>
        <w:jc w:val="both"/>
      </w:pPr>
      <w:r>
        <w:tab/>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51730D" w:rsidRDefault="0051730D" w:rsidP="0051730D">
      <w:pPr>
        <w:pStyle w:val="Nagwek1"/>
      </w:pPr>
      <w:r>
        <w:lastRenderedPageBreak/>
        <w:t>3. sprzęt</w:t>
      </w:r>
    </w:p>
    <w:p w:rsidR="0051730D" w:rsidRDefault="0051730D" w:rsidP="0051730D">
      <w:pPr>
        <w:pStyle w:val="Nagwek2"/>
      </w:pPr>
      <w:r>
        <w:t>3.1. Ogólne wymagania dotyczące sprzętu</w:t>
      </w:r>
    </w:p>
    <w:p w:rsidR="0051730D" w:rsidRDefault="0051730D" w:rsidP="0051730D">
      <w:pPr>
        <w:jc w:val="both"/>
      </w:pPr>
      <w:r>
        <w:tab/>
        <w:t>Ogólne wymagania dotyczące sprzętu podano w SST D-00.00.00 „Wymagania ogólne” pkt 3.</w:t>
      </w:r>
    </w:p>
    <w:p w:rsidR="0051730D" w:rsidRDefault="0051730D" w:rsidP="0051730D">
      <w:pPr>
        <w:pStyle w:val="Nagwek2"/>
      </w:pPr>
      <w:r>
        <w:t>3.2. Sprzęt do wykonania robót</w:t>
      </w:r>
    </w:p>
    <w:p w:rsidR="0051730D" w:rsidRDefault="0051730D" w:rsidP="0051730D">
      <w:pPr>
        <w:jc w:val="both"/>
      </w:pPr>
      <w:r>
        <w:tab/>
        <w:t>Wykonawca przystępujący do wykonania warstwy odsączającej powinien wykazać się możliwością korzystania z następującego sprzętu:</w:t>
      </w:r>
    </w:p>
    <w:p w:rsidR="0051730D" w:rsidRDefault="0051730D" w:rsidP="0051730D">
      <w:pPr>
        <w:numPr>
          <w:ilvl w:val="0"/>
          <w:numId w:val="1"/>
        </w:numPr>
        <w:jc w:val="both"/>
      </w:pPr>
      <w:r>
        <w:t>równiarek,</w:t>
      </w:r>
    </w:p>
    <w:p w:rsidR="0051730D" w:rsidRDefault="0051730D" w:rsidP="0051730D">
      <w:pPr>
        <w:numPr>
          <w:ilvl w:val="0"/>
          <w:numId w:val="1"/>
        </w:numPr>
        <w:jc w:val="both"/>
      </w:pPr>
      <w:r>
        <w:t>walców statycznych,</w:t>
      </w:r>
    </w:p>
    <w:p w:rsidR="0051730D" w:rsidRDefault="0051730D" w:rsidP="0051730D">
      <w:pPr>
        <w:numPr>
          <w:ilvl w:val="0"/>
          <w:numId w:val="1"/>
        </w:numPr>
        <w:jc w:val="both"/>
      </w:pPr>
      <w:r>
        <w:t>płyt wibracyjnych lub ubijaków mechanicznych.</w:t>
      </w:r>
    </w:p>
    <w:p w:rsidR="0051730D" w:rsidRDefault="0051730D" w:rsidP="0051730D">
      <w:pPr>
        <w:pStyle w:val="Nagwek1"/>
      </w:pPr>
      <w:r>
        <w:t>4. transport</w:t>
      </w:r>
    </w:p>
    <w:p w:rsidR="0051730D" w:rsidRDefault="0051730D" w:rsidP="0051730D">
      <w:pPr>
        <w:pStyle w:val="Nagwek2"/>
      </w:pPr>
      <w:r>
        <w:t>4.1. Ogólne wymagania dotyczące transportu</w:t>
      </w:r>
    </w:p>
    <w:p w:rsidR="0051730D" w:rsidRDefault="0051730D" w:rsidP="0051730D">
      <w:pPr>
        <w:jc w:val="both"/>
      </w:pPr>
      <w:r>
        <w:tab/>
        <w:t>Ogólne wymagania dotyczące transportu podano w SST D-00.00.00 „Wymagania ogólne” pkt 4.</w:t>
      </w:r>
    </w:p>
    <w:p w:rsidR="0051730D" w:rsidRDefault="0051730D" w:rsidP="0051730D">
      <w:pPr>
        <w:pStyle w:val="Nagwek2"/>
      </w:pPr>
      <w:r>
        <w:t>4.2. Transport kruszywa</w:t>
      </w:r>
    </w:p>
    <w:p w:rsidR="0051730D" w:rsidRDefault="0051730D" w:rsidP="0051730D">
      <w:pPr>
        <w:jc w:val="both"/>
      </w:pPr>
      <w:r>
        <w:tab/>
        <w:t>Kruszywa można przewozić dowolnymi środkami transportu w warunkach zabezpieczających je przed zanieczyszczeniem, zmieszaniem z innymi materiałami, nadmiernym wysuszeniem i zawilgoceniem.</w:t>
      </w:r>
    </w:p>
    <w:p w:rsidR="0051730D" w:rsidRDefault="0051730D" w:rsidP="0051730D">
      <w:pPr>
        <w:jc w:val="both"/>
      </w:pPr>
    </w:p>
    <w:p w:rsidR="0051730D" w:rsidRDefault="0051730D" w:rsidP="0051730D">
      <w:pPr>
        <w:pStyle w:val="Nagwek1"/>
      </w:pPr>
      <w:r>
        <w:t>5. wykonanie robót</w:t>
      </w:r>
    </w:p>
    <w:p w:rsidR="0051730D" w:rsidRDefault="0051730D" w:rsidP="0051730D">
      <w:pPr>
        <w:pStyle w:val="Nagwek2"/>
      </w:pPr>
      <w:r>
        <w:t>5.1. Ogólne zasady wykonania robót</w:t>
      </w:r>
    </w:p>
    <w:p w:rsidR="0051730D" w:rsidRDefault="0051730D" w:rsidP="0051730D">
      <w:pPr>
        <w:jc w:val="both"/>
      </w:pPr>
      <w:r>
        <w:tab/>
        <w:t>Ogólne zasady wykonania robót podano w SST D-00.00.00 „Wymagania ogólne” pkt 5.</w:t>
      </w:r>
    </w:p>
    <w:p w:rsidR="0051730D" w:rsidRDefault="0051730D" w:rsidP="0051730D">
      <w:pPr>
        <w:pStyle w:val="Nagwek2"/>
      </w:pPr>
      <w:r>
        <w:t>5.2. Przygotowanie podłoża</w:t>
      </w:r>
    </w:p>
    <w:p w:rsidR="0051730D" w:rsidRDefault="0051730D" w:rsidP="0051730D">
      <w:pPr>
        <w:jc w:val="both"/>
      </w:pPr>
      <w:r>
        <w:tab/>
        <w:t>Podłoże gruntowe powinno spełniać wymagania określone w SST D-02.00.01 „Roboty ziemne” oraz D-04.01.01 „Koryto wraz z profilowaniem i zagęszczaniem podłoża”.</w:t>
      </w:r>
    </w:p>
    <w:p w:rsidR="0051730D" w:rsidRDefault="0051730D" w:rsidP="0051730D">
      <w:pPr>
        <w:jc w:val="both"/>
      </w:pPr>
      <w:r>
        <w:tab/>
        <w:t>Warstwa odsączająca powinny być wytyczona w sposób umożliwiający wykonanie ich zgodnie z dokumentacją projektową, z tolerancjami określonymi w niniejszych specyfikacjach.</w:t>
      </w:r>
    </w:p>
    <w:p w:rsidR="0051730D" w:rsidRDefault="0051730D" w:rsidP="0051730D">
      <w:pPr>
        <w:jc w:val="both"/>
      </w:pPr>
      <w:r>
        <w:tab/>
        <w:t>Paliki lub szpilki powinny być ustawione w osi drogi i w rzędach równoległych do osi drogi, lub w inny sposób zaakceptowany przez Inżyniera.</w:t>
      </w:r>
    </w:p>
    <w:p w:rsidR="0051730D" w:rsidRDefault="0051730D" w:rsidP="0051730D">
      <w:pPr>
        <w:jc w:val="both"/>
      </w:pPr>
      <w:r>
        <w:tab/>
        <w:t>Rozmieszczenie palików lub szpilek powinno umożliwiać naciągnięcie sznurków lub linek do wytyczenia robót w odstępach nie większych niż co 10 m.</w:t>
      </w:r>
    </w:p>
    <w:p w:rsidR="0051730D" w:rsidRDefault="0051730D" w:rsidP="0051730D">
      <w:pPr>
        <w:pStyle w:val="Nagwek2"/>
      </w:pPr>
      <w:r>
        <w:t>5.3. Wbudowanie i zagęszczanie kruszywa</w:t>
      </w:r>
    </w:p>
    <w:p w:rsidR="0051730D" w:rsidRDefault="0051730D" w:rsidP="0051730D">
      <w:pPr>
        <w:jc w:val="both"/>
      </w:pPr>
      <w:r>
        <w:tab/>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51730D" w:rsidRDefault="0051730D" w:rsidP="0051730D">
      <w:pPr>
        <w:jc w:val="both"/>
      </w:pPr>
      <w:r>
        <w:tab/>
        <w:t>Jeżeli dokumentacja projektowa lub SST przewiduje wykonanie warstwy odsączającej  o grubości powyżej 20 cm, to wbudowanie kruszywa należy wykonać dwuwarstwowo. Rozpoczęcie układania każdej następnej warstwy może nastąpić po odbiorze przez Inżyniera warstwy poprzedniej.</w:t>
      </w:r>
    </w:p>
    <w:p w:rsidR="0051730D" w:rsidRDefault="0051730D" w:rsidP="0051730D">
      <w:pPr>
        <w:jc w:val="both"/>
      </w:pPr>
      <w:r>
        <w:tab/>
        <w:t>W miejscach, w których widoczna jest segregacja kruszywa należy przed zagęszczeniem wymienić kruszywo na materiał o odpowiednich właściwościach.</w:t>
      </w:r>
    </w:p>
    <w:p w:rsidR="0051730D" w:rsidRDefault="0051730D" w:rsidP="0051730D">
      <w:pPr>
        <w:jc w:val="both"/>
      </w:pPr>
      <w:r>
        <w:tab/>
        <w:t>Natychmiast po końcowym wyprofilowaniu warstwy odsączającej należy przystąpić do jej zagęszczania.</w:t>
      </w:r>
    </w:p>
    <w:p w:rsidR="0051730D" w:rsidRDefault="0051730D" w:rsidP="0051730D">
      <w:pPr>
        <w:jc w:val="both"/>
      </w:pPr>
      <w:r>
        <w:tab/>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51730D" w:rsidRDefault="0051730D" w:rsidP="0051730D">
      <w:pPr>
        <w:jc w:val="both"/>
      </w:pPr>
      <w:r>
        <w:tab/>
        <w:t>Nierówności lub zagłębienia powstałe w czasie zagęszczania powinny być wyrównywane na bieżąco przez spulchnienie warstwy kruszywa i dodanie lub usunięcie materiału, aż do otrzymania równej powierzchni.</w:t>
      </w:r>
    </w:p>
    <w:p w:rsidR="0051730D" w:rsidRDefault="0051730D" w:rsidP="0051730D">
      <w:pPr>
        <w:jc w:val="both"/>
      </w:pPr>
      <w:r>
        <w:tab/>
        <w:t>W miejscach niedostępnych dla walców warstwa odsączająca powinna być zagęszczana płytami wibracyjnymi lub ubijakami mechanicznymi.</w:t>
      </w:r>
    </w:p>
    <w:p w:rsidR="0051730D" w:rsidRDefault="0051730D" w:rsidP="0051730D">
      <w:pPr>
        <w:jc w:val="both"/>
      </w:pPr>
      <w:r>
        <w:tab/>
        <w:t xml:space="preserve">Zagęszczanie należy kontynuować do osiągnięcia wskaźnika zagęszczenia nie mniejszego od 1,0 według normalnej próby </w:t>
      </w:r>
      <w:proofErr w:type="spellStart"/>
      <w:r>
        <w:t>Proctora</w:t>
      </w:r>
      <w:proofErr w:type="spellEnd"/>
      <w:r>
        <w:t>, przeprowadzonej według PN-B-04481 [1]. Wskaźnik zagęszczenia należy określać zgodnie z BN-77/8931-12 [8].</w:t>
      </w:r>
    </w:p>
    <w:p w:rsidR="0051730D" w:rsidRDefault="0051730D" w:rsidP="0051730D">
      <w:pPr>
        <w:jc w:val="both"/>
      </w:pPr>
      <w:r>
        <w:tab/>
        <w:t xml:space="preserve">W przypadku, gdy gruboziarnisty materiał wbudowany w warstwę odsączającą, uniemożliwia przeprowadzenie badania zagęszczenia według normalnej próby </w:t>
      </w:r>
      <w:proofErr w:type="spellStart"/>
      <w:r>
        <w:t>Proctora</w:t>
      </w:r>
      <w:proofErr w:type="spellEnd"/>
      <w:r>
        <w:t>, kontrolę zagęszczenia należy oprzeć na metodzie obciążeń płytowych. Należy określić pierwotny i wtórny moduł odkształcenia warstwy według BN-64/8931-02 [6]. Stosunek wtórnego i pierwotnego modułu odkształcenia nie powinien przekraczać 2,2.</w:t>
      </w:r>
    </w:p>
    <w:p w:rsidR="0051730D" w:rsidRDefault="0051730D" w:rsidP="0051730D">
      <w:pPr>
        <w:jc w:val="both"/>
      </w:pPr>
      <w:r>
        <w:lastRenderedPageBreak/>
        <w:tab/>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51730D" w:rsidRDefault="0051730D" w:rsidP="0051730D">
      <w:pPr>
        <w:jc w:val="both"/>
      </w:pPr>
    </w:p>
    <w:p w:rsidR="0051730D" w:rsidRDefault="0051730D" w:rsidP="0051730D">
      <w:pPr>
        <w:pStyle w:val="Nagwek2"/>
      </w:pPr>
      <w:r>
        <w:t xml:space="preserve">5.7. Utrzymanie warstwy odsączającej </w:t>
      </w:r>
    </w:p>
    <w:p w:rsidR="0051730D" w:rsidRDefault="0051730D" w:rsidP="0051730D">
      <w:pPr>
        <w:jc w:val="both"/>
      </w:pPr>
      <w:r>
        <w:tab/>
        <w:t>Warstwa odsączająca po wykonaniu, a przed ułożeniem następnej warstwy powinny być utrzymywane w dobrym stanie.</w:t>
      </w:r>
    </w:p>
    <w:p w:rsidR="0051730D" w:rsidRDefault="0051730D" w:rsidP="0051730D">
      <w:pPr>
        <w:jc w:val="both"/>
      </w:pPr>
      <w:r>
        <w:tab/>
        <w:t xml:space="preserve">Nie dopuszcza się ruchu budowlanego po wykonanej warstwie odsączającej </w:t>
      </w:r>
    </w:p>
    <w:p w:rsidR="0051730D" w:rsidRDefault="0051730D" w:rsidP="0051730D">
      <w:pPr>
        <w:jc w:val="both"/>
      </w:pPr>
      <w:r>
        <w:tab/>
        <w:t>W przypadku warstwy z kruszywa dopuszcza się ruch pojazdów koniecznych dla wykonania wyżej leżącej warstwy nawierzchni.</w:t>
      </w:r>
    </w:p>
    <w:p w:rsidR="0051730D" w:rsidRDefault="0051730D" w:rsidP="0051730D">
      <w:pPr>
        <w:spacing w:after="120"/>
        <w:jc w:val="both"/>
      </w:pPr>
      <w:r>
        <w:tab/>
        <w:t>Koszt napraw wynikłych z niewłaściwego utrzymania warstwy obciąża Wykonawcę robót.</w:t>
      </w:r>
    </w:p>
    <w:p w:rsidR="0051730D" w:rsidRDefault="0051730D" w:rsidP="0051730D">
      <w:pPr>
        <w:pStyle w:val="Nagwek1"/>
      </w:pPr>
      <w:r>
        <w:t>6. kontrola jakości robót</w:t>
      </w:r>
    </w:p>
    <w:p w:rsidR="0051730D" w:rsidRDefault="0051730D" w:rsidP="0051730D">
      <w:pPr>
        <w:pStyle w:val="Nagwek2"/>
      </w:pPr>
      <w:r>
        <w:t>6.1. Ogólne zasady kontroli jakości robót</w:t>
      </w:r>
    </w:p>
    <w:p w:rsidR="0051730D" w:rsidRDefault="0051730D" w:rsidP="0051730D">
      <w:pPr>
        <w:jc w:val="both"/>
      </w:pPr>
      <w:r>
        <w:tab/>
        <w:t>Ogólne zasady kontroli jakości robót podano w SST D-00.00.00 „Wymagania ogólne” pkt 6.</w:t>
      </w:r>
    </w:p>
    <w:p w:rsidR="0051730D" w:rsidRDefault="0051730D" w:rsidP="0051730D">
      <w:pPr>
        <w:pStyle w:val="Nagwek2"/>
      </w:pPr>
      <w:r>
        <w:t>6.2. Badania przed przystąpieniem do robót</w:t>
      </w:r>
    </w:p>
    <w:p w:rsidR="0051730D" w:rsidRDefault="0051730D" w:rsidP="0051730D">
      <w:pPr>
        <w:jc w:val="both"/>
      </w:pPr>
      <w:r>
        <w:tab/>
        <w:t>Przed przystąpieniem do robót Wykonawca powinien wykonać badania kruszyw przeznaczonych do wykonania robót i przedstawić wyniki tych badań Inżynierowi. Badania te powinny obejmować wszystkie właściwości kruszywa określone w p. 2.3.</w:t>
      </w:r>
    </w:p>
    <w:p w:rsidR="0051730D" w:rsidRDefault="0051730D" w:rsidP="0051730D">
      <w:pPr>
        <w:pStyle w:val="Nagwek2"/>
      </w:pPr>
      <w:r>
        <w:t>6.3. Badania w czasie robót</w:t>
      </w:r>
    </w:p>
    <w:p w:rsidR="0051730D" w:rsidRDefault="0051730D" w:rsidP="0051730D">
      <w:pPr>
        <w:spacing w:after="120"/>
        <w:jc w:val="both"/>
      </w:pPr>
      <w:r>
        <w:rPr>
          <w:b/>
        </w:rPr>
        <w:t xml:space="preserve">6.3.1. </w:t>
      </w:r>
      <w:r>
        <w:t>Częstotliwość oraz zakres badań i pomiarów</w:t>
      </w:r>
    </w:p>
    <w:p w:rsidR="0051730D" w:rsidRDefault="0051730D" w:rsidP="0051730D">
      <w:pPr>
        <w:jc w:val="both"/>
      </w:pPr>
      <w:r>
        <w:tab/>
        <w:t>Częstotliwość oraz zakres badań i pomiarów dotyczących cech geometrycznych i zagęszczenia warstwy odsączającej podaje tablica 1.</w:t>
      </w:r>
    </w:p>
    <w:p w:rsidR="0051730D" w:rsidRDefault="0051730D" w:rsidP="0051730D">
      <w:pPr>
        <w:keepNext/>
        <w:spacing w:before="120" w:after="120"/>
        <w:jc w:val="both"/>
      </w:pPr>
      <w:r>
        <w:t xml:space="preserve">Tablica 1. Częstotliwość oraz zakres badań i pomiarów warstwy odsączającej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223"/>
        <w:gridCol w:w="4791"/>
      </w:tblGrid>
      <w:tr w:rsidR="0051730D" w:rsidTr="0051730D">
        <w:tc>
          <w:tcPr>
            <w:tcW w:w="496" w:type="dxa"/>
            <w:tcBorders>
              <w:bottom w:val="double" w:sz="6" w:space="0" w:color="auto"/>
            </w:tcBorders>
          </w:tcPr>
          <w:p w:rsidR="0051730D" w:rsidRDefault="0051730D" w:rsidP="0051730D">
            <w:pPr>
              <w:spacing w:before="120"/>
              <w:jc w:val="both"/>
            </w:pPr>
            <w:r>
              <w:t>Lp.</w:t>
            </w:r>
          </w:p>
        </w:tc>
        <w:tc>
          <w:tcPr>
            <w:tcW w:w="2223" w:type="dxa"/>
            <w:tcBorders>
              <w:bottom w:val="double" w:sz="6" w:space="0" w:color="auto"/>
            </w:tcBorders>
          </w:tcPr>
          <w:p w:rsidR="0051730D" w:rsidRDefault="0051730D" w:rsidP="0051730D">
            <w:pPr>
              <w:spacing w:before="60"/>
              <w:ind w:left="215" w:right="312"/>
              <w:jc w:val="both"/>
            </w:pPr>
            <w:r>
              <w:t>Wyszczególnienie badań i pomiarów</w:t>
            </w:r>
          </w:p>
        </w:tc>
        <w:tc>
          <w:tcPr>
            <w:tcW w:w="4791" w:type="dxa"/>
            <w:tcBorders>
              <w:bottom w:val="double" w:sz="6" w:space="0" w:color="auto"/>
            </w:tcBorders>
          </w:tcPr>
          <w:p w:rsidR="0051730D" w:rsidRDefault="0051730D" w:rsidP="0051730D">
            <w:pPr>
              <w:spacing w:before="60"/>
              <w:ind w:left="822" w:right="851"/>
              <w:jc w:val="both"/>
            </w:pPr>
            <w:r>
              <w:t>Minimalna częstotliwość badań            i pomiarów</w:t>
            </w:r>
          </w:p>
        </w:tc>
      </w:tr>
      <w:tr w:rsidR="0051730D" w:rsidTr="0051730D">
        <w:tc>
          <w:tcPr>
            <w:tcW w:w="496" w:type="dxa"/>
            <w:tcBorders>
              <w:top w:val="nil"/>
            </w:tcBorders>
          </w:tcPr>
          <w:p w:rsidR="0051730D" w:rsidRDefault="0051730D" w:rsidP="0051730D">
            <w:pPr>
              <w:spacing w:before="60" w:after="60"/>
              <w:jc w:val="both"/>
            </w:pPr>
            <w:r>
              <w:t>1</w:t>
            </w:r>
          </w:p>
        </w:tc>
        <w:tc>
          <w:tcPr>
            <w:tcW w:w="2223" w:type="dxa"/>
            <w:tcBorders>
              <w:top w:val="nil"/>
            </w:tcBorders>
          </w:tcPr>
          <w:p w:rsidR="0051730D" w:rsidRDefault="0051730D" w:rsidP="0051730D">
            <w:pPr>
              <w:spacing w:before="60" w:after="60"/>
              <w:jc w:val="both"/>
            </w:pPr>
            <w:r>
              <w:t>Szerokość warstwy</w:t>
            </w:r>
          </w:p>
        </w:tc>
        <w:tc>
          <w:tcPr>
            <w:tcW w:w="4791" w:type="dxa"/>
            <w:tcBorders>
              <w:top w:val="nil"/>
            </w:tcBorders>
          </w:tcPr>
          <w:p w:rsidR="0051730D" w:rsidRDefault="0051730D" w:rsidP="0051730D">
            <w:pPr>
              <w:spacing w:before="60" w:after="60"/>
              <w:jc w:val="both"/>
            </w:pPr>
            <w:r>
              <w:t>10 razy na 1 km</w:t>
            </w:r>
          </w:p>
        </w:tc>
      </w:tr>
      <w:tr w:rsidR="0051730D" w:rsidTr="0051730D">
        <w:tc>
          <w:tcPr>
            <w:tcW w:w="496" w:type="dxa"/>
          </w:tcPr>
          <w:p w:rsidR="0051730D" w:rsidRDefault="0051730D" w:rsidP="0051730D">
            <w:pPr>
              <w:spacing w:before="60" w:after="60"/>
              <w:jc w:val="both"/>
            </w:pPr>
            <w:r>
              <w:t>2</w:t>
            </w:r>
          </w:p>
        </w:tc>
        <w:tc>
          <w:tcPr>
            <w:tcW w:w="2223" w:type="dxa"/>
          </w:tcPr>
          <w:p w:rsidR="0051730D" w:rsidRDefault="0051730D" w:rsidP="0051730D">
            <w:pPr>
              <w:spacing w:before="60" w:after="60"/>
              <w:jc w:val="both"/>
            </w:pPr>
            <w:r>
              <w:t>Równość podłużna</w:t>
            </w:r>
          </w:p>
        </w:tc>
        <w:tc>
          <w:tcPr>
            <w:tcW w:w="4791" w:type="dxa"/>
          </w:tcPr>
          <w:p w:rsidR="0051730D" w:rsidRDefault="0051730D" w:rsidP="0051730D">
            <w:pPr>
              <w:spacing w:before="60" w:after="60"/>
              <w:jc w:val="both"/>
            </w:pPr>
            <w:r>
              <w:t>co 20 m na każdym pasie ruchu</w:t>
            </w:r>
          </w:p>
        </w:tc>
      </w:tr>
      <w:tr w:rsidR="0051730D" w:rsidTr="0051730D">
        <w:tc>
          <w:tcPr>
            <w:tcW w:w="496" w:type="dxa"/>
          </w:tcPr>
          <w:p w:rsidR="0051730D" w:rsidRDefault="0051730D" w:rsidP="0051730D">
            <w:pPr>
              <w:spacing w:before="60" w:after="60"/>
              <w:jc w:val="both"/>
            </w:pPr>
            <w:r>
              <w:t>3</w:t>
            </w:r>
          </w:p>
        </w:tc>
        <w:tc>
          <w:tcPr>
            <w:tcW w:w="2223" w:type="dxa"/>
          </w:tcPr>
          <w:p w:rsidR="0051730D" w:rsidRDefault="0051730D" w:rsidP="0051730D">
            <w:pPr>
              <w:spacing w:before="60" w:after="60"/>
              <w:jc w:val="both"/>
            </w:pPr>
            <w:r>
              <w:t>Równość poprzeczna</w:t>
            </w:r>
          </w:p>
        </w:tc>
        <w:tc>
          <w:tcPr>
            <w:tcW w:w="4791" w:type="dxa"/>
          </w:tcPr>
          <w:p w:rsidR="0051730D" w:rsidRDefault="0051730D" w:rsidP="0051730D">
            <w:pPr>
              <w:spacing w:before="60" w:after="60"/>
              <w:jc w:val="both"/>
            </w:pPr>
            <w:r>
              <w:t>10 razy na 1 km</w:t>
            </w:r>
          </w:p>
        </w:tc>
      </w:tr>
      <w:tr w:rsidR="0051730D" w:rsidTr="0051730D">
        <w:tc>
          <w:tcPr>
            <w:tcW w:w="496" w:type="dxa"/>
          </w:tcPr>
          <w:p w:rsidR="0051730D" w:rsidRDefault="0051730D" w:rsidP="0051730D">
            <w:pPr>
              <w:spacing w:before="60" w:after="60"/>
              <w:jc w:val="both"/>
            </w:pPr>
            <w:r>
              <w:t>4</w:t>
            </w:r>
          </w:p>
        </w:tc>
        <w:tc>
          <w:tcPr>
            <w:tcW w:w="2223" w:type="dxa"/>
          </w:tcPr>
          <w:p w:rsidR="0051730D" w:rsidRDefault="0051730D" w:rsidP="0051730D">
            <w:pPr>
              <w:spacing w:before="60" w:after="60"/>
              <w:jc w:val="both"/>
            </w:pPr>
            <w:r>
              <w:t xml:space="preserve">Spadki poprzeczne </w:t>
            </w:r>
            <w:r>
              <w:rPr>
                <w:vertAlign w:val="superscript"/>
              </w:rPr>
              <w:t>*)</w:t>
            </w:r>
          </w:p>
        </w:tc>
        <w:tc>
          <w:tcPr>
            <w:tcW w:w="4791" w:type="dxa"/>
          </w:tcPr>
          <w:p w:rsidR="0051730D" w:rsidRDefault="0051730D" w:rsidP="0051730D">
            <w:pPr>
              <w:spacing w:before="60" w:after="60"/>
              <w:jc w:val="both"/>
            </w:pPr>
            <w:r>
              <w:t>10 razy na 1 km</w:t>
            </w:r>
          </w:p>
        </w:tc>
      </w:tr>
      <w:tr w:rsidR="0051730D" w:rsidTr="0051730D">
        <w:tc>
          <w:tcPr>
            <w:tcW w:w="496" w:type="dxa"/>
          </w:tcPr>
          <w:p w:rsidR="0051730D" w:rsidRDefault="0051730D" w:rsidP="0051730D">
            <w:pPr>
              <w:spacing w:before="120"/>
              <w:jc w:val="both"/>
            </w:pPr>
            <w:r>
              <w:t>5</w:t>
            </w:r>
          </w:p>
        </w:tc>
        <w:tc>
          <w:tcPr>
            <w:tcW w:w="2223" w:type="dxa"/>
          </w:tcPr>
          <w:p w:rsidR="0051730D" w:rsidRDefault="0051730D" w:rsidP="0051730D">
            <w:pPr>
              <w:spacing w:before="120"/>
              <w:jc w:val="both"/>
            </w:pPr>
            <w:r>
              <w:t>Rzędne wysokościowe</w:t>
            </w:r>
          </w:p>
        </w:tc>
        <w:tc>
          <w:tcPr>
            <w:tcW w:w="4791" w:type="dxa"/>
          </w:tcPr>
          <w:p w:rsidR="0051730D" w:rsidRDefault="0051730D" w:rsidP="0051730D">
            <w:pPr>
              <w:spacing w:after="60"/>
              <w:jc w:val="both"/>
            </w:pPr>
            <w:r>
              <w:t xml:space="preserve">co 100 m </w:t>
            </w:r>
          </w:p>
        </w:tc>
      </w:tr>
      <w:tr w:rsidR="0051730D" w:rsidTr="0051730D">
        <w:tc>
          <w:tcPr>
            <w:tcW w:w="496" w:type="dxa"/>
          </w:tcPr>
          <w:p w:rsidR="0051730D" w:rsidRDefault="0051730D" w:rsidP="0051730D">
            <w:pPr>
              <w:spacing w:before="120"/>
              <w:jc w:val="both"/>
            </w:pPr>
            <w:r>
              <w:t>6</w:t>
            </w:r>
          </w:p>
        </w:tc>
        <w:tc>
          <w:tcPr>
            <w:tcW w:w="2223" w:type="dxa"/>
          </w:tcPr>
          <w:p w:rsidR="0051730D" w:rsidRDefault="0051730D" w:rsidP="0051730D">
            <w:pPr>
              <w:spacing w:before="60"/>
              <w:jc w:val="both"/>
            </w:pPr>
            <w:r>
              <w:t xml:space="preserve">Ukształtowanie osi w planie </w:t>
            </w:r>
            <w:r>
              <w:rPr>
                <w:vertAlign w:val="superscript"/>
              </w:rPr>
              <w:t>*)</w:t>
            </w:r>
          </w:p>
        </w:tc>
        <w:tc>
          <w:tcPr>
            <w:tcW w:w="4791" w:type="dxa"/>
          </w:tcPr>
          <w:p w:rsidR="0051730D" w:rsidRDefault="0051730D" w:rsidP="0051730D">
            <w:pPr>
              <w:spacing w:before="60"/>
              <w:jc w:val="both"/>
            </w:pPr>
            <w:r>
              <w:t xml:space="preserve">co 100 m </w:t>
            </w:r>
          </w:p>
        </w:tc>
      </w:tr>
      <w:tr w:rsidR="0051730D" w:rsidTr="0051730D">
        <w:tc>
          <w:tcPr>
            <w:tcW w:w="496" w:type="dxa"/>
          </w:tcPr>
          <w:p w:rsidR="0051730D" w:rsidRDefault="0051730D" w:rsidP="0051730D">
            <w:pPr>
              <w:spacing w:before="60"/>
              <w:jc w:val="both"/>
            </w:pPr>
            <w:r>
              <w:t>7</w:t>
            </w:r>
          </w:p>
        </w:tc>
        <w:tc>
          <w:tcPr>
            <w:tcW w:w="2223" w:type="dxa"/>
          </w:tcPr>
          <w:p w:rsidR="0051730D" w:rsidRDefault="0051730D" w:rsidP="0051730D">
            <w:pPr>
              <w:spacing w:before="60"/>
              <w:jc w:val="both"/>
            </w:pPr>
            <w:r>
              <w:t>Grubość warstwy</w:t>
            </w:r>
          </w:p>
        </w:tc>
        <w:tc>
          <w:tcPr>
            <w:tcW w:w="4791" w:type="dxa"/>
          </w:tcPr>
          <w:p w:rsidR="0051730D" w:rsidRDefault="0051730D" w:rsidP="0051730D">
            <w:pPr>
              <w:spacing w:before="60"/>
              <w:jc w:val="both"/>
            </w:pPr>
            <w:r>
              <w:t>Podczas budowy:</w:t>
            </w:r>
          </w:p>
          <w:p w:rsidR="0051730D" w:rsidRDefault="0051730D" w:rsidP="0051730D">
            <w:pPr>
              <w:jc w:val="both"/>
            </w:pPr>
            <w:r>
              <w:t>w 3 punktach na każdej działce roboczej, lecz nie rzadziej niż raz na 400 m</w:t>
            </w:r>
            <w:r>
              <w:rPr>
                <w:vertAlign w:val="superscript"/>
              </w:rPr>
              <w:t>2</w:t>
            </w:r>
          </w:p>
          <w:p w:rsidR="0051730D" w:rsidRDefault="0051730D" w:rsidP="0051730D">
            <w:pPr>
              <w:jc w:val="both"/>
            </w:pPr>
            <w:r>
              <w:t>Przed odbiorem:</w:t>
            </w:r>
          </w:p>
          <w:p w:rsidR="0051730D" w:rsidRDefault="0051730D" w:rsidP="0051730D">
            <w:pPr>
              <w:spacing w:after="60"/>
              <w:jc w:val="both"/>
            </w:pPr>
            <w:r>
              <w:t>w 3 punktach, lecz nie rzadziej niż raz na 2000 m</w:t>
            </w:r>
            <w:r>
              <w:rPr>
                <w:vertAlign w:val="superscript"/>
              </w:rPr>
              <w:t>2</w:t>
            </w:r>
          </w:p>
        </w:tc>
      </w:tr>
      <w:tr w:rsidR="0051730D" w:rsidTr="0051730D">
        <w:tc>
          <w:tcPr>
            <w:tcW w:w="496" w:type="dxa"/>
          </w:tcPr>
          <w:p w:rsidR="0051730D" w:rsidRDefault="0051730D" w:rsidP="0051730D">
            <w:pPr>
              <w:spacing w:before="60"/>
              <w:jc w:val="both"/>
            </w:pPr>
            <w:r>
              <w:t>8</w:t>
            </w:r>
          </w:p>
        </w:tc>
        <w:tc>
          <w:tcPr>
            <w:tcW w:w="2223" w:type="dxa"/>
          </w:tcPr>
          <w:p w:rsidR="0051730D" w:rsidRDefault="0051730D" w:rsidP="0051730D">
            <w:pPr>
              <w:spacing w:before="60" w:after="60"/>
              <w:jc w:val="both"/>
            </w:pPr>
            <w:r>
              <w:t>Zagęszczenie,  wilgotność kruszywa</w:t>
            </w:r>
          </w:p>
        </w:tc>
        <w:tc>
          <w:tcPr>
            <w:tcW w:w="4791" w:type="dxa"/>
          </w:tcPr>
          <w:p w:rsidR="0051730D" w:rsidRDefault="0051730D" w:rsidP="0051730D">
            <w:pPr>
              <w:spacing w:before="60" w:after="60"/>
              <w:jc w:val="both"/>
            </w:pPr>
            <w:r>
              <w:t>w 2 punktach na dziennej działce roboczej, lecz nie rzadziej niż raz na 600 m</w:t>
            </w:r>
            <w:r>
              <w:rPr>
                <w:vertAlign w:val="superscript"/>
              </w:rPr>
              <w:t>2</w:t>
            </w:r>
          </w:p>
        </w:tc>
      </w:tr>
    </w:tbl>
    <w:p w:rsidR="0051730D" w:rsidRDefault="0051730D" w:rsidP="0051730D">
      <w:pPr>
        <w:spacing w:before="120"/>
        <w:jc w:val="both"/>
      </w:pPr>
      <w:r>
        <w:t>*) Dodatkowe pomiary spadków poprzecznych i ukształtowania osi w planie należy wykonać w punktach głównych łuków poziomych.</w:t>
      </w:r>
    </w:p>
    <w:p w:rsidR="0051730D" w:rsidRDefault="0051730D" w:rsidP="0051730D">
      <w:pPr>
        <w:keepNext/>
        <w:spacing w:before="120" w:after="120"/>
        <w:jc w:val="both"/>
      </w:pPr>
      <w:r>
        <w:rPr>
          <w:b/>
        </w:rPr>
        <w:t xml:space="preserve">6.3.2. </w:t>
      </w:r>
      <w:r>
        <w:t>Szerokość warstwy</w:t>
      </w:r>
    </w:p>
    <w:p w:rsidR="0051730D" w:rsidRDefault="0051730D" w:rsidP="0051730D">
      <w:pPr>
        <w:jc w:val="both"/>
      </w:pPr>
      <w:r>
        <w:tab/>
        <w:t>Szerokość warstwy nie może się różnić od szerokości projektowanej o więcej niż +10 cm, -5 cm.</w:t>
      </w:r>
    </w:p>
    <w:p w:rsidR="0051730D" w:rsidRDefault="0051730D" w:rsidP="0051730D">
      <w:pPr>
        <w:spacing w:before="120" w:after="120"/>
        <w:jc w:val="both"/>
      </w:pPr>
      <w:r>
        <w:rPr>
          <w:b/>
        </w:rPr>
        <w:t xml:space="preserve">6.3.3. </w:t>
      </w:r>
      <w:r>
        <w:t>Równość warstwy</w:t>
      </w:r>
    </w:p>
    <w:p w:rsidR="0051730D" w:rsidRDefault="0051730D" w:rsidP="0051730D">
      <w:pPr>
        <w:jc w:val="both"/>
      </w:pPr>
      <w:r>
        <w:tab/>
        <w:t>Nierówności podłużne warstwy  odsączającej należy mierzyć</w:t>
      </w:r>
    </w:p>
    <w:p w:rsidR="0051730D" w:rsidRDefault="0051730D" w:rsidP="0051730D">
      <w:pPr>
        <w:jc w:val="both"/>
      </w:pPr>
      <w:r>
        <w:t>4 metrową łatą, zgodnie z normą BN-68/8931-04 [7].</w:t>
      </w:r>
    </w:p>
    <w:p w:rsidR="0051730D" w:rsidRDefault="0051730D" w:rsidP="0051730D">
      <w:pPr>
        <w:jc w:val="both"/>
      </w:pPr>
      <w:r>
        <w:lastRenderedPageBreak/>
        <w:tab/>
        <w:t>Nierówności poprzeczne warstwy odsączającej należy mierzyć</w:t>
      </w:r>
    </w:p>
    <w:p w:rsidR="0051730D" w:rsidRDefault="0051730D" w:rsidP="0051730D">
      <w:pPr>
        <w:jc w:val="both"/>
      </w:pPr>
      <w:r>
        <w:t>4 metrową łatą.</w:t>
      </w:r>
    </w:p>
    <w:p w:rsidR="0051730D" w:rsidRDefault="0051730D" w:rsidP="0051730D">
      <w:pPr>
        <w:jc w:val="both"/>
      </w:pPr>
      <w:r>
        <w:tab/>
        <w:t>Nierówności nie mogą przekraczać 20 mm.</w:t>
      </w:r>
    </w:p>
    <w:p w:rsidR="0051730D" w:rsidRDefault="0051730D" w:rsidP="0051730D">
      <w:pPr>
        <w:spacing w:before="120" w:after="120"/>
        <w:jc w:val="both"/>
      </w:pPr>
      <w:r>
        <w:rPr>
          <w:b/>
        </w:rPr>
        <w:t xml:space="preserve">6.3.4. </w:t>
      </w:r>
      <w:r>
        <w:t>Spadki poprzeczne</w:t>
      </w:r>
    </w:p>
    <w:p w:rsidR="0051730D" w:rsidRDefault="0051730D" w:rsidP="0051730D">
      <w:pPr>
        <w:jc w:val="both"/>
      </w:pPr>
      <w:r>
        <w:tab/>
        <w:t xml:space="preserve">Spadki poprzeczne warstwy odsączającej na prostych i łukach powinny być zgodne z dokumentacją projektową z tolerancją </w:t>
      </w:r>
      <w:r>
        <w:sym w:font="Symbol" w:char="F0B1"/>
      </w:r>
      <w:r>
        <w:t xml:space="preserve"> 0,5%.</w:t>
      </w:r>
    </w:p>
    <w:p w:rsidR="0051730D" w:rsidRDefault="0051730D" w:rsidP="0051730D">
      <w:pPr>
        <w:keepNext/>
        <w:spacing w:before="120" w:after="120"/>
        <w:jc w:val="both"/>
      </w:pPr>
      <w:r>
        <w:rPr>
          <w:b/>
        </w:rPr>
        <w:t xml:space="preserve">6.3.5. </w:t>
      </w:r>
      <w:r>
        <w:t>Rzędne wysokościowe</w:t>
      </w:r>
    </w:p>
    <w:p w:rsidR="0051730D" w:rsidRDefault="0051730D" w:rsidP="0051730D">
      <w:pPr>
        <w:jc w:val="both"/>
      </w:pPr>
      <w:r>
        <w:tab/>
        <w:t>Różnice pomiędzy rzędnymi wysokościowymi warstwy i rzędnymi projektowanymi nie powinny przekraczać +1 cm i -2 cm.</w:t>
      </w:r>
    </w:p>
    <w:p w:rsidR="0051730D" w:rsidRDefault="0051730D" w:rsidP="0051730D">
      <w:pPr>
        <w:spacing w:before="120" w:after="120"/>
        <w:jc w:val="both"/>
      </w:pPr>
      <w:r>
        <w:rPr>
          <w:b/>
        </w:rPr>
        <w:t xml:space="preserve">6.3.6. </w:t>
      </w:r>
      <w:r>
        <w:t>Ukształtowanie osi w planie</w:t>
      </w:r>
    </w:p>
    <w:p w:rsidR="0051730D" w:rsidRDefault="0051730D" w:rsidP="0051730D">
      <w:pPr>
        <w:jc w:val="both"/>
      </w:pPr>
      <w:r>
        <w:tab/>
        <w:t xml:space="preserve">Oś w planie nie może być przesunięta w stosunku do osi projektowanej o więcej niż </w:t>
      </w:r>
      <w:r>
        <w:sym w:font="Symbol" w:char="F0B1"/>
      </w:r>
      <w:r>
        <w:t xml:space="preserve"> 5 cm .</w:t>
      </w:r>
    </w:p>
    <w:p w:rsidR="0051730D" w:rsidRDefault="0051730D" w:rsidP="0051730D">
      <w:pPr>
        <w:spacing w:before="120" w:after="120"/>
        <w:jc w:val="both"/>
      </w:pPr>
      <w:r>
        <w:rPr>
          <w:b/>
        </w:rPr>
        <w:t xml:space="preserve">6.3.7. </w:t>
      </w:r>
      <w:r>
        <w:t>Grubość warstwy</w:t>
      </w:r>
    </w:p>
    <w:p w:rsidR="0051730D" w:rsidRDefault="0051730D" w:rsidP="0051730D">
      <w:pPr>
        <w:jc w:val="both"/>
      </w:pPr>
      <w:r>
        <w:tab/>
        <w:t>Grubość warstwy powinna być zgodna z określoną w dokumentacji projektowej z tolerancją +1 cm, -2 cm.</w:t>
      </w:r>
    </w:p>
    <w:p w:rsidR="0051730D" w:rsidRDefault="0051730D" w:rsidP="0051730D">
      <w:pPr>
        <w:jc w:val="both"/>
      </w:pPr>
      <w:r>
        <w:tab/>
        <w:t>Jeżeli warstwa, ze względów technologicznych, została wykonana w dwóch warstwach, należy mierzyć łączną grubość tych warstw.</w:t>
      </w:r>
    </w:p>
    <w:p w:rsidR="0051730D" w:rsidRDefault="0051730D" w:rsidP="0051730D">
      <w:pPr>
        <w:jc w:val="both"/>
      </w:pPr>
      <w:r>
        <w:tab/>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51730D" w:rsidRDefault="0051730D" w:rsidP="0051730D">
      <w:pPr>
        <w:jc w:val="both"/>
      </w:pPr>
      <w:r>
        <w:tab/>
        <w:t>Roboty te Wykonawca wykona na własny koszt. Po wykonaniu tych robót nastąpi ponowny pomiar i ocena grubości warstwy, według wyżej podanych zasad na koszt Wykonawcy.</w:t>
      </w:r>
    </w:p>
    <w:p w:rsidR="0051730D" w:rsidRDefault="0051730D" w:rsidP="0051730D">
      <w:pPr>
        <w:spacing w:before="120" w:after="120"/>
        <w:jc w:val="both"/>
      </w:pPr>
      <w:r>
        <w:rPr>
          <w:b/>
        </w:rPr>
        <w:t xml:space="preserve">6.3.8. </w:t>
      </w:r>
      <w:r>
        <w:t>Zagęszczenie warstwy</w:t>
      </w:r>
    </w:p>
    <w:p w:rsidR="0051730D" w:rsidRDefault="0051730D" w:rsidP="0051730D">
      <w:pPr>
        <w:jc w:val="both"/>
      </w:pPr>
      <w:r>
        <w:tab/>
        <w:t>Wskaźnik zagęszczenia warstwy odsączającej, określony wg BN-77/8931-12 [8] nie powinien być mniejszy od 1.</w:t>
      </w:r>
    </w:p>
    <w:p w:rsidR="0051730D" w:rsidRDefault="0051730D" w:rsidP="0051730D">
      <w:pPr>
        <w:jc w:val="both"/>
      </w:pPr>
      <w:r>
        <w:tab/>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51730D" w:rsidRDefault="0051730D" w:rsidP="0051730D">
      <w:pPr>
        <w:jc w:val="both"/>
      </w:pPr>
      <w:r>
        <w:tab/>
        <w:t>Wilgotność kruszywa w czasie zagęszczenia należy badać według PN-B-06714-17 [2]. Wilgotność kruszywa powinna być równa wilgotności optymalnej z tolerancją od -20% do +10%.</w:t>
      </w:r>
    </w:p>
    <w:p w:rsidR="0051730D" w:rsidRDefault="0051730D" w:rsidP="0051730D">
      <w:pPr>
        <w:jc w:val="both"/>
      </w:pPr>
    </w:p>
    <w:p w:rsidR="0051730D" w:rsidRDefault="0051730D" w:rsidP="0051730D">
      <w:pPr>
        <w:pStyle w:val="Nagwek2"/>
      </w:pPr>
      <w:r>
        <w:t>6.4. Zasady postępowania z odcinkami wadliwie wykonanymi</w:t>
      </w:r>
    </w:p>
    <w:p w:rsidR="0051730D" w:rsidRDefault="0051730D" w:rsidP="0051730D">
      <w:pPr>
        <w:jc w:val="both"/>
      </w:pPr>
      <w:r>
        <w:tab/>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51730D" w:rsidRDefault="0051730D" w:rsidP="0051730D">
      <w:pPr>
        <w:pStyle w:val="Nagwek1"/>
      </w:pPr>
      <w:r>
        <w:t>7. obmiar robót</w:t>
      </w:r>
    </w:p>
    <w:p w:rsidR="0051730D" w:rsidRDefault="0051730D" w:rsidP="0051730D">
      <w:pPr>
        <w:pStyle w:val="Nagwek2"/>
      </w:pPr>
      <w:r>
        <w:t>7.1. Ogólne zasady obmiaru robót</w:t>
      </w:r>
    </w:p>
    <w:p w:rsidR="0051730D" w:rsidRDefault="0051730D" w:rsidP="0051730D">
      <w:pPr>
        <w:jc w:val="both"/>
      </w:pPr>
      <w:r>
        <w:tab/>
        <w:t>Ogólne zasady obmiaru robót podano w SST D-00.00.00 „Wymagania ogólne” pkt 7.</w:t>
      </w:r>
    </w:p>
    <w:p w:rsidR="0051730D" w:rsidRDefault="0051730D" w:rsidP="0051730D">
      <w:pPr>
        <w:pStyle w:val="Nagwek2"/>
      </w:pPr>
      <w:r>
        <w:t>7.2. Jednostka obmiarowa</w:t>
      </w:r>
    </w:p>
    <w:p w:rsidR="0051730D" w:rsidRDefault="0051730D" w:rsidP="0051730D">
      <w:pPr>
        <w:jc w:val="both"/>
      </w:pPr>
      <w:r>
        <w:tab/>
        <w:t>Jednostką obmiarową jest m</w:t>
      </w:r>
      <w:r>
        <w:rPr>
          <w:vertAlign w:val="superscript"/>
        </w:rPr>
        <w:t>2</w:t>
      </w:r>
      <w:r>
        <w:t xml:space="preserve"> (metr kwadratowy) warstwy odcinającej                               i odsączającej.</w:t>
      </w:r>
    </w:p>
    <w:p w:rsidR="0051730D" w:rsidRDefault="0051730D" w:rsidP="0051730D">
      <w:pPr>
        <w:pStyle w:val="Nagwek1"/>
      </w:pPr>
      <w:r>
        <w:t>8. odbiór robót</w:t>
      </w:r>
    </w:p>
    <w:p w:rsidR="0051730D" w:rsidRDefault="0051730D" w:rsidP="0051730D">
      <w:pPr>
        <w:jc w:val="both"/>
      </w:pPr>
      <w:r>
        <w:tab/>
        <w:t>Ogólne zasady odbioru robót podano w SST D-00.00.00 „Wymagania ogólne” pkt 8.</w:t>
      </w:r>
    </w:p>
    <w:p w:rsidR="0051730D" w:rsidRDefault="0051730D" w:rsidP="0051730D">
      <w:pPr>
        <w:spacing w:after="120"/>
        <w:jc w:val="both"/>
      </w:pPr>
      <w:r>
        <w:tab/>
        <w:t>Roboty uznaje się za wykonane zgodnie z dokumentacją projektową, SST i wymaganiami Inżyniera, jeżeli wszystkie pomiary i badania z zachowaniem tolerancji wg pkt 6 dały wyniki pozytywne.</w:t>
      </w:r>
    </w:p>
    <w:p w:rsidR="0051730D" w:rsidRDefault="0051730D" w:rsidP="0051730D">
      <w:pPr>
        <w:pStyle w:val="Nagwek1"/>
      </w:pPr>
      <w:r>
        <w:t>9. podstawa płatności</w:t>
      </w:r>
    </w:p>
    <w:p w:rsidR="0051730D" w:rsidRDefault="0051730D" w:rsidP="0051730D">
      <w:pPr>
        <w:pStyle w:val="Nagwek2"/>
      </w:pPr>
      <w:r>
        <w:t>9.1. Ogólne ustalenia dotyczące podstawy płatności</w:t>
      </w:r>
    </w:p>
    <w:p w:rsidR="0051730D" w:rsidRDefault="0051730D" w:rsidP="0051730D">
      <w:pPr>
        <w:jc w:val="both"/>
      </w:pPr>
      <w:r>
        <w:tab/>
        <w:t>Ogólne ustalenia dotyczące podstawy płatności podano w SST D-00.00.00 „Wymagania ogólne” pkt 9.</w:t>
      </w:r>
    </w:p>
    <w:p w:rsidR="0051730D" w:rsidRDefault="0051730D" w:rsidP="0051730D">
      <w:pPr>
        <w:pStyle w:val="Nagwek2"/>
      </w:pPr>
      <w:r>
        <w:t>9.2. Cena jednostki obmiarowej</w:t>
      </w:r>
    </w:p>
    <w:p w:rsidR="0051730D" w:rsidRDefault="0051730D" w:rsidP="0051730D">
      <w:pPr>
        <w:jc w:val="both"/>
      </w:pPr>
      <w:r>
        <w:tab/>
        <w:t>Cena wykonania 1m</w:t>
      </w:r>
      <w:r>
        <w:rPr>
          <w:vertAlign w:val="superscript"/>
        </w:rPr>
        <w:t>2</w:t>
      </w:r>
      <w:r>
        <w:t xml:space="preserve"> warstwy odsączającej z kruszywa obejmuje:</w:t>
      </w:r>
    </w:p>
    <w:p w:rsidR="0051730D" w:rsidRDefault="0051730D" w:rsidP="0051730D">
      <w:pPr>
        <w:numPr>
          <w:ilvl w:val="0"/>
          <w:numId w:val="1"/>
        </w:numPr>
        <w:jc w:val="both"/>
      </w:pPr>
      <w:r>
        <w:t>prace pomiarowe,</w:t>
      </w:r>
    </w:p>
    <w:p w:rsidR="0051730D" w:rsidRDefault="0051730D" w:rsidP="0051730D">
      <w:pPr>
        <w:numPr>
          <w:ilvl w:val="0"/>
          <w:numId w:val="1"/>
        </w:numPr>
        <w:jc w:val="both"/>
      </w:pPr>
      <w:r>
        <w:lastRenderedPageBreak/>
        <w:t>dostarczenie i rozłożenie na uprzednio przygotowanym podłożu warstwy materiału o grubości i jakości określonej w dokumentacji projektowej i specyfikacji technicznej,</w:t>
      </w:r>
    </w:p>
    <w:p w:rsidR="0051730D" w:rsidRDefault="0051730D" w:rsidP="0051730D">
      <w:pPr>
        <w:numPr>
          <w:ilvl w:val="0"/>
          <w:numId w:val="1"/>
        </w:numPr>
        <w:jc w:val="both"/>
      </w:pPr>
      <w:r>
        <w:t>wyrównanie ułożonej warstwy do wymaganego profilu,</w:t>
      </w:r>
    </w:p>
    <w:p w:rsidR="0051730D" w:rsidRDefault="0051730D" w:rsidP="0051730D">
      <w:pPr>
        <w:numPr>
          <w:ilvl w:val="0"/>
          <w:numId w:val="1"/>
        </w:numPr>
        <w:jc w:val="both"/>
      </w:pPr>
      <w:r>
        <w:t>zagęszczenie wyprofilowanej warstwy,</w:t>
      </w:r>
    </w:p>
    <w:p w:rsidR="0051730D" w:rsidRDefault="0051730D" w:rsidP="0051730D">
      <w:pPr>
        <w:numPr>
          <w:ilvl w:val="0"/>
          <w:numId w:val="1"/>
        </w:numPr>
        <w:jc w:val="both"/>
      </w:pPr>
      <w:r>
        <w:t>przeprowadzenie pomiarów i badań laboratoryjnych wymaganych w specyfikacji technicznej,</w:t>
      </w:r>
    </w:p>
    <w:p w:rsidR="0051730D" w:rsidRDefault="0051730D" w:rsidP="0051730D">
      <w:pPr>
        <w:numPr>
          <w:ilvl w:val="0"/>
          <w:numId w:val="1"/>
        </w:numPr>
        <w:jc w:val="both"/>
      </w:pPr>
      <w:r>
        <w:t>utrzymanie warstwy.</w:t>
      </w:r>
    </w:p>
    <w:p w:rsidR="0051730D" w:rsidRDefault="0051730D" w:rsidP="0051730D">
      <w:pPr>
        <w:jc w:val="both"/>
      </w:pPr>
      <w:r>
        <w:tab/>
      </w:r>
    </w:p>
    <w:p w:rsidR="0051730D" w:rsidRDefault="0051730D" w:rsidP="0051730D">
      <w:pPr>
        <w:jc w:val="both"/>
        <w:rPr>
          <w:b/>
        </w:rPr>
      </w:pPr>
      <w:r>
        <w:rPr>
          <w:b/>
        </w:rPr>
        <w:t>10. przepisy związane</w:t>
      </w:r>
    </w:p>
    <w:p w:rsidR="0051730D" w:rsidRDefault="0051730D" w:rsidP="0051730D">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51730D" w:rsidTr="0051730D">
        <w:tc>
          <w:tcPr>
            <w:tcW w:w="496" w:type="dxa"/>
          </w:tcPr>
          <w:p w:rsidR="0051730D" w:rsidRDefault="0051730D" w:rsidP="0051730D">
            <w:pPr>
              <w:jc w:val="both"/>
            </w:pPr>
            <w:r>
              <w:t>1.</w:t>
            </w:r>
          </w:p>
        </w:tc>
        <w:tc>
          <w:tcPr>
            <w:tcW w:w="1984" w:type="dxa"/>
          </w:tcPr>
          <w:p w:rsidR="0051730D" w:rsidRDefault="0051730D" w:rsidP="0051730D">
            <w:pPr>
              <w:jc w:val="both"/>
            </w:pPr>
            <w:r>
              <w:t>PN-B-04481</w:t>
            </w:r>
          </w:p>
        </w:tc>
        <w:tc>
          <w:tcPr>
            <w:tcW w:w="5030" w:type="dxa"/>
          </w:tcPr>
          <w:p w:rsidR="0051730D" w:rsidRDefault="0051730D" w:rsidP="0051730D">
            <w:pPr>
              <w:jc w:val="both"/>
            </w:pPr>
            <w:r>
              <w:t>Grunty budowlane. Badania próbek gruntu</w:t>
            </w:r>
          </w:p>
        </w:tc>
      </w:tr>
      <w:tr w:rsidR="0051730D" w:rsidTr="0051730D">
        <w:tc>
          <w:tcPr>
            <w:tcW w:w="496" w:type="dxa"/>
          </w:tcPr>
          <w:p w:rsidR="0051730D" w:rsidRDefault="0051730D" w:rsidP="0051730D">
            <w:pPr>
              <w:jc w:val="both"/>
            </w:pPr>
            <w:r>
              <w:t>2.</w:t>
            </w:r>
          </w:p>
        </w:tc>
        <w:tc>
          <w:tcPr>
            <w:tcW w:w="1984" w:type="dxa"/>
          </w:tcPr>
          <w:p w:rsidR="0051730D" w:rsidRDefault="0051730D" w:rsidP="0051730D">
            <w:pPr>
              <w:jc w:val="both"/>
            </w:pPr>
            <w:r>
              <w:t>PN-B-06714-17</w:t>
            </w:r>
          </w:p>
        </w:tc>
        <w:tc>
          <w:tcPr>
            <w:tcW w:w="5030" w:type="dxa"/>
          </w:tcPr>
          <w:p w:rsidR="0051730D" w:rsidRDefault="0051730D" w:rsidP="0051730D">
            <w:pPr>
              <w:jc w:val="both"/>
            </w:pPr>
            <w:r>
              <w:t>Kruszywa mineralne. Badania. Oznaczanie wilgotności</w:t>
            </w:r>
          </w:p>
        </w:tc>
      </w:tr>
      <w:tr w:rsidR="0051730D" w:rsidTr="0051730D">
        <w:tc>
          <w:tcPr>
            <w:tcW w:w="496" w:type="dxa"/>
          </w:tcPr>
          <w:p w:rsidR="0051730D" w:rsidRDefault="0051730D" w:rsidP="0051730D">
            <w:pPr>
              <w:jc w:val="both"/>
            </w:pPr>
            <w:r>
              <w:t>3.</w:t>
            </w:r>
          </w:p>
        </w:tc>
        <w:tc>
          <w:tcPr>
            <w:tcW w:w="1984" w:type="dxa"/>
          </w:tcPr>
          <w:p w:rsidR="0051730D" w:rsidRDefault="0051730D" w:rsidP="0051730D">
            <w:pPr>
              <w:jc w:val="both"/>
            </w:pPr>
            <w:r>
              <w:t>PN-B-11111</w:t>
            </w:r>
          </w:p>
        </w:tc>
        <w:tc>
          <w:tcPr>
            <w:tcW w:w="5030" w:type="dxa"/>
          </w:tcPr>
          <w:p w:rsidR="0051730D" w:rsidRDefault="0051730D" w:rsidP="0051730D">
            <w:pPr>
              <w:jc w:val="both"/>
            </w:pPr>
            <w:r>
              <w:t>Kruszywa mineralne. Kruszywo naturalne do nawierzchni drogowych . Żwir i mieszanka</w:t>
            </w:r>
          </w:p>
        </w:tc>
      </w:tr>
      <w:tr w:rsidR="0051730D" w:rsidTr="0051730D">
        <w:tc>
          <w:tcPr>
            <w:tcW w:w="496" w:type="dxa"/>
          </w:tcPr>
          <w:p w:rsidR="0051730D" w:rsidRDefault="0051730D" w:rsidP="0051730D">
            <w:pPr>
              <w:jc w:val="both"/>
            </w:pPr>
            <w:r>
              <w:t>4.</w:t>
            </w:r>
          </w:p>
        </w:tc>
        <w:tc>
          <w:tcPr>
            <w:tcW w:w="1984" w:type="dxa"/>
          </w:tcPr>
          <w:p w:rsidR="0051730D" w:rsidRDefault="0051730D" w:rsidP="0051730D">
            <w:pPr>
              <w:jc w:val="both"/>
            </w:pPr>
            <w:r>
              <w:t>PN-B-11112</w:t>
            </w:r>
          </w:p>
        </w:tc>
        <w:tc>
          <w:tcPr>
            <w:tcW w:w="5030" w:type="dxa"/>
          </w:tcPr>
          <w:p w:rsidR="0051730D" w:rsidRDefault="0051730D" w:rsidP="0051730D">
            <w:pPr>
              <w:jc w:val="both"/>
            </w:pPr>
            <w:r>
              <w:t>Kruszywa mineralne. Kruszywo łamane do nawierzchni drogowych</w:t>
            </w:r>
          </w:p>
        </w:tc>
      </w:tr>
      <w:tr w:rsidR="0051730D" w:rsidTr="0051730D">
        <w:tc>
          <w:tcPr>
            <w:tcW w:w="496" w:type="dxa"/>
          </w:tcPr>
          <w:p w:rsidR="0051730D" w:rsidRDefault="0051730D" w:rsidP="0051730D">
            <w:pPr>
              <w:jc w:val="both"/>
            </w:pPr>
            <w:r>
              <w:t>5.</w:t>
            </w:r>
          </w:p>
        </w:tc>
        <w:tc>
          <w:tcPr>
            <w:tcW w:w="1984" w:type="dxa"/>
          </w:tcPr>
          <w:p w:rsidR="0051730D" w:rsidRDefault="0051730D" w:rsidP="0051730D">
            <w:pPr>
              <w:jc w:val="both"/>
            </w:pPr>
            <w:r>
              <w:t>PN-B-11113</w:t>
            </w:r>
          </w:p>
        </w:tc>
        <w:tc>
          <w:tcPr>
            <w:tcW w:w="5030" w:type="dxa"/>
          </w:tcPr>
          <w:p w:rsidR="0051730D" w:rsidRDefault="0051730D" w:rsidP="0051730D">
            <w:pPr>
              <w:jc w:val="both"/>
            </w:pPr>
            <w:r>
              <w:t>Kruszywa mineralne. Kruszywo naturalne do nawierzchni drogowych. Piasek</w:t>
            </w:r>
          </w:p>
        </w:tc>
      </w:tr>
      <w:tr w:rsidR="0051730D" w:rsidTr="0051730D">
        <w:tc>
          <w:tcPr>
            <w:tcW w:w="496" w:type="dxa"/>
          </w:tcPr>
          <w:p w:rsidR="0051730D" w:rsidRDefault="0051730D" w:rsidP="0051730D">
            <w:pPr>
              <w:jc w:val="both"/>
            </w:pPr>
            <w:r>
              <w:t>6.</w:t>
            </w:r>
          </w:p>
        </w:tc>
        <w:tc>
          <w:tcPr>
            <w:tcW w:w="1984" w:type="dxa"/>
          </w:tcPr>
          <w:p w:rsidR="0051730D" w:rsidRDefault="0051730D" w:rsidP="0051730D">
            <w:pPr>
              <w:jc w:val="both"/>
            </w:pPr>
            <w:r>
              <w:t>BN-64/8931-02</w:t>
            </w:r>
          </w:p>
        </w:tc>
        <w:tc>
          <w:tcPr>
            <w:tcW w:w="5030" w:type="dxa"/>
          </w:tcPr>
          <w:p w:rsidR="0051730D" w:rsidRDefault="0051730D" w:rsidP="0051730D">
            <w:pPr>
              <w:jc w:val="both"/>
            </w:pPr>
            <w:r>
              <w:t>Drogi samochodowe. Oznaczanie modułu odkształcenia nawierzchni podatnych i podłoża przez obciążenie płytą</w:t>
            </w:r>
          </w:p>
        </w:tc>
      </w:tr>
      <w:tr w:rsidR="0051730D" w:rsidTr="0051730D">
        <w:tc>
          <w:tcPr>
            <w:tcW w:w="496" w:type="dxa"/>
          </w:tcPr>
          <w:p w:rsidR="0051730D" w:rsidRDefault="0051730D" w:rsidP="0051730D">
            <w:pPr>
              <w:jc w:val="both"/>
            </w:pPr>
            <w:r>
              <w:t>7.</w:t>
            </w:r>
          </w:p>
        </w:tc>
        <w:tc>
          <w:tcPr>
            <w:tcW w:w="1984" w:type="dxa"/>
          </w:tcPr>
          <w:p w:rsidR="0051730D" w:rsidRDefault="0051730D" w:rsidP="0051730D">
            <w:pPr>
              <w:jc w:val="both"/>
            </w:pPr>
            <w:r>
              <w:t>BN-68/8931-04</w:t>
            </w:r>
          </w:p>
        </w:tc>
        <w:tc>
          <w:tcPr>
            <w:tcW w:w="5030" w:type="dxa"/>
          </w:tcPr>
          <w:p w:rsidR="0051730D" w:rsidRDefault="0051730D" w:rsidP="0051730D">
            <w:pPr>
              <w:jc w:val="both"/>
            </w:pPr>
            <w:r>
              <w:t xml:space="preserve">Drogi samochodowe. Pomiar równości nawierzchni </w:t>
            </w:r>
            <w:proofErr w:type="spellStart"/>
            <w:r>
              <w:t>planografem</w:t>
            </w:r>
            <w:proofErr w:type="spellEnd"/>
            <w:r>
              <w:t xml:space="preserve"> i łatą</w:t>
            </w:r>
          </w:p>
        </w:tc>
      </w:tr>
      <w:tr w:rsidR="0051730D" w:rsidTr="0051730D">
        <w:tc>
          <w:tcPr>
            <w:tcW w:w="496" w:type="dxa"/>
          </w:tcPr>
          <w:p w:rsidR="0051730D" w:rsidRDefault="0051730D" w:rsidP="0051730D">
            <w:pPr>
              <w:jc w:val="both"/>
            </w:pPr>
            <w:r>
              <w:t>8.</w:t>
            </w:r>
          </w:p>
        </w:tc>
        <w:tc>
          <w:tcPr>
            <w:tcW w:w="1984" w:type="dxa"/>
          </w:tcPr>
          <w:p w:rsidR="0051730D" w:rsidRDefault="0051730D" w:rsidP="0051730D">
            <w:pPr>
              <w:jc w:val="both"/>
            </w:pPr>
            <w:r>
              <w:t>BN-77/8931-12</w:t>
            </w:r>
          </w:p>
        </w:tc>
        <w:tc>
          <w:tcPr>
            <w:tcW w:w="5030" w:type="dxa"/>
          </w:tcPr>
          <w:p w:rsidR="0051730D" w:rsidRDefault="0051730D" w:rsidP="0051730D">
            <w:pPr>
              <w:jc w:val="both"/>
            </w:pPr>
            <w:r>
              <w:t>Oznaczanie wskaźnika zagęszczenia gruntu</w:t>
            </w:r>
          </w:p>
        </w:tc>
      </w:tr>
    </w:tbl>
    <w:p w:rsidR="0051730D" w:rsidRDefault="0051730D" w:rsidP="0051730D">
      <w:pPr>
        <w:pStyle w:val="Nagwek2"/>
      </w:pPr>
      <w:r>
        <w:t>10.2. Inne dokumenty</w:t>
      </w:r>
    </w:p>
    <w:p w:rsidR="0051730D" w:rsidRDefault="0051730D" w:rsidP="002122BD">
      <w:pPr>
        <w:numPr>
          <w:ilvl w:val="0"/>
          <w:numId w:val="26"/>
        </w:numPr>
        <w:ind w:left="426" w:hanging="426"/>
        <w:jc w:val="both"/>
      </w:pPr>
      <w:r>
        <w:t xml:space="preserve">Wytyczne budowy nasypów komunikacyjnych na słabym podłożu z zastosowaniem   </w:t>
      </w:r>
      <w:proofErr w:type="spellStart"/>
      <w:r>
        <w:t>geotekstyliów</w:t>
      </w:r>
      <w:proofErr w:type="spellEnd"/>
      <w:r>
        <w:t xml:space="preserve">, </w:t>
      </w:r>
      <w:proofErr w:type="spellStart"/>
      <w:r>
        <w:t>IBDiM</w:t>
      </w:r>
      <w:proofErr w:type="spellEnd"/>
      <w:r>
        <w:t>, Warszawa 1986</w:t>
      </w:r>
    </w:p>
    <w:p w:rsidR="0051730D" w:rsidRPr="00935F2F" w:rsidRDefault="0051730D" w:rsidP="0051730D"/>
    <w:p w:rsidR="0051730D" w:rsidRDefault="0051730D" w:rsidP="00E52B27"/>
    <w:p w:rsidR="0051730D" w:rsidRDefault="0051730D"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51730D" w:rsidRDefault="0051730D" w:rsidP="00E52B27"/>
    <w:p w:rsidR="0051730D" w:rsidRDefault="0051730D" w:rsidP="0051730D">
      <w:pPr>
        <w:pStyle w:val="Standardowytekst"/>
        <w:jc w:val="left"/>
        <w:rPr>
          <w:b/>
          <w:sz w:val="28"/>
        </w:rPr>
      </w:pPr>
      <w:bookmarkStart w:id="106" w:name="_Hlk15765129"/>
      <w:r>
        <w:rPr>
          <w:b/>
          <w:sz w:val="28"/>
        </w:rPr>
        <w:lastRenderedPageBreak/>
        <w:t xml:space="preserve">D-04.05.00  PODBUDOWA  I  ULEPSZONE  PODŁOŻE Z  GRUNTÓW    </w:t>
      </w:r>
    </w:p>
    <w:p w:rsidR="0051730D" w:rsidRDefault="0051730D" w:rsidP="0051730D">
      <w:pPr>
        <w:pStyle w:val="Standardowytekst"/>
        <w:jc w:val="left"/>
        <w:rPr>
          <w:b/>
          <w:sz w:val="28"/>
        </w:rPr>
      </w:pPr>
      <w:r>
        <w:rPr>
          <w:b/>
          <w:sz w:val="28"/>
        </w:rPr>
        <w:t xml:space="preserve">                    LUB  KRUSZYW  STABILIZOWANYCH  SPOIWAMI       </w:t>
      </w:r>
    </w:p>
    <w:p w:rsidR="0051730D" w:rsidRDefault="0051730D" w:rsidP="0051730D">
      <w:pPr>
        <w:pStyle w:val="Standardowytekst"/>
        <w:jc w:val="left"/>
        <w:rPr>
          <w:b/>
          <w:sz w:val="28"/>
        </w:rPr>
      </w:pPr>
      <w:r>
        <w:rPr>
          <w:b/>
          <w:sz w:val="28"/>
        </w:rPr>
        <w:t xml:space="preserve">                    HYDRAULICZNYMI. WYMAGANIA  OGÓLNE</w:t>
      </w:r>
    </w:p>
    <w:bookmarkEnd w:id="106"/>
    <w:p w:rsidR="0051730D" w:rsidRDefault="0051730D" w:rsidP="0051730D">
      <w:pPr>
        <w:pStyle w:val="Standardowytekst"/>
        <w:rPr>
          <w:b/>
          <w:sz w:val="28"/>
        </w:rPr>
      </w:pPr>
    </w:p>
    <w:p w:rsidR="0051730D" w:rsidRDefault="0051730D" w:rsidP="0051730D">
      <w:pPr>
        <w:pStyle w:val="Nagwek1"/>
      </w:pPr>
      <w:r>
        <w:t>1. WSTĘP</w:t>
      </w:r>
    </w:p>
    <w:p w:rsidR="0051730D" w:rsidRDefault="0051730D" w:rsidP="0051730D">
      <w:pPr>
        <w:pStyle w:val="Nagwek2"/>
      </w:pPr>
      <w:bookmarkStart w:id="107" w:name="_Toc407086006"/>
      <w:bookmarkStart w:id="108" w:name="_Toc407085558"/>
      <w:bookmarkStart w:id="109" w:name="_Toc407085415"/>
      <w:bookmarkStart w:id="110" w:name="_Toc407085272"/>
      <w:bookmarkStart w:id="111" w:name="_Toc407084153"/>
      <w:bookmarkStart w:id="112" w:name="_Toc407083319"/>
      <w:bookmarkStart w:id="113" w:name="_Toc407081520"/>
      <w:bookmarkStart w:id="114" w:name="_Toc407069555"/>
      <w:bookmarkStart w:id="115" w:name="_Toc406984347"/>
      <w:bookmarkStart w:id="116" w:name="_Toc406984156"/>
      <w:bookmarkStart w:id="117" w:name="_Toc406984009"/>
      <w:bookmarkStart w:id="118" w:name="_Toc406915316"/>
      <w:bookmarkStart w:id="119" w:name="_Toc406914738"/>
      <w:bookmarkStart w:id="120" w:name="_Toc406914080"/>
      <w:bookmarkStart w:id="121" w:name="_Toc406913835"/>
      <w:bookmarkStart w:id="122" w:name="_Toc406295846"/>
      <w:bookmarkStart w:id="123" w:name="_Toc405780134"/>
      <w:bookmarkStart w:id="124" w:name="_Toc405704473"/>
      <w:r>
        <w:t>1.1. Przedmiot SST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51730D" w:rsidRDefault="0051730D" w:rsidP="0051730D">
      <w:r>
        <w:tab/>
        <w:t>Przedmiotem niniejszej szczegółowej specyfikacji technicznej (SST) są wymagania ogólne dotyczące wykonania i odbioru robót związanych z wykonywaniem podbudowy i ulepszonego podłoża z gruntów lub kruszyw stabilizowanych spoiwami hydraulicznymi.</w:t>
      </w:r>
    </w:p>
    <w:p w:rsidR="0051730D" w:rsidRDefault="0051730D" w:rsidP="0051730D">
      <w:pPr>
        <w:pStyle w:val="Nagwek2"/>
      </w:pPr>
      <w:bookmarkStart w:id="125" w:name="_Toc407086007"/>
      <w:bookmarkStart w:id="126" w:name="_Toc407085559"/>
      <w:bookmarkStart w:id="127" w:name="_Toc407085416"/>
      <w:bookmarkStart w:id="128" w:name="_Toc407085273"/>
      <w:bookmarkStart w:id="129" w:name="_Toc407084154"/>
      <w:bookmarkStart w:id="130" w:name="_Toc407083320"/>
      <w:bookmarkStart w:id="131" w:name="_Toc407081521"/>
      <w:bookmarkStart w:id="132" w:name="_Toc407069556"/>
      <w:bookmarkStart w:id="133" w:name="_Toc406984348"/>
      <w:bookmarkStart w:id="134" w:name="_Toc406984157"/>
      <w:bookmarkStart w:id="135" w:name="_Toc406984010"/>
      <w:bookmarkStart w:id="136" w:name="_Toc406915317"/>
      <w:bookmarkStart w:id="137" w:name="_Toc406914739"/>
      <w:bookmarkStart w:id="138" w:name="_Toc406914081"/>
      <w:bookmarkStart w:id="139" w:name="_Toc406913836"/>
      <w:bookmarkStart w:id="140" w:name="_Toc406295847"/>
      <w:bookmarkStart w:id="141" w:name="_Toc405780135"/>
      <w:bookmarkStart w:id="142" w:name="_Toc405704474"/>
      <w:r>
        <w:t>1.2. Zakres stosowania SST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51730D" w:rsidRDefault="0051730D" w:rsidP="0051730D">
      <w:r>
        <w:tab/>
        <w:t>Szczegółowa specyfikacja techniczna (SST) stanowi obowiązującą podstawę jako dokument przetargowy i kontraktowy przy zlecaniu i realizacji robót na drogach.</w:t>
      </w:r>
    </w:p>
    <w:p w:rsidR="0051730D" w:rsidRDefault="0051730D" w:rsidP="0051730D">
      <w:r>
        <w:tab/>
      </w:r>
    </w:p>
    <w:p w:rsidR="0051730D" w:rsidRDefault="0051730D" w:rsidP="0051730D">
      <w:pPr>
        <w:pStyle w:val="Nagwek2"/>
      </w:pPr>
      <w:bookmarkStart w:id="143" w:name="_Toc407086008"/>
      <w:bookmarkStart w:id="144" w:name="_Toc407085560"/>
      <w:bookmarkStart w:id="145" w:name="_Toc407085417"/>
      <w:bookmarkStart w:id="146" w:name="_Toc407085274"/>
      <w:bookmarkStart w:id="147" w:name="_Toc407084155"/>
      <w:bookmarkStart w:id="148" w:name="_Toc407083321"/>
      <w:bookmarkStart w:id="149" w:name="_Toc407081522"/>
      <w:bookmarkStart w:id="150" w:name="_Toc407069557"/>
      <w:bookmarkStart w:id="151" w:name="_Toc406984349"/>
      <w:bookmarkStart w:id="152" w:name="_Toc406984158"/>
      <w:bookmarkStart w:id="153" w:name="_Toc406984011"/>
      <w:bookmarkStart w:id="154" w:name="_Toc406915318"/>
      <w:bookmarkStart w:id="155" w:name="_Toc406914740"/>
      <w:bookmarkStart w:id="156" w:name="_Toc406914082"/>
      <w:bookmarkStart w:id="157" w:name="_Toc406913837"/>
      <w:bookmarkStart w:id="158" w:name="_Toc406295848"/>
      <w:bookmarkStart w:id="159" w:name="_Toc405780136"/>
      <w:bookmarkStart w:id="160" w:name="_Toc405704475"/>
      <w:r>
        <w:t>1.3. Zakres robót objętych SST</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rsidR="0051730D" w:rsidRDefault="0051730D" w:rsidP="0051730D">
      <w:r>
        <w:tab/>
        <w:t>Ustalenia zawarte w niniejszej specyfikacji dotyczą zasad prowadzenia robót związanych z wykonaniem i odbiorem podbudów i ulepszonego podłoża z gruntów lub kruszyw stabilizowanych spoiwami hydraulicznymi i obejmują SST:</w:t>
      </w:r>
    </w:p>
    <w:tbl>
      <w:tblPr>
        <w:tblW w:w="0" w:type="auto"/>
        <w:tblLayout w:type="fixed"/>
        <w:tblCellMar>
          <w:left w:w="70" w:type="dxa"/>
          <w:right w:w="70" w:type="dxa"/>
        </w:tblCellMar>
        <w:tblLook w:val="04A0" w:firstRow="1" w:lastRow="0" w:firstColumn="1" w:lastColumn="0" w:noHBand="0" w:noVBand="1"/>
      </w:tblPr>
      <w:tblGrid>
        <w:gridCol w:w="1150"/>
        <w:gridCol w:w="6360"/>
      </w:tblGrid>
      <w:tr w:rsidR="0051730D" w:rsidTr="0051730D">
        <w:tc>
          <w:tcPr>
            <w:tcW w:w="1150" w:type="dxa"/>
            <w:hideMark/>
          </w:tcPr>
          <w:p w:rsidR="0051730D" w:rsidRDefault="0051730D" w:rsidP="0051730D">
            <w:r>
              <w:t>D-04.05.01</w:t>
            </w:r>
          </w:p>
        </w:tc>
        <w:tc>
          <w:tcPr>
            <w:tcW w:w="6360" w:type="dxa"/>
            <w:hideMark/>
          </w:tcPr>
          <w:p w:rsidR="0051730D" w:rsidRDefault="0051730D" w:rsidP="0051730D">
            <w:r>
              <w:t>Podbudowa i ulepszone podłoże z gruntu lub kruszywa stabilizowanego cementem</w:t>
            </w:r>
          </w:p>
        </w:tc>
      </w:tr>
    </w:tbl>
    <w:p w:rsidR="0051730D" w:rsidRDefault="0051730D" w:rsidP="0051730D">
      <w:r>
        <w:t>Podbudowę z gruntów lub kruszyw stabilizowanych spoiwami hydraulicznymi wykonuje się, zgodnie z ustaleniami podanymi w dokumentacji projektowej, jako:</w:t>
      </w:r>
    </w:p>
    <w:p w:rsidR="0051730D" w:rsidRDefault="0051730D" w:rsidP="0051730D">
      <w:pPr>
        <w:numPr>
          <w:ilvl w:val="0"/>
          <w:numId w:val="1"/>
        </w:numPr>
        <w:overflowPunct w:val="0"/>
        <w:autoSpaceDE w:val="0"/>
        <w:autoSpaceDN w:val="0"/>
        <w:adjustRightInd w:val="0"/>
        <w:jc w:val="both"/>
      </w:pPr>
      <w:r>
        <w:t>podbudowę zasadniczą,</w:t>
      </w:r>
    </w:p>
    <w:p w:rsidR="0051730D" w:rsidRDefault="0051730D" w:rsidP="0051730D">
      <w:pPr>
        <w:pStyle w:val="Nagwek2"/>
      </w:pPr>
      <w:bookmarkStart w:id="161" w:name="_Toc407086009"/>
      <w:bookmarkStart w:id="162" w:name="_Toc407085561"/>
      <w:bookmarkStart w:id="163" w:name="_Toc407085418"/>
      <w:bookmarkStart w:id="164" w:name="_Toc407085275"/>
      <w:bookmarkStart w:id="165" w:name="_Toc407084156"/>
      <w:bookmarkStart w:id="166" w:name="_Toc407083322"/>
      <w:bookmarkStart w:id="167" w:name="_Toc407081523"/>
      <w:bookmarkStart w:id="168" w:name="_Toc407069558"/>
      <w:bookmarkStart w:id="169" w:name="_Toc406984350"/>
      <w:bookmarkStart w:id="170" w:name="_Toc406984159"/>
      <w:bookmarkStart w:id="171" w:name="_Toc406984012"/>
      <w:bookmarkStart w:id="172" w:name="_Toc406915319"/>
      <w:bookmarkStart w:id="173" w:name="_Toc406914741"/>
      <w:bookmarkStart w:id="174" w:name="_Toc406914083"/>
      <w:bookmarkStart w:id="175" w:name="_Toc406913838"/>
      <w:bookmarkStart w:id="176" w:name="_Toc406295849"/>
      <w:bookmarkStart w:id="177" w:name="_Toc405780137"/>
      <w:bookmarkStart w:id="178" w:name="_Toc405704476"/>
      <w:r>
        <w:t>1.4. Określenia podstawowe</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51730D" w:rsidRDefault="0051730D" w:rsidP="0051730D">
      <w:r>
        <w:tab/>
        <w:t>Określenia podstawowe są zgodne z obowiązującymi, odpowiednimi polskimi normami oraz z definicjami podanymi w SST D- 00.00.00 „Wymagania ogólne” pkt 1.4 oraz w SST wymienionych w pkt 1.3, dotyczących poszczególnych rodzajów podbudów i ulepszonego podłoża z gruntów lub kruszyw stabilizowanych spoiwami hydraulicznymi.</w:t>
      </w:r>
    </w:p>
    <w:p w:rsidR="0051730D" w:rsidRDefault="0051730D" w:rsidP="0051730D">
      <w:pPr>
        <w:pStyle w:val="Nagwek2"/>
      </w:pPr>
      <w:bookmarkStart w:id="179" w:name="_Toc407086010"/>
      <w:bookmarkStart w:id="180" w:name="_Toc407085562"/>
      <w:bookmarkStart w:id="181" w:name="_Toc407085419"/>
      <w:bookmarkStart w:id="182" w:name="_Toc407085276"/>
      <w:bookmarkStart w:id="183" w:name="_Toc407084157"/>
      <w:bookmarkStart w:id="184" w:name="_Toc407083323"/>
      <w:bookmarkStart w:id="185" w:name="_Toc407081524"/>
      <w:bookmarkStart w:id="186" w:name="_Toc407069559"/>
      <w:bookmarkStart w:id="187" w:name="_Toc406984351"/>
      <w:bookmarkStart w:id="188" w:name="_Toc406984160"/>
      <w:bookmarkStart w:id="189" w:name="_Toc406984013"/>
      <w:bookmarkStart w:id="190" w:name="_Toc406915320"/>
      <w:bookmarkStart w:id="191" w:name="_Toc406914742"/>
      <w:bookmarkStart w:id="192" w:name="_Toc406914084"/>
      <w:bookmarkStart w:id="193" w:name="_Toc406913839"/>
      <w:bookmarkStart w:id="194" w:name="_Toc406295850"/>
      <w:bookmarkStart w:id="195" w:name="_Toc405780138"/>
      <w:bookmarkStart w:id="196" w:name="_Toc405704477"/>
      <w:r>
        <w:t>1.5. Ogólne wymagania dotyczące robót</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51730D" w:rsidRDefault="0051730D" w:rsidP="0051730D">
      <w:pPr>
        <w:pStyle w:val="tekstost"/>
      </w:pPr>
      <w:r>
        <w:tab/>
        <w:t>Ogólne wymagania dotyczące robót podano w SST D-00.00.00 „Wymagania ogólne” pkt 1.5.</w:t>
      </w:r>
    </w:p>
    <w:p w:rsidR="0051730D" w:rsidRDefault="0051730D" w:rsidP="0051730D">
      <w:pPr>
        <w:pStyle w:val="Nagwek1"/>
      </w:pPr>
      <w:r>
        <w:t>2. materiały</w:t>
      </w:r>
    </w:p>
    <w:p w:rsidR="0051730D" w:rsidRDefault="0051730D" w:rsidP="0051730D">
      <w:pPr>
        <w:pStyle w:val="Nagwek2"/>
      </w:pPr>
      <w:r>
        <w:t>2.1. Ogólne wymagania dotyczące materiałów</w:t>
      </w:r>
    </w:p>
    <w:p w:rsidR="0051730D" w:rsidRDefault="0051730D" w:rsidP="0051730D">
      <w:r>
        <w:tab/>
        <w:t>Ogólne wymagania dotyczące materiałów, ich pozyskiwania i składowania, podano w SST D-00.00.00 „Wymagania ogólne” pkt 2.</w:t>
      </w:r>
    </w:p>
    <w:p w:rsidR="0051730D" w:rsidRDefault="0051730D" w:rsidP="0051730D">
      <w:pPr>
        <w:pStyle w:val="Nagwek2"/>
        <w:rPr>
          <w:b w:val="0"/>
        </w:rPr>
      </w:pPr>
      <w:r>
        <w:t>2.2. Rodzaje materiałów</w:t>
      </w:r>
      <w:r>
        <w:rPr>
          <w:b w:val="0"/>
        </w:rPr>
        <w:t xml:space="preserve"> (brzmienie wg </w:t>
      </w:r>
      <w:proofErr w:type="spellStart"/>
      <w:r>
        <w:rPr>
          <w:b w:val="0"/>
        </w:rPr>
        <w:t>GDDKiA</w:t>
      </w:r>
      <w:proofErr w:type="spellEnd"/>
      <w:r>
        <w:rPr>
          <w:b w:val="0"/>
        </w:rPr>
        <w:t xml:space="preserve"> BRI 3/541/5/04 z dnia 20.04.2003)</w:t>
      </w:r>
    </w:p>
    <w:p w:rsidR="0051730D" w:rsidRDefault="0051730D" w:rsidP="0051730D">
      <w:r>
        <w:tab/>
        <w:t>Materiały stosowane podano w SST wymienionych w pkt 1.3, dotyczących poszczególnych rodzajów podbudów i ulepszonego podłoża z gruntów lub kruszyw stabilizowanych spoiwami hydraulicznymi (cement, wapno, aktywne popioły lotne, wielkopiecowy żużel granulowany). Dopuszcza się inne kwalifikowane spoiwa hydrauliczne posiadające aprobatę techniczną wydaną przez uprawnioną jednostkę.</w:t>
      </w:r>
    </w:p>
    <w:p w:rsidR="0051730D" w:rsidRDefault="0051730D" w:rsidP="0051730D">
      <w:pPr>
        <w:pStyle w:val="Nagwek1"/>
      </w:pPr>
      <w:r>
        <w:t>3. sprzęt</w:t>
      </w:r>
    </w:p>
    <w:p w:rsidR="0051730D" w:rsidRDefault="0051730D" w:rsidP="0051730D">
      <w:pPr>
        <w:pStyle w:val="Nagwek2"/>
      </w:pPr>
      <w:r>
        <w:t>3.1. Ogólne wymagania dotyczące sprzętu</w:t>
      </w:r>
    </w:p>
    <w:p w:rsidR="0051730D" w:rsidRDefault="0051730D" w:rsidP="0051730D">
      <w:pPr>
        <w:ind w:firstLine="709"/>
      </w:pPr>
      <w:r>
        <w:t>Ogólne wymagania dotyczące sprzętu podano w SST D-00.00.00 „Wymagania ogólne” pkt 3.</w:t>
      </w:r>
    </w:p>
    <w:p w:rsidR="0051730D" w:rsidRDefault="0051730D" w:rsidP="0051730D">
      <w:pPr>
        <w:pStyle w:val="Nagwek2"/>
      </w:pPr>
      <w:r>
        <w:t>3.2. Sprzęt do wykonania robót</w:t>
      </w:r>
    </w:p>
    <w:p w:rsidR="0051730D" w:rsidRDefault="0051730D" w:rsidP="0051730D">
      <w:r>
        <w:tab/>
        <w:t>Wykonawca przystępujący do wykonania podbudowy lub ulepszonego podłoża stabilizowanego spoiwami powinien wykazać się możliwością korzystania z następującego sprzętu:</w:t>
      </w:r>
    </w:p>
    <w:p w:rsidR="0051730D" w:rsidRDefault="0051730D" w:rsidP="002122BD">
      <w:pPr>
        <w:numPr>
          <w:ilvl w:val="0"/>
          <w:numId w:val="27"/>
        </w:numPr>
        <w:overflowPunct w:val="0"/>
        <w:autoSpaceDE w:val="0"/>
        <w:autoSpaceDN w:val="0"/>
        <w:adjustRightInd w:val="0"/>
        <w:jc w:val="both"/>
      </w:pPr>
      <w:r>
        <w:t>w przypadku wytwarzania mieszanek kruszywowo-spoiwowych w mieszarkach:</w:t>
      </w:r>
    </w:p>
    <w:p w:rsidR="0051730D" w:rsidRDefault="0051730D" w:rsidP="0051730D">
      <w:pPr>
        <w:numPr>
          <w:ilvl w:val="0"/>
          <w:numId w:val="1"/>
        </w:numPr>
        <w:overflowPunct w:val="0"/>
        <w:autoSpaceDE w:val="0"/>
        <w:autoSpaceDN w:val="0"/>
        <w:adjustRightInd w:val="0"/>
        <w:jc w:val="both"/>
      </w:pPr>
      <w:r>
        <w:t>mieszarek stacjonarnych,</w:t>
      </w:r>
    </w:p>
    <w:p w:rsidR="0051730D" w:rsidRDefault="0051730D" w:rsidP="0051730D">
      <w:pPr>
        <w:numPr>
          <w:ilvl w:val="0"/>
          <w:numId w:val="1"/>
        </w:numPr>
        <w:overflowPunct w:val="0"/>
        <w:autoSpaceDE w:val="0"/>
        <w:autoSpaceDN w:val="0"/>
        <w:adjustRightInd w:val="0"/>
        <w:jc w:val="both"/>
      </w:pPr>
      <w:r>
        <w:t>układarek lub równiarek do rozkładania mieszanki,</w:t>
      </w:r>
    </w:p>
    <w:p w:rsidR="0051730D" w:rsidRDefault="0051730D" w:rsidP="0051730D">
      <w:pPr>
        <w:numPr>
          <w:ilvl w:val="0"/>
          <w:numId w:val="1"/>
        </w:numPr>
        <w:overflowPunct w:val="0"/>
        <w:autoSpaceDE w:val="0"/>
        <w:autoSpaceDN w:val="0"/>
        <w:adjustRightInd w:val="0"/>
        <w:jc w:val="both"/>
      </w:pPr>
      <w:r>
        <w:t>walców ogumionych i stalowych wibracyjnych lub statycznych do zagęszczania,</w:t>
      </w:r>
    </w:p>
    <w:p w:rsidR="0051730D" w:rsidRDefault="0051730D" w:rsidP="0051730D">
      <w:pPr>
        <w:numPr>
          <w:ilvl w:val="0"/>
          <w:numId w:val="1"/>
        </w:numPr>
        <w:overflowPunct w:val="0"/>
        <w:autoSpaceDE w:val="0"/>
        <w:autoSpaceDN w:val="0"/>
        <w:adjustRightInd w:val="0"/>
        <w:jc w:val="both"/>
      </w:pPr>
      <w:r>
        <w:lastRenderedPageBreak/>
        <w:t>zagęszczarek płytowych, ubijaków mechanicznych lub małych walców wibracyjnych do zagęszczania w miejscach trudnodostępnych,</w:t>
      </w:r>
    </w:p>
    <w:p w:rsidR="0051730D" w:rsidRDefault="0051730D" w:rsidP="002122BD">
      <w:pPr>
        <w:numPr>
          <w:ilvl w:val="0"/>
          <w:numId w:val="27"/>
        </w:numPr>
        <w:overflowPunct w:val="0"/>
        <w:autoSpaceDE w:val="0"/>
        <w:autoSpaceDN w:val="0"/>
        <w:adjustRightInd w:val="0"/>
        <w:jc w:val="both"/>
      </w:pPr>
      <w:r>
        <w:t>w przypadku wytwarzania mieszanek gruntowo-spoiwowych na miejscu:</w:t>
      </w:r>
    </w:p>
    <w:p w:rsidR="0051730D" w:rsidRDefault="0051730D" w:rsidP="0051730D">
      <w:pPr>
        <w:numPr>
          <w:ilvl w:val="0"/>
          <w:numId w:val="1"/>
        </w:numPr>
        <w:overflowPunct w:val="0"/>
        <w:autoSpaceDE w:val="0"/>
        <w:autoSpaceDN w:val="0"/>
        <w:adjustRightInd w:val="0"/>
        <w:jc w:val="both"/>
      </w:pPr>
      <w:r>
        <w:t>mieszarek jedno lub wielowirnikowych do wymieszania gruntu ze spoiwami,</w:t>
      </w:r>
    </w:p>
    <w:p w:rsidR="0051730D" w:rsidRDefault="0051730D" w:rsidP="0051730D">
      <w:pPr>
        <w:numPr>
          <w:ilvl w:val="0"/>
          <w:numId w:val="1"/>
        </w:numPr>
        <w:overflowPunct w:val="0"/>
        <w:autoSpaceDE w:val="0"/>
        <w:autoSpaceDN w:val="0"/>
        <w:adjustRightInd w:val="0"/>
        <w:jc w:val="both"/>
      </w:pPr>
      <w:r>
        <w:t>spycharek, równiarek lub sprzętu rolniczego (pługi, brony, kultywatory) do spulchniania gruntu,</w:t>
      </w:r>
    </w:p>
    <w:p w:rsidR="0051730D" w:rsidRDefault="0051730D" w:rsidP="0051730D">
      <w:pPr>
        <w:numPr>
          <w:ilvl w:val="0"/>
          <w:numId w:val="1"/>
        </w:numPr>
        <w:overflowPunct w:val="0"/>
        <w:autoSpaceDE w:val="0"/>
        <w:autoSpaceDN w:val="0"/>
        <w:adjustRightInd w:val="0"/>
        <w:jc w:val="both"/>
      </w:pPr>
      <w:r>
        <w:t>ciężkich szablonów do wyprofilowania warstwy,</w:t>
      </w:r>
    </w:p>
    <w:p w:rsidR="0051730D" w:rsidRDefault="0051730D" w:rsidP="0051730D">
      <w:pPr>
        <w:numPr>
          <w:ilvl w:val="0"/>
          <w:numId w:val="1"/>
        </w:numPr>
        <w:overflowPunct w:val="0"/>
        <w:autoSpaceDE w:val="0"/>
        <w:autoSpaceDN w:val="0"/>
        <w:adjustRightInd w:val="0"/>
        <w:jc w:val="both"/>
      </w:pPr>
      <w:proofErr w:type="spellStart"/>
      <w:r>
        <w:t>rozsypywarek</w:t>
      </w:r>
      <w:proofErr w:type="spellEnd"/>
      <w:r>
        <w:t xml:space="preserve"> wyposażonych w osłony </w:t>
      </w:r>
      <w:proofErr w:type="spellStart"/>
      <w:r>
        <w:t>przeciwpylne</w:t>
      </w:r>
      <w:proofErr w:type="spellEnd"/>
      <w:r>
        <w:t xml:space="preserve"> i szczeliny o regulowanej szerokości do rozsypywania spoiw,</w:t>
      </w:r>
    </w:p>
    <w:p w:rsidR="0051730D" w:rsidRDefault="0051730D" w:rsidP="0051730D">
      <w:pPr>
        <w:numPr>
          <w:ilvl w:val="0"/>
          <w:numId w:val="1"/>
        </w:numPr>
        <w:overflowPunct w:val="0"/>
        <w:autoSpaceDE w:val="0"/>
        <w:autoSpaceDN w:val="0"/>
        <w:adjustRightInd w:val="0"/>
        <w:jc w:val="both"/>
      </w:pPr>
      <w:r>
        <w:t>przewoźnych zbiorników na wodę, wyposażonych w urządzenia do równomiernego i kontrolowanego dozowania wody,</w:t>
      </w:r>
    </w:p>
    <w:p w:rsidR="0051730D" w:rsidRDefault="0051730D" w:rsidP="0051730D">
      <w:pPr>
        <w:numPr>
          <w:ilvl w:val="0"/>
          <w:numId w:val="1"/>
        </w:numPr>
        <w:overflowPunct w:val="0"/>
        <w:autoSpaceDE w:val="0"/>
        <w:autoSpaceDN w:val="0"/>
        <w:adjustRightInd w:val="0"/>
        <w:jc w:val="both"/>
      </w:pPr>
      <w:r>
        <w:t>walców ogumionych i stalowych wibracyjnych lub statycznych do zagęszczania,</w:t>
      </w:r>
    </w:p>
    <w:p w:rsidR="0051730D" w:rsidRDefault="0051730D" w:rsidP="0051730D">
      <w:pPr>
        <w:numPr>
          <w:ilvl w:val="0"/>
          <w:numId w:val="1"/>
        </w:numPr>
        <w:overflowPunct w:val="0"/>
        <w:autoSpaceDE w:val="0"/>
        <w:autoSpaceDN w:val="0"/>
        <w:adjustRightInd w:val="0"/>
        <w:jc w:val="both"/>
      </w:pPr>
      <w:r>
        <w:t>zagęszczarek płytowych, ubijaków mechanicznych lub małych walców wibracyjnych do zagęszczania w miejscach trudnodostępnych.</w:t>
      </w:r>
    </w:p>
    <w:p w:rsidR="0051730D" w:rsidRDefault="0051730D" w:rsidP="0051730D">
      <w:pPr>
        <w:pStyle w:val="Nagwek1"/>
      </w:pPr>
      <w:r>
        <w:t>4. transport</w:t>
      </w:r>
    </w:p>
    <w:p w:rsidR="0051730D" w:rsidRDefault="0051730D" w:rsidP="0051730D">
      <w:pPr>
        <w:pStyle w:val="Nagwek2"/>
        <w:numPr>
          <w:ilvl w:val="12"/>
          <w:numId w:val="0"/>
        </w:numPr>
      </w:pPr>
      <w:r>
        <w:t>4.1. Ogólne wymagania dotyczące transportu</w:t>
      </w:r>
    </w:p>
    <w:p w:rsidR="0051730D" w:rsidRDefault="0051730D" w:rsidP="0051730D">
      <w:pPr>
        <w:numPr>
          <w:ilvl w:val="12"/>
          <w:numId w:val="0"/>
        </w:numPr>
        <w:ind w:firstLine="709"/>
      </w:pPr>
      <w:r>
        <w:t>Ogólne wymagania dotyczące transportu podano w SST D-00.00.00 „Wymagania ogólne” pkt 4.</w:t>
      </w:r>
    </w:p>
    <w:p w:rsidR="0051730D" w:rsidRDefault="0051730D" w:rsidP="0051730D">
      <w:pPr>
        <w:pStyle w:val="Nagwek2"/>
        <w:numPr>
          <w:ilvl w:val="12"/>
          <w:numId w:val="0"/>
        </w:numPr>
      </w:pPr>
      <w:r>
        <w:t>4.2. Transport materiałów</w:t>
      </w:r>
    </w:p>
    <w:p w:rsidR="0051730D" w:rsidRDefault="0051730D" w:rsidP="0051730D">
      <w:pPr>
        <w:numPr>
          <w:ilvl w:val="12"/>
          <w:numId w:val="0"/>
        </w:numPr>
      </w:pPr>
      <w:r>
        <w:tab/>
        <w:t>Transport cementu powinien odbywać się zgodnie z BN-88/6731-08 [19].</w:t>
      </w:r>
    </w:p>
    <w:p w:rsidR="0051730D" w:rsidRDefault="0051730D" w:rsidP="0051730D">
      <w:pPr>
        <w:numPr>
          <w:ilvl w:val="12"/>
          <w:numId w:val="0"/>
        </w:numPr>
      </w:pPr>
      <w:r>
        <w:tab/>
        <w:t>Transport wapna powinien odbywać się zgodnie z PN-B-30020 [12].</w:t>
      </w:r>
    </w:p>
    <w:p w:rsidR="0051730D" w:rsidRDefault="0051730D" w:rsidP="0051730D">
      <w:pPr>
        <w:pStyle w:val="tekstost"/>
        <w:numPr>
          <w:ilvl w:val="12"/>
          <w:numId w:val="0"/>
        </w:numPr>
      </w:pPr>
      <w:r>
        <w:tab/>
        <w:t>Transport popiołów lotnych powinien odbywać się zgodnie z PN-S-96035 [18].</w:t>
      </w:r>
    </w:p>
    <w:p w:rsidR="0051730D" w:rsidRDefault="0051730D" w:rsidP="0051730D">
      <w:pPr>
        <w:pStyle w:val="tekstost"/>
        <w:numPr>
          <w:ilvl w:val="12"/>
          <w:numId w:val="0"/>
        </w:numPr>
      </w:pPr>
      <w:r>
        <w:tab/>
        <w:t>Żużel wielkopiecowy granulowany można przewozić dowolnymi środkami transportu w sposób zabezpieczony przed zanieczyszczeniem i zawilgoceniem.</w:t>
      </w:r>
    </w:p>
    <w:p w:rsidR="0051730D" w:rsidRDefault="0051730D" w:rsidP="0051730D">
      <w:pPr>
        <w:pStyle w:val="tekstost"/>
        <w:numPr>
          <w:ilvl w:val="12"/>
          <w:numId w:val="0"/>
        </w:numPr>
      </w:pPr>
      <w:r>
        <w:tab/>
        <w:t>Mieszankę kruszywowo-spoiwową można przewozić dowolnymi środkami transportu, w sposób zabezpieczony przed zanieczyszczeniem, rozsegregowaniem i wysuszeniem lub nadmiernym  zawilgoceniem.</w:t>
      </w:r>
    </w:p>
    <w:p w:rsidR="0051730D" w:rsidRDefault="0051730D" w:rsidP="0051730D">
      <w:pPr>
        <w:pStyle w:val="Nagwek1"/>
        <w:numPr>
          <w:ilvl w:val="12"/>
          <w:numId w:val="0"/>
        </w:numPr>
      </w:pPr>
      <w:r>
        <w:t>5. wykonanie robót</w:t>
      </w:r>
    </w:p>
    <w:p w:rsidR="0051730D" w:rsidRDefault="0051730D" w:rsidP="0051730D">
      <w:pPr>
        <w:pStyle w:val="Nagwek2"/>
        <w:numPr>
          <w:ilvl w:val="12"/>
          <w:numId w:val="0"/>
        </w:numPr>
      </w:pPr>
      <w:r>
        <w:t>5.1. Ogólne zasady wykonania robót</w:t>
      </w:r>
    </w:p>
    <w:p w:rsidR="0051730D" w:rsidRDefault="0051730D" w:rsidP="0051730D">
      <w:pPr>
        <w:numPr>
          <w:ilvl w:val="12"/>
          <w:numId w:val="0"/>
        </w:numPr>
      </w:pPr>
      <w:r>
        <w:tab/>
        <w:t>Ogólne zasady wykonania robót podano w SST D-00.00.00 „Wymagania ogólne” pkt 5.</w:t>
      </w:r>
    </w:p>
    <w:p w:rsidR="0051730D" w:rsidRDefault="0051730D" w:rsidP="0051730D">
      <w:pPr>
        <w:pStyle w:val="Nagwek2"/>
        <w:numPr>
          <w:ilvl w:val="12"/>
          <w:numId w:val="0"/>
        </w:numPr>
      </w:pPr>
      <w:r>
        <w:t>5.2. Przygotowanie podłoża</w:t>
      </w:r>
    </w:p>
    <w:p w:rsidR="0051730D" w:rsidRDefault="0051730D" w:rsidP="0051730D">
      <w:pPr>
        <w:numPr>
          <w:ilvl w:val="12"/>
          <w:numId w:val="0"/>
        </w:numPr>
      </w:pPr>
      <w:r>
        <w:tab/>
        <w:t>Podłoże gruntowe powinno być przygotowane zgodnie z wymaganiami określonymi w SST D-04.01.01 „Koryto wraz z profilowaniem i zagęszczeniem podłoża”   i SST D-02.00.00 „Roboty ziemne”.</w:t>
      </w:r>
    </w:p>
    <w:p w:rsidR="0051730D" w:rsidRDefault="0051730D" w:rsidP="0051730D">
      <w:pPr>
        <w:numPr>
          <w:ilvl w:val="12"/>
          <w:numId w:val="0"/>
        </w:numPr>
      </w:pPr>
      <w:r>
        <w:tab/>
        <w:t>Paliki lub szpilki do prawidłowego ukształtowania podbudowy i ulepszonego podłoża powinny być wcześniej przygotowane.</w:t>
      </w:r>
    </w:p>
    <w:p w:rsidR="0051730D" w:rsidRDefault="0051730D" w:rsidP="0051730D">
      <w:pPr>
        <w:numPr>
          <w:ilvl w:val="12"/>
          <w:numId w:val="0"/>
        </w:numPr>
      </w:pPr>
      <w:r>
        <w:tab/>
        <w:t>Paliki lub szpilki powinny być ustawione w osi drogi i w rzędach równoległych do osi drogi, lub w inny sposób zaakceptowany przez Inżyniera.</w:t>
      </w:r>
    </w:p>
    <w:p w:rsidR="0051730D" w:rsidRDefault="0051730D" w:rsidP="0051730D">
      <w:pPr>
        <w:numPr>
          <w:ilvl w:val="12"/>
          <w:numId w:val="0"/>
        </w:numPr>
      </w:pPr>
      <w:r>
        <w:tab/>
        <w:t>Rozmieszczenie palików lub szpilek powinno umożliwiać naciągnięcie sznurków lub linek do wytyczenia robót w odstępach nie większych niż co 10 m.</w:t>
      </w:r>
    </w:p>
    <w:p w:rsidR="0051730D" w:rsidRDefault="0051730D" w:rsidP="0051730D">
      <w:pPr>
        <w:numPr>
          <w:ilvl w:val="12"/>
          <w:numId w:val="0"/>
        </w:numPr>
      </w:pPr>
      <w:r>
        <w:tab/>
        <w:t>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rsidR="0051730D" w:rsidRDefault="0051730D" w:rsidP="0051730D">
      <w:pPr>
        <w:pStyle w:val="Nagwek2"/>
        <w:numPr>
          <w:ilvl w:val="12"/>
          <w:numId w:val="0"/>
        </w:numPr>
      </w:pPr>
      <w:r>
        <w:t>5.3. Odcinek próbny</w:t>
      </w:r>
    </w:p>
    <w:p w:rsidR="0051730D" w:rsidRDefault="0051730D" w:rsidP="0051730D">
      <w:pPr>
        <w:pStyle w:val="tekstost"/>
        <w:numPr>
          <w:ilvl w:val="12"/>
          <w:numId w:val="0"/>
        </w:numPr>
      </w:pPr>
      <w:r>
        <w:tab/>
        <w:t>Jeżeli w SST przewidziano konieczność wykonania odcinka próbnego, to co najmniej na 3 dni przed rozpoczęciem robót, Wykonawca powinien wykonać odcinek próbny w celu:</w:t>
      </w:r>
    </w:p>
    <w:p w:rsidR="0051730D" w:rsidRDefault="0051730D" w:rsidP="0051730D">
      <w:pPr>
        <w:pStyle w:val="tekstost"/>
        <w:numPr>
          <w:ilvl w:val="0"/>
          <w:numId w:val="1"/>
        </w:numPr>
        <w:overflowPunct w:val="0"/>
        <w:autoSpaceDE w:val="0"/>
        <w:autoSpaceDN w:val="0"/>
        <w:adjustRightInd w:val="0"/>
      </w:pPr>
      <w:r>
        <w:t>stwierdzenia czy sprzęt budowlany do spulchnienia, mieszania, rozkładania                         i zagęszczania  jest właściwy,</w:t>
      </w:r>
    </w:p>
    <w:p w:rsidR="0051730D" w:rsidRDefault="0051730D" w:rsidP="0051730D">
      <w:pPr>
        <w:pStyle w:val="tekstost"/>
        <w:numPr>
          <w:ilvl w:val="0"/>
          <w:numId w:val="1"/>
        </w:numPr>
        <w:overflowPunct w:val="0"/>
        <w:autoSpaceDE w:val="0"/>
        <w:autoSpaceDN w:val="0"/>
        <w:adjustRightInd w:val="0"/>
      </w:pPr>
      <w:r>
        <w:t>określenia grubości warstwy materiału w stanie luźnym,  koniecznej do uzyskania wymaganej grubości warstwy po zagęszczeniu,</w:t>
      </w:r>
    </w:p>
    <w:p w:rsidR="0051730D" w:rsidRDefault="0051730D" w:rsidP="0051730D">
      <w:pPr>
        <w:pStyle w:val="tekstost"/>
        <w:numPr>
          <w:ilvl w:val="0"/>
          <w:numId w:val="1"/>
        </w:numPr>
        <w:overflowPunct w:val="0"/>
        <w:autoSpaceDE w:val="0"/>
        <w:autoSpaceDN w:val="0"/>
        <w:adjustRightInd w:val="0"/>
      </w:pPr>
      <w:r>
        <w:t>określenia potrzebnej liczby przejść walców do uzyskania wymaganego wskaźnika zagęszczenia warstwy.</w:t>
      </w:r>
    </w:p>
    <w:p w:rsidR="0051730D" w:rsidRDefault="0051730D" w:rsidP="0051730D">
      <w:pPr>
        <w:pStyle w:val="tekstost"/>
      </w:pPr>
      <w:r>
        <w:tab/>
        <w:t>Na odcinku próbnym  Wykonawca powinien użyć materiałów oraz sprzętu takich, jakie będą stosowane do wykonywania podbudowy lub ulepszonego podłoża.</w:t>
      </w:r>
    </w:p>
    <w:p w:rsidR="0051730D" w:rsidRDefault="0051730D" w:rsidP="0051730D">
      <w:pPr>
        <w:pStyle w:val="tekstost"/>
      </w:pPr>
      <w:r>
        <w:tab/>
        <w:t>Powierzchnia odcinka próbnego powinna wynosić od 400 do 800 m</w:t>
      </w:r>
      <w:r>
        <w:rPr>
          <w:vertAlign w:val="superscript"/>
        </w:rPr>
        <w:t>2</w:t>
      </w:r>
      <w:r>
        <w:t>.</w:t>
      </w:r>
    </w:p>
    <w:p w:rsidR="0051730D" w:rsidRDefault="0051730D" w:rsidP="0051730D">
      <w:pPr>
        <w:pStyle w:val="tekstost"/>
      </w:pPr>
      <w:r>
        <w:tab/>
        <w:t>Odcinek próbny powinien być zlokalizowany w miejscu wskazanym przez Inżyniera.</w:t>
      </w:r>
    </w:p>
    <w:p w:rsidR="0051730D" w:rsidRDefault="0051730D" w:rsidP="0051730D">
      <w:r>
        <w:lastRenderedPageBreak/>
        <w:tab/>
        <w:t>Wykonawca może przystąpić do wykonywania podbudowy lub ulepszonego podłoża  po zaakceptowaniu odcinka próbnego przez Inżyniera.</w:t>
      </w:r>
      <w:r>
        <w:tab/>
      </w:r>
    </w:p>
    <w:p w:rsidR="0051730D" w:rsidRDefault="0051730D" w:rsidP="0051730D">
      <w:pPr>
        <w:pStyle w:val="Nagwek2"/>
      </w:pPr>
      <w:r>
        <w:t>5.4. Utrzymanie podbudowy i ulepszonego podłoża</w:t>
      </w:r>
    </w:p>
    <w:p w:rsidR="0051730D" w:rsidRDefault="0051730D" w:rsidP="0051730D">
      <w:r>
        <w:tab/>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51730D" w:rsidRDefault="0051730D" w:rsidP="0051730D">
      <w:r>
        <w:tab/>
        <w:t>Wykonawca jest zobowiązany do przeprowadzenia bieżących napraw podbudowy lub ulepszonego podłoża  uszkodzonych wskutek oddziaływania czynników atmosferycznych, takich jak opady deszczu i śniegu oraz mróz.</w:t>
      </w:r>
    </w:p>
    <w:p w:rsidR="0051730D" w:rsidRDefault="0051730D" w:rsidP="0051730D">
      <w:r>
        <w:tab/>
        <w:t>Wykonawca jest zobowiązany wstrzymać ruch budowlany po okresie intensywnych opadów deszczu, jeżeli wystąpi możliwość uszkodzenia podbudowy lub ulepszonego podłoża.</w:t>
      </w:r>
    </w:p>
    <w:p w:rsidR="0051730D" w:rsidRDefault="0051730D" w:rsidP="0051730D">
      <w:r>
        <w:tab/>
        <w:t>Warstwa stabilizowana spoiwami hydraulicznymi powinna być przykryta przed zimą warstwą nawierzchni lub zabezpieczona przed niszczącym działaniem czynników atmosferycznych w inny sposób zaakceptowany przez Inżyniera.</w:t>
      </w:r>
    </w:p>
    <w:p w:rsidR="0051730D" w:rsidRDefault="0051730D" w:rsidP="0051730D">
      <w:pPr>
        <w:pStyle w:val="Nagwek2"/>
        <w:spacing w:after="0"/>
      </w:pPr>
      <w:r>
        <w:t>5.5. Pielęgnacja warstwy z gruntu lub kruszywa stabilizowanego spoiwami</w:t>
      </w:r>
    </w:p>
    <w:p w:rsidR="0051730D" w:rsidRDefault="0051730D" w:rsidP="0051730D">
      <w:pPr>
        <w:spacing w:after="120"/>
      </w:pPr>
      <w:r>
        <w:t xml:space="preserve">       </w:t>
      </w:r>
      <w:r>
        <w:rPr>
          <w:b/>
        </w:rPr>
        <w:t>hydraulicznymi</w:t>
      </w:r>
    </w:p>
    <w:p w:rsidR="0051730D" w:rsidRDefault="0051730D" w:rsidP="0051730D">
      <w:r>
        <w:tab/>
        <w:t>Pielęgnacja powinna być przeprowadzona według jednego z następujących sposobów:</w:t>
      </w:r>
    </w:p>
    <w:p w:rsidR="0051730D" w:rsidRDefault="0051730D" w:rsidP="002122BD">
      <w:pPr>
        <w:numPr>
          <w:ilvl w:val="0"/>
          <w:numId w:val="28"/>
        </w:numPr>
        <w:overflowPunct w:val="0"/>
        <w:autoSpaceDE w:val="0"/>
        <w:autoSpaceDN w:val="0"/>
        <w:adjustRightInd w:val="0"/>
        <w:jc w:val="both"/>
      </w:pPr>
      <w:r>
        <w:t>skropienie warstwy emulsją asfaltową, albo asfaltem D200 lub D300 w ilości od 0,5 do 1,0 kg/m</w:t>
      </w:r>
      <w:r>
        <w:rPr>
          <w:vertAlign w:val="superscript"/>
        </w:rPr>
        <w:t>2</w:t>
      </w:r>
      <w:r>
        <w:t>,</w:t>
      </w:r>
    </w:p>
    <w:p w:rsidR="0051730D" w:rsidRDefault="0051730D" w:rsidP="002122BD">
      <w:pPr>
        <w:numPr>
          <w:ilvl w:val="0"/>
          <w:numId w:val="28"/>
        </w:numPr>
        <w:overflowPunct w:val="0"/>
        <w:autoSpaceDE w:val="0"/>
        <w:autoSpaceDN w:val="0"/>
        <w:adjustRightInd w:val="0"/>
        <w:jc w:val="both"/>
      </w:pPr>
      <w:r>
        <w:t>skropienie specjalnymi preparatami powłokotwórczymi posiadającymi aprobatę techniczną wydaną przez uprawnioną jednostkę, po uprzednim zaakceptowaniu ich użycia przez Inżyniera,</w:t>
      </w:r>
    </w:p>
    <w:p w:rsidR="0051730D" w:rsidRDefault="0051730D" w:rsidP="002122BD">
      <w:pPr>
        <w:numPr>
          <w:ilvl w:val="0"/>
          <w:numId w:val="28"/>
        </w:numPr>
        <w:overflowPunct w:val="0"/>
        <w:autoSpaceDE w:val="0"/>
        <w:autoSpaceDN w:val="0"/>
        <w:adjustRightInd w:val="0"/>
        <w:jc w:val="both"/>
      </w:pPr>
      <w:r>
        <w:t>utrzymanie w stanie wilgotnym poprzez kilkakrotne skrapianie wodą w ciągu dnia, w czasie co najmniej 7 dni,</w:t>
      </w:r>
    </w:p>
    <w:p w:rsidR="0051730D" w:rsidRDefault="0051730D" w:rsidP="002122BD">
      <w:pPr>
        <w:numPr>
          <w:ilvl w:val="0"/>
          <w:numId w:val="28"/>
        </w:numPr>
        <w:overflowPunct w:val="0"/>
        <w:autoSpaceDE w:val="0"/>
        <w:autoSpaceDN w:val="0"/>
        <w:adjustRightInd w:val="0"/>
        <w:jc w:val="both"/>
      </w:pPr>
      <w:r>
        <w:t>przykrycie na okres 7 dni nieprzepuszczalną folią z tworzywa sztucznego, ułożoną na zakład o szerokości  co najmniej 30 cm i zabezpieczoną przed zerwaniem z powierzchni warstwy przez wiatr,</w:t>
      </w:r>
    </w:p>
    <w:p w:rsidR="0051730D" w:rsidRDefault="0051730D" w:rsidP="002122BD">
      <w:pPr>
        <w:numPr>
          <w:ilvl w:val="0"/>
          <w:numId w:val="28"/>
        </w:numPr>
        <w:overflowPunct w:val="0"/>
        <w:autoSpaceDE w:val="0"/>
        <w:autoSpaceDN w:val="0"/>
        <w:adjustRightInd w:val="0"/>
        <w:jc w:val="both"/>
      </w:pPr>
      <w:r>
        <w:t>przykrycie warstwą piasku lub grubej włókniny technicznej i utrzymywanie jej w stanie wilgotnym w czasie co najmniej 7 dni.</w:t>
      </w:r>
    </w:p>
    <w:p w:rsidR="0051730D" w:rsidRDefault="0051730D" w:rsidP="0051730D">
      <w:r>
        <w:tab/>
        <w:t>Inne sposoby pielęgnacji, zaproponowane przez Wykonawcę i inne materiały przeznaczone do pielęgnacji mogą być zastosowane po uzyskaniu akceptacji Inżyniera.</w:t>
      </w:r>
    </w:p>
    <w:p w:rsidR="0051730D" w:rsidRDefault="0051730D" w:rsidP="0051730D">
      <w:r>
        <w:tab/>
        <w:t>Nie należy dopuszczać żadnego ruchu pojazdów i maszyn po podbudowie w okresie 7 dni po wykonaniu.  Po tym czasie ewentualny ruch technologiczny może odbywać się wyłącznie za zgodą Inżyniera.</w:t>
      </w:r>
      <w:r>
        <w:tab/>
      </w:r>
    </w:p>
    <w:p w:rsidR="0051730D" w:rsidRDefault="0051730D" w:rsidP="0051730D">
      <w:pPr>
        <w:pStyle w:val="Nagwek2"/>
      </w:pPr>
      <w:r>
        <w:t>5.6. Pozostałe wymagania dotyczące wykonania robót</w:t>
      </w:r>
    </w:p>
    <w:p w:rsidR="0051730D" w:rsidRDefault="0051730D" w:rsidP="0051730D">
      <w:r>
        <w:tab/>
        <w:t>Pozostałe wymagania dotyczące wykonania robót podano w specyfikacjach dotyczących poszczególnych rodzajów podbudów i ulepszonego podłoża z gruntów lub kruszyw stabilizowanych spoiwami hydraulicznymi, które obejmują:</w:t>
      </w:r>
    </w:p>
    <w:tbl>
      <w:tblPr>
        <w:tblW w:w="0" w:type="auto"/>
        <w:tblLayout w:type="fixed"/>
        <w:tblCellMar>
          <w:left w:w="70" w:type="dxa"/>
          <w:right w:w="70" w:type="dxa"/>
        </w:tblCellMar>
        <w:tblLook w:val="04A0" w:firstRow="1" w:lastRow="0" w:firstColumn="1" w:lastColumn="0" w:noHBand="0" w:noVBand="1"/>
      </w:tblPr>
      <w:tblGrid>
        <w:gridCol w:w="1330"/>
        <w:gridCol w:w="6180"/>
      </w:tblGrid>
      <w:tr w:rsidR="0051730D" w:rsidTr="0051730D">
        <w:tc>
          <w:tcPr>
            <w:tcW w:w="1330" w:type="dxa"/>
            <w:hideMark/>
          </w:tcPr>
          <w:p w:rsidR="0051730D" w:rsidRDefault="0051730D" w:rsidP="0051730D">
            <w:r>
              <w:t>1. D-04.05.01</w:t>
            </w:r>
          </w:p>
        </w:tc>
        <w:tc>
          <w:tcPr>
            <w:tcW w:w="6180" w:type="dxa"/>
            <w:hideMark/>
          </w:tcPr>
          <w:p w:rsidR="0051730D" w:rsidRDefault="0051730D" w:rsidP="0051730D">
            <w:r>
              <w:t>Podbudowa i ulepszone podłoże z gruntu lub kruszywa stabilizowanego cementem</w:t>
            </w:r>
          </w:p>
        </w:tc>
      </w:tr>
      <w:tr w:rsidR="0051730D" w:rsidTr="0051730D">
        <w:tc>
          <w:tcPr>
            <w:tcW w:w="1330" w:type="dxa"/>
            <w:hideMark/>
          </w:tcPr>
          <w:p w:rsidR="0051730D" w:rsidRDefault="0051730D" w:rsidP="0051730D">
            <w:r>
              <w:t>2. D-04.05.02</w:t>
            </w:r>
          </w:p>
        </w:tc>
        <w:tc>
          <w:tcPr>
            <w:tcW w:w="6180" w:type="dxa"/>
            <w:hideMark/>
          </w:tcPr>
          <w:p w:rsidR="0051730D" w:rsidRDefault="0051730D" w:rsidP="0051730D">
            <w:r>
              <w:t>Podbudowa i ulepszone podłoże z gruntu stabilizowanego wapnem</w:t>
            </w:r>
          </w:p>
        </w:tc>
      </w:tr>
      <w:tr w:rsidR="0051730D" w:rsidTr="0051730D">
        <w:tc>
          <w:tcPr>
            <w:tcW w:w="1330" w:type="dxa"/>
            <w:hideMark/>
          </w:tcPr>
          <w:p w:rsidR="0051730D" w:rsidRDefault="0051730D" w:rsidP="0051730D">
            <w:r>
              <w:t>3. D-04.05.03</w:t>
            </w:r>
          </w:p>
        </w:tc>
        <w:tc>
          <w:tcPr>
            <w:tcW w:w="6180" w:type="dxa"/>
            <w:hideMark/>
          </w:tcPr>
          <w:p w:rsidR="0051730D" w:rsidRDefault="0051730D" w:rsidP="0051730D">
            <w:r>
              <w:t>Podbudowa i ulepszone podłoże z gruntu stabilizowanego aktywnymi popiołami lotnymi</w:t>
            </w:r>
          </w:p>
        </w:tc>
      </w:tr>
      <w:tr w:rsidR="0051730D" w:rsidTr="0051730D">
        <w:tc>
          <w:tcPr>
            <w:tcW w:w="1330" w:type="dxa"/>
            <w:hideMark/>
          </w:tcPr>
          <w:p w:rsidR="0051730D" w:rsidRDefault="0051730D" w:rsidP="0051730D">
            <w:r>
              <w:t>4. D-04.05.04</w:t>
            </w:r>
          </w:p>
        </w:tc>
        <w:tc>
          <w:tcPr>
            <w:tcW w:w="6180" w:type="dxa"/>
            <w:hideMark/>
          </w:tcPr>
          <w:p w:rsidR="0051730D" w:rsidRDefault="0051730D" w:rsidP="0051730D">
            <w:r>
              <w:t>Podbudowa i ulepszone podłoże z gruntu lub kruszywa stabilizowanego wielkopiecowym żużlem granulowanym.</w:t>
            </w:r>
          </w:p>
        </w:tc>
      </w:tr>
    </w:tbl>
    <w:p w:rsidR="0051730D" w:rsidRDefault="0051730D" w:rsidP="0051730D">
      <w:pPr>
        <w:pStyle w:val="Nagwek1"/>
      </w:pPr>
      <w:bookmarkStart w:id="197" w:name="_Toc423845943"/>
      <w:bookmarkStart w:id="198" w:name="_Toc423398335"/>
      <w:r>
        <w:t>6. kontrola jakości robót</w:t>
      </w:r>
      <w:bookmarkEnd w:id="197"/>
      <w:bookmarkEnd w:id="198"/>
    </w:p>
    <w:p w:rsidR="0051730D" w:rsidRDefault="0051730D" w:rsidP="0051730D">
      <w:pPr>
        <w:pStyle w:val="Nagwek2"/>
      </w:pPr>
      <w:r>
        <w:t>6.1. Ogólne zasady kontroli jakości robót</w:t>
      </w:r>
    </w:p>
    <w:p w:rsidR="0051730D" w:rsidRDefault="0051730D" w:rsidP="0051730D">
      <w:r>
        <w:tab/>
        <w:t>Ogólne zasady kontroli jakości robót podano w SST D-00.00.00 „Wymagania ogólne” pkt 6.</w:t>
      </w:r>
    </w:p>
    <w:p w:rsidR="0051730D" w:rsidRDefault="0051730D" w:rsidP="0051730D">
      <w:pPr>
        <w:pStyle w:val="Nagwek2"/>
      </w:pPr>
      <w:r>
        <w:t>6.2. Badania przed przystąpieniem do robót</w:t>
      </w:r>
    </w:p>
    <w:p w:rsidR="0051730D" w:rsidRDefault="0051730D" w:rsidP="0051730D">
      <w:r>
        <w:tab/>
        <w:t>Przed przystąpieniem do robót Wykonawca powinien wykonać badania spoiw, kruszyw i gruntów  przeznaczonych do wykonania robót i przedstawić wyniki tych badań Inżynierowi w celu akceptacji.</w:t>
      </w:r>
    </w:p>
    <w:p w:rsidR="0051730D" w:rsidRDefault="0051730D" w:rsidP="0051730D">
      <w:pPr>
        <w:pStyle w:val="Nagwek2"/>
      </w:pPr>
      <w:r>
        <w:t>6.3. Badania w czasie robót</w:t>
      </w:r>
    </w:p>
    <w:p w:rsidR="0051730D" w:rsidRDefault="0051730D" w:rsidP="0051730D">
      <w:r>
        <w:rPr>
          <w:b/>
        </w:rPr>
        <w:t xml:space="preserve">6.3.1. </w:t>
      </w:r>
      <w:r>
        <w:t>Częstotliwość oraz zakres badań i pomiarów</w:t>
      </w:r>
    </w:p>
    <w:p w:rsidR="0051730D" w:rsidRDefault="0051730D" w:rsidP="0051730D">
      <w:pPr>
        <w:spacing w:before="120"/>
      </w:pPr>
      <w:r>
        <w:tab/>
        <w:t>Częstotliwość oraz zakres badań  i pomiarów w czasie wykonywania podbudowy lub ulepszonego podłoża stabilizowanych spoiwami  podano w tablicy 1.</w:t>
      </w:r>
    </w:p>
    <w:p w:rsidR="0051730D" w:rsidRDefault="0051730D" w:rsidP="0051730D">
      <w:pPr>
        <w:pStyle w:val="tekstost"/>
        <w:spacing w:after="120"/>
      </w:pPr>
      <w:r>
        <w:t>Tablica 1. Częstotliwość badań i pomiarów</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51730D" w:rsidTr="0051730D">
        <w:tc>
          <w:tcPr>
            <w:tcW w:w="496" w:type="dxa"/>
            <w:tcBorders>
              <w:top w:val="single" w:sz="6" w:space="0" w:color="auto"/>
              <w:left w:val="single" w:sz="6" w:space="0" w:color="auto"/>
              <w:bottom w:val="nil"/>
              <w:right w:val="nil"/>
            </w:tcBorders>
          </w:tcPr>
          <w:p w:rsidR="0051730D" w:rsidRDefault="0051730D" w:rsidP="0051730D">
            <w:pPr>
              <w:pStyle w:val="tekstost"/>
              <w:jc w:val="center"/>
            </w:pPr>
          </w:p>
        </w:tc>
        <w:tc>
          <w:tcPr>
            <w:tcW w:w="4394" w:type="dxa"/>
            <w:tcBorders>
              <w:top w:val="single" w:sz="6" w:space="0" w:color="auto"/>
              <w:left w:val="single" w:sz="6" w:space="0" w:color="auto"/>
              <w:bottom w:val="nil"/>
              <w:right w:val="nil"/>
            </w:tcBorders>
          </w:tcPr>
          <w:p w:rsidR="0051730D" w:rsidRDefault="0051730D" w:rsidP="0051730D">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Częstotliwość badań</w:t>
            </w:r>
          </w:p>
        </w:tc>
      </w:tr>
      <w:tr w:rsidR="0051730D" w:rsidTr="0051730D">
        <w:tc>
          <w:tcPr>
            <w:tcW w:w="496" w:type="dxa"/>
            <w:tcBorders>
              <w:top w:val="nil"/>
              <w:left w:val="single" w:sz="6" w:space="0" w:color="auto"/>
              <w:bottom w:val="double" w:sz="6" w:space="0" w:color="auto"/>
              <w:right w:val="single" w:sz="6" w:space="0" w:color="auto"/>
            </w:tcBorders>
          </w:tcPr>
          <w:p w:rsidR="0051730D" w:rsidRDefault="0051730D" w:rsidP="0051730D">
            <w:pPr>
              <w:pStyle w:val="tekstost"/>
              <w:jc w:val="center"/>
            </w:pPr>
          </w:p>
          <w:p w:rsidR="0051730D" w:rsidRDefault="0051730D" w:rsidP="0051730D">
            <w:pPr>
              <w:pStyle w:val="tekstost"/>
              <w:spacing w:before="120"/>
              <w:jc w:val="center"/>
            </w:pPr>
            <w:r>
              <w:t>Lp.</w:t>
            </w:r>
          </w:p>
        </w:tc>
        <w:tc>
          <w:tcPr>
            <w:tcW w:w="4394" w:type="dxa"/>
            <w:tcBorders>
              <w:top w:val="nil"/>
              <w:left w:val="nil"/>
              <w:bottom w:val="double" w:sz="6" w:space="0" w:color="auto"/>
              <w:right w:val="nil"/>
            </w:tcBorders>
          </w:tcPr>
          <w:p w:rsidR="0051730D" w:rsidRDefault="0051730D" w:rsidP="0051730D">
            <w:pPr>
              <w:pStyle w:val="tekstost"/>
            </w:pPr>
          </w:p>
          <w:p w:rsidR="0051730D" w:rsidRDefault="0051730D" w:rsidP="0051730D">
            <w:pPr>
              <w:pStyle w:val="tekstost"/>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51730D" w:rsidRDefault="0051730D" w:rsidP="0051730D">
            <w:pPr>
              <w:pStyle w:val="tekstost"/>
              <w:jc w:val="center"/>
              <w:rPr>
                <w:sz w:val="16"/>
              </w:rPr>
            </w:pPr>
          </w:p>
          <w:p w:rsidR="0051730D" w:rsidRDefault="0051730D" w:rsidP="0051730D">
            <w:pPr>
              <w:pStyle w:val="tekstost"/>
              <w:spacing w:before="120"/>
              <w:jc w:val="center"/>
              <w:rPr>
                <w:sz w:val="16"/>
              </w:rPr>
            </w:pPr>
            <w:r>
              <w:rPr>
                <w:sz w:val="16"/>
              </w:rP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hideMark/>
          </w:tcPr>
          <w:p w:rsidR="0051730D" w:rsidRDefault="0051730D" w:rsidP="0051730D">
            <w:pPr>
              <w:pStyle w:val="tekstost"/>
              <w:jc w:val="left"/>
              <w:rPr>
                <w:sz w:val="16"/>
              </w:rPr>
            </w:pPr>
            <w:r>
              <w:rPr>
                <w:sz w:val="16"/>
              </w:rPr>
              <w:t>Maksymalna powierzchnia podbudowy lub ulepszonego pod-</w:t>
            </w:r>
          </w:p>
          <w:p w:rsidR="0051730D" w:rsidRDefault="0051730D" w:rsidP="0051730D">
            <w:pPr>
              <w:pStyle w:val="tekstost"/>
              <w:jc w:val="left"/>
              <w:rPr>
                <w:sz w:val="16"/>
              </w:rPr>
            </w:pPr>
            <w:r>
              <w:rPr>
                <w:sz w:val="16"/>
              </w:rPr>
              <w:t>łoża przypadająca</w:t>
            </w:r>
          </w:p>
          <w:p w:rsidR="0051730D" w:rsidRDefault="0051730D" w:rsidP="0051730D">
            <w:pPr>
              <w:pStyle w:val="tekstost"/>
              <w:jc w:val="left"/>
              <w:rPr>
                <w:sz w:val="16"/>
              </w:rPr>
            </w:pPr>
            <w:r>
              <w:rPr>
                <w:sz w:val="16"/>
              </w:rPr>
              <w:t>na jedno badanie</w:t>
            </w:r>
          </w:p>
        </w:tc>
      </w:tr>
      <w:tr w:rsidR="0051730D" w:rsidTr="0051730D">
        <w:tc>
          <w:tcPr>
            <w:tcW w:w="496" w:type="dxa"/>
            <w:tcBorders>
              <w:top w:val="nil"/>
              <w:left w:val="single" w:sz="6" w:space="0" w:color="auto"/>
              <w:bottom w:val="single" w:sz="6" w:space="0" w:color="auto"/>
              <w:right w:val="single" w:sz="6" w:space="0" w:color="auto"/>
            </w:tcBorders>
            <w:hideMark/>
          </w:tcPr>
          <w:p w:rsidR="0051730D" w:rsidRDefault="0051730D" w:rsidP="0051730D">
            <w:pPr>
              <w:pStyle w:val="tekstost"/>
              <w:jc w:val="center"/>
            </w:pPr>
            <w:r>
              <w:t>1</w:t>
            </w:r>
          </w:p>
        </w:tc>
        <w:tc>
          <w:tcPr>
            <w:tcW w:w="4394" w:type="dxa"/>
            <w:tcBorders>
              <w:top w:val="nil"/>
              <w:left w:val="single" w:sz="6" w:space="0" w:color="auto"/>
              <w:bottom w:val="single" w:sz="6" w:space="0" w:color="auto"/>
              <w:right w:val="nil"/>
            </w:tcBorders>
            <w:hideMark/>
          </w:tcPr>
          <w:p w:rsidR="0051730D" w:rsidRDefault="0051730D" w:rsidP="0051730D">
            <w:pPr>
              <w:pStyle w:val="tekstost"/>
            </w:pPr>
            <w:r>
              <w:t>Uziarnienie mieszanki gruntu lub kruszywa</w:t>
            </w:r>
          </w:p>
        </w:tc>
        <w:tc>
          <w:tcPr>
            <w:tcW w:w="1309" w:type="dxa"/>
            <w:tcBorders>
              <w:top w:val="nil"/>
              <w:left w:val="single" w:sz="6" w:space="0" w:color="auto"/>
              <w:bottom w:val="nil"/>
              <w:right w:val="nil"/>
            </w:tcBorders>
          </w:tcPr>
          <w:p w:rsidR="0051730D" w:rsidRDefault="0051730D" w:rsidP="0051730D">
            <w:pPr>
              <w:pStyle w:val="tekstost"/>
              <w:jc w:val="center"/>
            </w:pPr>
          </w:p>
        </w:tc>
        <w:tc>
          <w:tcPr>
            <w:tcW w:w="1311" w:type="dxa"/>
            <w:tcBorders>
              <w:top w:val="nil"/>
              <w:left w:val="single" w:sz="6" w:space="0" w:color="auto"/>
              <w:bottom w:val="nil"/>
              <w:right w:val="single" w:sz="6" w:space="0" w:color="auto"/>
            </w:tcBorders>
          </w:tcPr>
          <w:p w:rsidR="0051730D" w:rsidRDefault="0051730D" w:rsidP="0051730D">
            <w:pPr>
              <w:pStyle w:val="tekstost"/>
              <w:jc w:val="center"/>
            </w:pP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2</w:t>
            </w:r>
          </w:p>
        </w:tc>
        <w:tc>
          <w:tcPr>
            <w:tcW w:w="4394" w:type="dxa"/>
            <w:tcBorders>
              <w:top w:val="single" w:sz="6" w:space="0" w:color="auto"/>
              <w:left w:val="single" w:sz="6" w:space="0" w:color="auto"/>
              <w:bottom w:val="single" w:sz="6" w:space="0" w:color="auto"/>
              <w:right w:val="nil"/>
            </w:tcBorders>
            <w:hideMark/>
          </w:tcPr>
          <w:p w:rsidR="0051730D" w:rsidRDefault="0051730D" w:rsidP="0051730D">
            <w:pPr>
              <w:pStyle w:val="tekstost"/>
            </w:pPr>
            <w:r>
              <w:t>Wilgotność mieszanki gruntu lub kruszywa ze spoiwem</w:t>
            </w:r>
          </w:p>
        </w:tc>
        <w:tc>
          <w:tcPr>
            <w:tcW w:w="1309" w:type="dxa"/>
            <w:tcBorders>
              <w:top w:val="nil"/>
              <w:left w:val="single" w:sz="6" w:space="0" w:color="auto"/>
              <w:bottom w:val="nil"/>
              <w:right w:val="nil"/>
            </w:tcBorders>
          </w:tcPr>
          <w:p w:rsidR="0051730D" w:rsidRDefault="0051730D" w:rsidP="0051730D">
            <w:pPr>
              <w:pStyle w:val="tekstost"/>
              <w:jc w:val="center"/>
            </w:pPr>
          </w:p>
        </w:tc>
        <w:tc>
          <w:tcPr>
            <w:tcW w:w="1311" w:type="dxa"/>
            <w:tcBorders>
              <w:top w:val="nil"/>
              <w:left w:val="single" w:sz="6" w:space="0" w:color="auto"/>
              <w:bottom w:val="nil"/>
              <w:right w:val="single" w:sz="6" w:space="0" w:color="auto"/>
            </w:tcBorders>
          </w:tcPr>
          <w:p w:rsidR="0051730D" w:rsidRDefault="0051730D" w:rsidP="0051730D">
            <w:pPr>
              <w:pStyle w:val="tekstost"/>
              <w:jc w:val="center"/>
            </w:pP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3</w:t>
            </w:r>
          </w:p>
        </w:tc>
        <w:tc>
          <w:tcPr>
            <w:tcW w:w="4394" w:type="dxa"/>
            <w:tcBorders>
              <w:top w:val="single" w:sz="6" w:space="0" w:color="auto"/>
              <w:left w:val="single" w:sz="6" w:space="0" w:color="auto"/>
              <w:bottom w:val="single" w:sz="6" w:space="0" w:color="auto"/>
              <w:right w:val="nil"/>
            </w:tcBorders>
            <w:hideMark/>
          </w:tcPr>
          <w:p w:rsidR="0051730D" w:rsidRDefault="0051730D" w:rsidP="0051730D">
            <w:pPr>
              <w:pStyle w:val="tekstost"/>
            </w:pPr>
            <w:r>
              <w:t xml:space="preserve">Rozdrobnienie gruntu </w:t>
            </w:r>
            <w:r>
              <w:rPr>
                <w:vertAlign w:val="superscript"/>
              </w:rPr>
              <w:t>1)</w:t>
            </w:r>
          </w:p>
        </w:tc>
        <w:tc>
          <w:tcPr>
            <w:tcW w:w="1309" w:type="dxa"/>
            <w:tcBorders>
              <w:top w:val="nil"/>
              <w:left w:val="single" w:sz="6" w:space="0" w:color="auto"/>
              <w:bottom w:val="nil"/>
              <w:right w:val="nil"/>
            </w:tcBorders>
            <w:hideMark/>
          </w:tcPr>
          <w:p w:rsidR="0051730D" w:rsidRDefault="0051730D" w:rsidP="0051730D">
            <w:pPr>
              <w:pStyle w:val="tekstost"/>
              <w:jc w:val="center"/>
            </w:pPr>
            <w:r>
              <w:t>2</w:t>
            </w:r>
          </w:p>
        </w:tc>
        <w:tc>
          <w:tcPr>
            <w:tcW w:w="1311" w:type="dxa"/>
            <w:tcBorders>
              <w:top w:val="nil"/>
              <w:left w:val="single" w:sz="6" w:space="0" w:color="auto"/>
              <w:bottom w:val="nil"/>
              <w:right w:val="single" w:sz="6" w:space="0" w:color="auto"/>
            </w:tcBorders>
            <w:hideMark/>
          </w:tcPr>
          <w:p w:rsidR="0051730D" w:rsidRDefault="0051730D" w:rsidP="0051730D">
            <w:pPr>
              <w:pStyle w:val="tekstost"/>
              <w:jc w:val="center"/>
            </w:pPr>
            <w:r>
              <w:t>600 m</w:t>
            </w:r>
            <w:r>
              <w:rPr>
                <w:vertAlign w:val="superscript"/>
              </w:rPr>
              <w:t>2</w:t>
            </w: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4</w:t>
            </w:r>
          </w:p>
        </w:tc>
        <w:tc>
          <w:tcPr>
            <w:tcW w:w="4394" w:type="dxa"/>
            <w:tcBorders>
              <w:top w:val="single" w:sz="6" w:space="0" w:color="auto"/>
              <w:left w:val="single" w:sz="6" w:space="0" w:color="auto"/>
              <w:bottom w:val="single" w:sz="6" w:space="0" w:color="auto"/>
              <w:right w:val="nil"/>
            </w:tcBorders>
            <w:hideMark/>
          </w:tcPr>
          <w:p w:rsidR="0051730D" w:rsidRDefault="0051730D" w:rsidP="0051730D">
            <w:pPr>
              <w:pStyle w:val="tekstost"/>
            </w:pPr>
            <w:r>
              <w:t xml:space="preserve">Jednorodność i głębokość wymieszania </w:t>
            </w:r>
            <w:r>
              <w:rPr>
                <w:vertAlign w:val="superscript"/>
              </w:rPr>
              <w:t>2)</w:t>
            </w:r>
          </w:p>
        </w:tc>
        <w:tc>
          <w:tcPr>
            <w:tcW w:w="1309" w:type="dxa"/>
            <w:tcBorders>
              <w:top w:val="nil"/>
              <w:left w:val="single" w:sz="6" w:space="0" w:color="auto"/>
              <w:bottom w:val="nil"/>
              <w:right w:val="nil"/>
            </w:tcBorders>
          </w:tcPr>
          <w:p w:rsidR="0051730D" w:rsidRDefault="0051730D" w:rsidP="0051730D">
            <w:pPr>
              <w:pStyle w:val="tekstost"/>
              <w:jc w:val="center"/>
            </w:pPr>
          </w:p>
        </w:tc>
        <w:tc>
          <w:tcPr>
            <w:tcW w:w="1311" w:type="dxa"/>
            <w:tcBorders>
              <w:top w:val="nil"/>
              <w:left w:val="single" w:sz="6" w:space="0" w:color="auto"/>
              <w:bottom w:val="nil"/>
              <w:right w:val="single" w:sz="6" w:space="0" w:color="auto"/>
            </w:tcBorders>
          </w:tcPr>
          <w:p w:rsidR="0051730D" w:rsidRDefault="0051730D" w:rsidP="0051730D">
            <w:pPr>
              <w:pStyle w:val="tekstost"/>
              <w:jc w:val="center"/>
            </w:pP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5</w:t>
            </w:r>
          </w:p>
        </w:tc>
        <w:tc>
          <w:tcPr>
            <w:tcW w:w="4394" w:type="dxa"/>
            <w:tcBorders>
              <w:top w:val="single" w:sz="6" w:space="0" w:color="auto"/>
              <w:left w:val="single" w:sz="6" w:space="0" w:color="auto"/>
              <w:bottom w:val="single" w:sz="6" w:space="0" w:color="auto"/>
              <w:right w:val="nil"/>
            </w:tcBorders>
            <w:hideMark/>
          </w:tcPr>
          <w:p w:rsidR="0051730D" w:rsidRDefault="0051730D" w:rsidP="0051730D">
            <w:pPr>
              <w:pStyle w:val="tekstost"/>
            </w:pPr>
            <w:r>
              <w:t>Zagęszczenie warstwy</w:t>
            </w:r>
          </w:p>
        </w:tc>
        <w:tc>
          <w:tcPr>
            <w:tcW w:w="1309" w:type="dxa"/>
            <w:tcBorders>
              <w:top w:val="nil"/>
              <w:left w:val="single" w:sz="6" w:space="0" w:color="auto"/>
              <w:bottom w:val="single" w:sz="6" w:space="0" w:color="auto"/>
              <w:right w:val="nil"/>
            </w:tcBorders>
          </w:tcPr>
          <w:p w:rsidR="0051730D" w:rsidRDefault="0051730D" w:rsidP="0051730D">
            <w:pPr>
              <w:pStyle w:val="tekstost"/>
              <w:jc w:val="center"/>
            </w:pPr>
          </w:p>
        </w:tc>
        <w:tc>
          <w:tcPr>
            <w:tcW w:w="1311" w:type="dxa"/>
            <w:tcBorders>
              <w:top w:val="nil"/>
              <w:left w:val="single" w:sz="6" w:space="0" w:color="auto"/>
              <w:bottom w:val="single" w:sz="6" w:space="0" w:color="auto"/>
              <w:right w:val="single" w:sz="6" w:space="0" w:color="auto"/>
            </w:tcBorders>
          </w:tcPr>
          <w:p w:rsidR="0051730D" w:rsidRDefault="0051730D" w:rsidP="0051730D">
            <w:pPr>
              <w:pStyle w:val="tekstost"/>
              <w:jc w:val="center"/>
            </w:pPr>
          </w:p>
        </w:tc>
      </w:tr>
      <w:tr w:rsidR="0051730D" w:rsidTr="0051730D">
        <w:tc>
          <w:tcPr>
            <w:tcW w:w="496" w:type="dxa"/>
            <w:tcBorders>
              <w:top w:val="nil"/>
              <w:left w:val="single" w:sz="6" w:space="0" w:color="auto"/>
              <w:bottom w:val="single" w:sz="6" w:space="0" w:color="auto"/>
              <w:right w:val="single" w:sz="6" w:space="0" w:color="auto"/>
            </w:tcBorders>
            <w:hideMark/>
          </w:tcPr>
          <w:p w:rsidR="0051730D" w:rsidRDefault="0051730D" w:rsidP="0051730D">
            <w:pPr>
              <w:pStyle w:val="tekstost"/>
              <w:spacing w:before="60" w:after="60"/>
              <w:jc w:val="center"/>
            </w:pPr>
            <w:r>
              <w:t>6</w:t>
            </w:r>
          </w:p>
        </w:tc>
        <w:tc>
          <w:tcPr>
            <w:tcW w:w="4394" w:type="dxa"/>
            <w:tcBorders>
              <w:top w:val="nil"/>
              <w:left w:val="single" w:sz="6" w:space="0" w:color="auto"/>
              <w:bottom w:val="single" w:sz="6" w:space="0" w:color="auto"/>
              <w:right w:val="single" w:sz="6" w:space="0" w:color="auto"/>
            </w:tcBorders>
            <w:hideMark/>
          </w:tcPr>
          <w:p w:rsidR="0051730D" w:rsidRDefault="0051730D" w:rsidP="0051730D">
            <w:pPr>
              <w:pStyle w:val="tekstost"/>
              <w:spacing w:before="60" w:after="60"/>
            </w:pPr>
            <w:r>
              <w:t>Grubość podbudowy lub ulepszonego podłoża</w:t>
            </w:r>
          </w:p>
        </w:tc>
        <w:tc>
          <w:tcPr>
            <w:tcW w:w="1309" w:type="dxa"/>
            <w:tcBorders>
              <w:top w:val="nil"/>
              <w:left w:val="single" w:sz="6" w:space="0" w:color="auto"/>
              <w:bottom w:val="single" w:sz="6" w:space="0" w:color="auto"/>
              <w:right w:val="single" w:sz="6" w:space="0" w:color="auto"/>
            </w:tcBorders>
            <w:hideMark/>
          </w:tcPr>
          <w:p w:rsidR="0051730D" w:rsidRDefault="0051730D" w:rsidP="0051730D">
            <w:pPr>
              <w:pStyle w:val="tekstost"/>
              <w:spacing w:before="60" w:after="60"/>
              <w:jc w:val="center"/>
            </w:pPr>
            <w:r>
              <w:t>3</w:t>
            </w:r>
          </w:p>
        </w:tc>
        <w:tc>
          <w:tcPr>
            <w:tcW w:w="1311" w:type="dxa"/>
            <w:tcBorders>
              <w:top w:val="nil"/>
              <w:left w:val="nil"/>
              <w:bottom w:val="single" w:sz="6" w:space="0" w:color="auto"/>
              <w:right w:val="single" w:sz="6" w:space="0" w:color="auto"/>
            </w:tcBorders>
            <w:hideMark/>
          </w:tcPr>
          <w:p w:rsidR="0051730D" w:rsidRDefault="0051730D" w:rsidP="0051730D">
            <w:pPr>
              <w:pStyle w:val="tekstost"/>
              <w:spacing w:before="60" w:after="60"/>
              <w:jc w:val="center"/>
            </w:pPr>
            <w:r>
              <w:t>400 m</w:t>
            </w:r>
            <w:r>
              <w:rPr>
                <w:vertAlign w:val="superscript"/>
              </w:rPr>
              <w:t>2</w:t>
            </w: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7</w:t>
            </w:r>
          </w:p>
        </w:tc>
        <w:tc>
          <w:tcPr>
            <w:tcW w:w="4394"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pPr>
            <w:r>
              <w:t>Wytrzymałość na ściskanie</w:t>
            </w:r>
          </w:p>
          <w:p w:rsidR="0051730D" w:rsidRDefault="0051730D" w:rsidP="0051730D">
            <w:pPr>
              <w:pStyle w:val="tekstost"/>
              <w:numPr>
                <w:ilvl w:val="0"/>
                <w:numId w:val="1"/>
              </w:numPr>
              <w:overflowPunct w:val="0"/>
              <w:autoSpaceDE w:val="0"/>
              <w:autoSpaceDN w:val="0"/>
              <w:adjustRightInd w:val="0"/>
              <w:jc w:val="left"/>
            </w:pPr>
            <w:r>
              <w:t>7 i 28-dniowa przy stabilizacji cementem                   i wapnem</w:t>
            </w:r>
          </w:p>
          <w:p w:rsidR="0051730D" w:rsidRDefault="0051730D" w:rsidP="0051730D">
            <w:pPr>
              <w:pStyle w:val="tekstost"/>
              <w:numPr>
                <w:ilvl w:val="0"/>
                <w:numId w:val="1"/>
              </w:numPr>
              <w:overflowPunct w:val="0"/>
              <w:autoSpaceDE w:val="0"/>
              <w:autoSpaceDN w:val="0"/>
              <w:adjustRightInd w:val="0"/>
              <w:jc w:val="left"/>
            </w:pPr>
            <w:r>
              <w:t>14 i 42-dniowa przy stabilizacji popiołami lotnymi</w:t>
            </w:r>
          </w:p>
          <w:p w:rsidR="0051730D" w:rsidRDefault="0051730D" w:rsidP="0051730D">
            <w:pPr>
              <w:pStyle w:val="tekstost"/>
              <w:numPr>
                <w:ilvl w:val="0"/>
                <w:numId w:val="1"/>
              </w:numPr>
              <w:overflowPunct w:val="0"/>
              <w:autoSpaceDE w:val="0"/>
              <w:autoSpaceDN w:val="0"/>
              <w:adjustRightInd w:val="0"/>
              <w:jc w:val="left"/>
            </w:pPr>
            <w:r>
              <w:t xml:space="preserve">90-dniowa przy stabilizacji żużlem granulowa-  </w:t>
            </w:r>
            <w:proofErr w:type="spellStart"/>
            <w:r>
              <w:t>nym</w:t>
            </w:r>
            <w:proofErr w:type="spellEnd"/>
          </w:p>
        </w:tc>
        <w:tc>
          <w:tcPr>
            <w:tcW w:w="1309" w:type="dxa"/>
            <w:tcBorders>
              <w:top w:val="single" w:sz="6" w:space="0" w:color="auto"/>
              <w:left w:val="single" w:sz="6" w:space="0" w:color="auto"/>
              <w:bottom w:val="single" w:sz="6" w:space="0" w:color="auto"/>
              <w:right w:val="single" w:sz="6" w:space="0" w:color="auto"/>
            </w:tcBorders>
          </w:tcPr>
          <w:p w:rsidR="0051730D" w:rsidRDefault="0051730D" w:rsidP="0051730D">
            <w:pPr>
              <w:pStyle w:val="tekstost"/>
              <w:jc w:val="center"/>
            </w:pPr>
          </w:p>
          <w:p w:rsidR="0051730D" w:rsidRDefault="0051730D" w:rsidP="0051730D">
            <w:pPr>
              <w:pStyle w:val="tekstost"/>
              <w:numPr>
                <w:ilvl w:val="12"/>
                <w:numId w:val="0"/>
              </w:numPr>
              <w:jc w:val="center"/>
            </w:pPr>
          </w:p>
          <w:p w:rsidR="0051730D" w:rsidRDefault="0051730D" w:rsidP="0051730D">
            <w:pPr>
              <w:pStyle w:val="tekstost"/>
              <w:numPr>
                <w:ilvl w:val="12"/>
                <w:numId w:val="0"/>
              </w:numPr>
              <w:jc w:val="center"/>
            </w:pPr>
            <w:r>
              <w:t>6 próbek</w:t>
            </w:r>
          </w:p>
          <w:p w:rsidR="0051730D" w:rsidRDefault="0051730D" w:rsidP="0051730D">
            <w:pPr>
              <w:pStyle w:val="tekstost"/>
              <w:numPr>
                <w:ilvl w:val="12"/>
                <w:numId w:val="0"/>
              </w:numPr>
              <w:jc w:val="center"/>
            </w:pPr>
          </w:p>
          <w:p w:rsidR="0051730D" w:rsidRDefault="0051730D" w:rsidP="0051730D">
            <w:pPr>
              <w:pStyle w:val="tekstost"/>
              <w:numPr>
                <w:ilvl w:val="12"/>
                <w:numId w:val="0"/>
              </w:numPr>
              <w:jc w:val="center"/>
            </w:pPr>
            <w:r>
              <w:t>6 próbek</w:t>
            </w:r>
          </w:p>
          <w:p w:rsidR="0051730D" w:rsidRDefault="0051730D" w:rsidP="0051730D">
            <w:pPr>
              <w:pStyle w:val="tekstost"/>
              <w:numPr>
                <w:ilvl w:val="12"/>
                <w:numId w:val="0"/>
              </w:numPr>
              <w:jc w:val="center"/>
            </w:pPr>
          </w:p>
          <w:p w:rsidR="0051730D" w:rsidRDefault="0051730D" w:rsidP="0051730D">
            <w:pPr>
              <w:pStyle w:val="tekstost"/>
              <w:numPr>
                <w:ilvl w:val="12"/>
                <w:numId w:val="0"/>
              </w:numPr>
              <w:jc w:val="center"/>
            </w:pPr>
            <w:r>
              <w:t>3 próbki</w:t>
            </w:r>
          </w:p>
        </w:tc>
        <w:tc>
          <w:tcPr>
            <w:tcW w:w="1311" w:type="dxa"/>
            <w:tcBorders>
              <w:top w:val="single" w:sz="6" w:space="0" w:color="auto"/>
              <w:left w:val="nil"/>
              <w:bottom w:val="single" w:sz="6" w:space="0" w:color="auto"/>
              <w:right w:val="single" w:sz="6" w:space="0" w:color="auto"/>
            </w:tcBorders>
          </w:tcPr>
          <w:p w:rsidR="0051730D" w:rsidRDefault="0051730D" w:rsidP="0051730D">
            <w:pPr>
              <w:pStyle w:val="tekstost"/>
              <w:numPr>
                <w:ilvl w:val="12"/>
                <w:numId w:val="0"/>
              </w:numPr>
              <w:jc w:val="center"/>
            </w:pPr>
          </w:p>
          <w:p w:rsidR="0051730D" w:rsidRDefault="0051730D" w:rsidP="0051730D">
            <w:pPr>
              <w:pStyle w:val="tekstost"/>
              <w:numPr>
                <w:ilvl w:val="12"/>
                <w:numId w:val="0"/>
              </w:numPr>
              <w:jc w:val="center"/>
            </w:pPr>
          </w:p>
          <w:p w:rsidR="0051730D" w:rsidRDefault="0051730D" w:rsidP="0051730D">
            <w:pPr>
              <w:pStyle w:val="tekstost"/>
              <w:numPr>
                <w:ilvl w:val="12"/>
                <w:numId w:val="0"/>
              </w:numPr>
              <w:jc w:val="center"/>
            </w:pPr>
          </w:p>
          <w:p w:rsidR="0051730D" w:rsidRDefault="0051730D" w:rsidP="0051730D">
            <w:pPr>
              <w:pStyle w:val="tekstost"/>
              <w:numPr>
                <w:ilvl w:val="12"/>
                <w:numId w:val="0"/>
              </w:numPr>
              <w:jc w:val="center"/>
            </w:pPr>
          </w:p>
          <w:p w:rsidR="0051730D" w:rsidRDefault="0051730D" w:rsidP="0051730D">
            <w:pPr>
              <w:pStyle w:val="tekstost"/>
              <w:numPr>
                <w:ilvl w:val="12"/>
                <w:numId w:val="0"/>
              </w:numPr>
              <w:jc w:val="center"/>
            </w:pPr>
            <w:r>
              <w:t>400 m</w:t>
            </w:r>
            <w:r>
              <w:rPr>
                <w:vertAlign w:val="superscript"/>
              </w:rPr>
              <w:t>2</w:t>
            </w: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numPr>
                <w:ilvl w:val="12"/>
                <w:numId w:val="0"/>
              </w:numPr>
              <w:spacing w:before="120"/>
              <w:jc w:val="center"/>
            </w:pPr>
            <w:r>
              <w:t>8</w:t>
            </w:r>
          </w:p>
        </w:tc>
        <w:tc>
          <w:tcPr>
            <w:tcW w:w="4394"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numPr>
                <w:ilvl w:val="12"/>
                <w:numId w:val="0"/>
              </w:numPr>
              <w:spacing w:before="120"/>
            </w:pPr>
            <w:r>
              <w:t xml:space="preserve">Mrozoodporność </w:t>
            </w:r>
            <w:r>
              <w:rPr>
                <w:vertAlign w:val="superscript"/>
              </w:rPr>
              <w:t>3)</w:t>
            </w:r>
          </w:p>
        </w:tc>
        <w:tc>
          <w:tcPr>
            <w:tcW w:w="2620" w:type="dxa"/>
            <w:gridSpan w:val="2"/>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numPr>
                <w:ilvl w:val="12"/>
                <w:numId w:val="0"/>
              </w:numPr>
              <w:jc w:val="center"/>
            </w:pPr>
            <w:r>
              <w:t>przy projektowaniu i w przypadkach wątpliwych</w:t>
            </w:r>
          </w:p>
        </w:tc>
      </w:tr>
      <w:tr w:rsidR="0051730D" w:rsidTr="0051730D">
        <w:tc>
          <w:tcPr>
            <w:tcW w:w="496" w:type="dxa"/>
            <w:tcBorders>
              <w:top w:val="single" w:sz="6" w:space="0" w:color="auto"/>
              <w:left w:val="single" w:sz="6" w:space="0" w:color="auto"/>
              <w:bottom w:val="single" w:sz="6" w:space="0" w:color="auto"/>
              <w:right w:val="single" w:sz="6" w:space="0" w:color="auto"/>
            </w:tcBorders>
          </w:tcPr>
          <w:p w:rsidR="0051730D" w:rsidRDefault="0051730D" w:rsidP="0051730D">
            <w:pPr>
              <w:pStyle w:val="tekstost"/>
              <w:numPr>
                <w:ilvl w:val="12"/>
                <w:numId w:val="0"/>
              </w:numPr>
              <w:jc w:val="center"/>
            </w:pPr>
          </w:p>
          <w:p w:rsidR="0051730D" w:rsidRDefault="0051730D" w:rsidP="0051730D">
            <w:pPr>
              <w:pStyle w:val="tekstost"/>
              <w:numPr>
                <w:ilvl w:val="12"/>
                <w:numId w:val="0"/>
              </w:numPr>
              <w:spacing w:before="60"/>
              <w:jc w:val="center"/>
            </w:pPr>
            <w:r>
              <w:t>9</w:t>
            </w:r>
          </w:p>
          <w:p w:rsidR="0051730D" w:rsidRDefault="0051730D" w:rsidP="0051730D">
            <w:pPr>
              <w:pStyle w:val="tekstost"/>
              <w:numPr>
                <w:ilvl w:val="12"/>
                <w:numId w:val="0"/>
              </w:numPr>
              <w:jc w:val="center"/>
            </w:pPr>
            <w:r>
              <w:t>10</w:t>
            </w:r>
          </w:p>
          <w:p w:rsidR="0051730D" w:rsidRDefault="0051730D" w:rsidP="0051730D">
            <w:pPr>
              <w:pStyle w:val="tekstost"/>
              <w:numPr>
                <w:ilvl w:val="12"/>
                <w:numId w:val="0"/>
              </w:numPr>
              <w:jc w:val="center"/>
            </w:pPr>
            <w:r>
              <w:t>11</w:t>
            </w:r>
          </w:p>
          <w:p w:rsidR="0051730D" w:rsidRDefault="0051730D" w:rsidP="0051730D">
            <w:pPr>
              <w:pStyle w:val="tekstost"/>
              <w:numPr>
                <w:ilvl w:val="12"/>
                <w:numId w:val="0"/>
              </w:numPr>
              <w:jc w:val="center"/>
            </w:pPr>
            <w:r>
              <w:t>12</w:t>
            </w:r>
          </w:p>
        </w:tc>
        <w:tc>
          <w:tcPr>
            <w:tcW w:w="4394"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numPr>
                <w:ilvl w:val="12"/>
                <w:numId w:val="0"/>
              </w:numPr>
            </w:pPr>
            <w:r>
              <w:t>Badanie spoiwa:</w:t>
            </w:r>
          </w:p>
          <w:p w:rsidR="0051730D" w:rsidRDefault="0051730D" w:rsidP="0051730D">
            <w:pPr>
              <w:pStyle w:val="tekstost"/>
              <w:numPr>
                <w:ilvl w:val="0"/>
                <w:numId w:val="1"/>
              </w:numPr>
              <w:overflowPunct w:val="0"/>
              <w:autoSpaceDE w:val="0"/>
              <w:autoSpaceDN w:val="0"/>
              <w:adjustRightInd w:val="0"/>
            </w:pPr>
            <w:r>
              <w:t>cementu,</w:t>
            </w:r>
          </w:p>
          <w:p w:rsidR="0051730D" w:rsidRDefault="0051730D" w:rsidP="0051730D">
            <w:pPr>
              <w:pStyle w:val="tekstost"/>
              <w:numPr>
                <w:ilvl w:val="0"/>
                <w:numId w:val="1"/>
              </w:numPr>
              <w:overflowPunct w:val="0"/>
              <w:autoSpaceDE w:val="0"/>
              <w:autoSpaceDN w:val="0"/>
              <w:adjustRightInd w:val="0"/>
            </w:pPr>
            <w:r>
              <w:t>wapna,</w:t>
            </w:r>
          </w:p>
          <w:p w:rsidR="0051730D" w:rsidRDefault="0051730D" w:rsidP="0051730D">
            <w:pPr>
              <w:pStyle w:val="tekstost"/>
              <w:numPr>
                <w:ilvl w:val="0"/>
                <w:numId w:val="1"/>
              </w:numPr>
              <w:overflowPunct w:val="0"/>
              <w:autoSpaceDE w:val="0"/>
              <w:autoSpaceDN w:val="0"/>
              <w:adjustRightInd w:val="0"/>
            </w:pPr>
            <w:r>
              <w:t>popiołów lotnych,</w:t>
            </w:r>
          </w:p>
          <w:p w:rsidR="0051730D" w:rsidRDefault="0051730D" w:rsidP="0051730D">
            <w:pPr>
              <w:pStyle w:val="tekstost"/>
              <w:numPr>
                <w:ilvl w:val="0"/>
                <w:numId w:val="1"/>
              </w:numPr>
              <w:overflowPunct w:val="0"/>
              <w:autoSpaceDE w:val="0"/>
              <w:autoSpaceDN w:val="0"/>
              <w:adjustRightInd w:val="0"/>
            </w:pPr>
            <w:r>
              <w:t>żużla granulowanego</w:t>
            </w:r>
          </w:p>
        </w:tc>
        <w:tc>
          <w:tcPr>
            <w:tcW w:w="2620" w:type="dxa"/>
            <w:gridSpan w:val="2"/>
            <w:tcBorders>
              <w:top w:val="single" w:sz="6" w:space="0" w:color="auto"/>
              <w:left w:val="single" w:sz="6" w:space="0" w:color="auto"/>
              <w:bottom w:val="single" w:sz="6" w:space="0" w:color="auto"/>
              <w:right w:val="single" w:sz="6" w:space="0" w:color="auto"/>
            </w:tcBorders>
          </w:tcPr>
          <w:p w:rsidR="0051730D" w:rsidRDefault="0051730D" w:rsidP="0051730D">
            <w:pPr>
              <w:pStyle w:val="tekstost"/>
              <w:jc w:val="center"/>
            </w:pPr>
          </w:p>
          <w:p w:rsidR="0051730D" w:rsidRDefault="0051730D" w:rsidP="0051730D">
            <w:pPr>
              <w:pStyle w:val="tekstost"/>
              <w:jc w:val="center"/>
            </w:pPr>
            <w:r>
              <w:t>przy projektowaniu składu mieszanki i przy każdej zmianie</w:t>
            </w: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spacing w:before="120"/>
              <w:jc w:val="center"/>
            </w:pPr>
            <w:r>
              <w:t>13</w:t>
            </w:r>
          </w:p>
        </w:tc>
        <w:tc>
          <w:tcPr>
            <w:tcW w:w="4394"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spacing w:before="120"/>
            </w:pPr>
            <w:r>
              <w:t>Badanie wody</w:t>
            </w:r>
          </w:p>
        </w:tc>
        <w:tc>
          <w:tcPr>
            <w:tcW w:w="2620" w:type="dxa"/>
            <w:gridSpan w:val="2"/>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dla każdego wątpliwego źródła</w:t>
            </w:r>
          </w:p>
        </w:tc>
      </w:tr>
      <w:tr w:rsidR="0051730D" w:rsidTr="0051730D">
        <w:tc>
          <w:tcPr>
            <w:tcW w:w="496" w:type="dxa"/>
            <w:tcBorders>
              <w:top w:val="single" w:sz="6" w:space="0" w:color="auto"/>
              <w:left w:val="single" w:sz="6" w:space="0" w:color="auto"/>
              <w:bottom w:val="single" w:sz="6" w:space="0" w:color="auto"/>
              <w:right w:val="single" w:sz="6" w:space="0" w:color="auto"/>
            </w:tcBorders>
          </w:tcPr>
          <w:p w:rsidR="0051730D" w:rsidRDefault="0051730D" w:rsidP="0051730D">
            <w:pPr>
              <w:pStyle w:val="tekstost"/>
              <w:jc w:val="center"/>
            </w:pPr>
          </w:p>
          <w:p w:rsidR="0051730D" w:rsidRDefault="0051730D" w:rsidP="0051730D">
            <w:pPr>
              <w:pStyle w:val="tekstost"/>
              <w:jc w:val="center"/>
            </w:pPr>
            <w:r>
              <w:t>14</w:t>
            </w:r>
          </w:p>
        </w:tc>
        <w:tc>
          <w:tcPr>
            <w:tcW w:w="4394" w:type="dxa"/>
            <w:tcBorders>
              <w:top w:val="single" w:sz="6" w:space="0" w:color="auto"/>
              <w:left w:val="single" w:sz="6" w:space="0" w:color="auto"/>
              <w:bottom w:val="single" w:sz="6" w:space="0" w:color="auto"/>
              <w:right w:val="single" w:sz="6" w:space="0" w:color="auto"/>
            </w:tcBorders>
          </w:tcPr>
          <w:p w:rsidR="0051730D" w:rsidRDefault="0051730D" w:rsidP="0051730D">
            <w:pPr>
              <w:pStyle w:val="tekstost"/>
            </w:pPr>
          </w:p>
          <w:p w:rsidR="0051730D" w:rsidRDefault="0051730D" w:rsidP="0051730D">
            <w:pPr>
              <w:pStyle w:val="tekstost"/>
            </w:pPr>
            <w:r>
              <w:t>Badanie właściwości gruntu lub kruszywa</w:t>
            </w:r>
          </w:p>
        </w:tc>
        <w:tc>
          <w:tcPr>
            <w:tcW w:w="2620" w:type="dxa"/>
            <w:gridSpan w:val="2"/>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dla każdej partii i przy każdej zmianie rodzaju gruntu lub kruszywa</w:t>
            </w:r>
          </w:p>
        </w:tc>
      </w:tr>
      <w:tr w:rsidR="0051730D" w:rsidTr="0051730D">
        <w:tc>
          <w:tcPr>
            <w:tcW w:w="496"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spacing w:before="120"/>
              <w:jc w:val="center"/>
            </w:pPr>
            <w:r>
              <w:t>15</w:t>
            </w:r>
          </w:p>
        </w:tc>
        <w:tc>
          <w:tcPr>
            <w:tcW w:w="4394" w:type="dxa"/>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spacing w:before="120"/>
            </w:pPr>
            <w:r>
              <w:t xml:space="preserve">Wskaźnik nośności CBR </w:t>
            </w:r>
            <w:r>
              <w:rPr>
                <w:vertAlign w:val="superscript"/>
              </w:rPr>
              <w:t>4)</w:t>
            </w:r>
          </w:p>
        </w:tc>
        <w:tc>
          <w:tcPr>
            <w:tcW w:w="2620" w:type="dxa"/>
            <w:gridSpan w:val="2"/>
            <w:tcBorders>
              <w:top w:val="single" w:sz="6" w:space="0" w:color="auto"/>
              <w:left w:val="single" w:sz="6" w:space="0" w:color="auto"/>
              <w:bottom w:val="single" w:sz="6" w:space="0" w:color="auto"/>
              <w:right w:val="single" w:sz="6" w:space="0" w:color="auto"/>
            </w:tcBorders>
            <w:hideMark/>
          </w:tcPr>
          <w:p w:rsidR="0051730D" w:rsidRDefault="0051730D" w:rsidP="0051730D">
            <w:pPr>
              <w:pStyle w:val="tekstost"/>
              <w:jc w:val="center"/>
            </w:pPr>
            <w:r>
              <w:t>w przypadkach wątpliwych            i na zlecenie Inżyniera</w:t>
            </w:r>
          </w:p>
        </w:tc>
      </w:tr>
    </w:tbl>
    <w:p w:rsidR="0051730D" w:rsidRDefault="0051730D" w:rsidP="0051730D">
      <w:pPr>
        <w:pStyle w:val="tekstost"/>
      </w:pPr>
    </w:p>
    <w:p w:rsidR="0051730D" w:rsidRDefault="0051730D" w:rsidP="002122BD">
      <w:pPr>
        <w:pStyle w:val="tekstost"/>
        <w:numPr>
          <w:ilvl w:val="0"/>
          <w:numId w:val="29"/>
        </w:numPr>
        <w:overflowPunct w:val="0"/>
        <w:autoSpaceDE w:val="0"/>
        <w:autoSpaceDN w:val="0"/>
        <w:adjustRightInd w:val="0"/>
      </w:pPr>
      <w:r>
        <w:t>Badanie wykonuje się dla gruntów spoistych</w:t>
      </w:r>
    </w:p>
    <w:p w:rsidR="0051730D" w:rsidRDefault="0051730D" w:rsidP="002122BD">
      <w:pPr>
        <w:pStyle w:val="tekstost"/>
        <w:numPr>
          <w:ilvl w:val="0"/>
          <w:numId w:val="29"/>
        </w:numPr>
        <w:overflowPunct w:val="0"/>
        <w:autoSpaceDE w:val="0"/>
        <w:autoSpaceDN w:val="0"/>
        <w:adjustRightInd w:val="0"/>
      </w:pPr>
      <w:r>
        <w:t>Badanie wykonuje się przy stabilizacji gruntu metodą mieszania na miejscu</w:t>
      </w:r>
    </w:p>
    <w:p w:rsidR="0051730D" w:rsidRDefault="0051730D" w:rsidP="002122BD">
      <w:pPr>
        <w:pStyle w:val="tekstost"/>
        <w:numPr>
          <w:ilvl w:val="0"/>
          <w:numId w:val="29"/>
        </w:numPr>
        <w:overflowPunct w:val="0"/>
        <w:autoSpaceDE w:val="0"/>
        <w:autoSpaceDN w:val="0"/>
        <w:adjustRightInd w:val="0"/>
      </w:pPr>
      <w:r>
        <w:t>Badanie wykonuje się przy stabilizacji gruntu lub kruszyw cementem, wapnem                     i popiołami lotnymi</w:t>
      </w:r>
    </w:p>
    <w:p w:rsidR="0051730D" w:rsidRDefault="0051730D" w:rsidP="002122BD">
      <w:pPr>
        <w:pStyle w:val="tekstost"/>
        <w:numPr>
          <w:ilvl w:val="0"/>
          <w:numId w:val="29"/>
        </w:numPr>
        <w:overflowPunct w:val="0"/>
        <w:autoSpaceDE w:val="0"/>
        <w:autoSpaceDN w:val="0"/>
        <w:adjustRightInd w:val="0"/>
      </w:pPr>
      <w:r>
        <w:t>Badanie wykonuje się przy stabilizacji gruntu wapnem.</w:t>
      </w:r>
    </w:p>
    <w:p w:rsidR="0051730D" w:rsidRDefault="0051730D" w:rsidP="0051730D">
      <w:pPr>
        <w:pStyle w:val="tekstost"/>
      </w:pPr>
    </w:p>
    <w:p w:rsidR="0051730D" w:rsidRDefault="0051730D" w:rsidP="0051730D">
      <w:pPr>
        <w:pStyle w:val="tekstost"/>
      </w:pPr>
      <w:r>
        <w:rPr>
          <w:b/>
        </w:rPr>
        <w:t xml:space="preserve">6.3.2. </w:t>
      </w:r>
      <w:r>
        <w:t>Uziarnienie gruntu lub kruszywa</w:t>
      </w:r>
    </w:p>
    <w:p w:rsidR="0051730D" w:rsidRDefault="0051730D" w:rsidP="0051730D">
      <w:pPr>
        <w:pStyle w:val="tekstost"/>
        <w:spacing w:before="120"/>
      </w:pPr>
      <w:r>
        <w:tab/>
        <w:t>Próbki do badań należy pobierać z mieszarek lub z podłoża przed podaniem spoiwa. Uziarnienie kruszywa lub gruntu powinno być zgodne z wymaganiami podanymi w OST dotyczących poszczególnych rodzajów podbudów i ulepszonego podłoża.</w:t>
      </w:r>
    </w:p>
    <w:p w:rsidR="0051730D" w:rsidRDefault="0051730D" w:rsidP="0051730D">
      <w:pPr>
        <w:pStyle w:val="tekstost"/>
        <w:spacing w:before="120"/>
      </w:pPr>
      <w:r>
        <w:rPr>
          <w:b/>
        </w:rPr>
        <w:t xml:space="preserve">6.3.3. </w:t>
      </w:r>
      <w:r>
        <w:t>Wilgotność mieszanki gruntu lub kruszywa ze spoiwami</w:t>
      </w:r>
    </w:p>
    <w:p w:rsidR="0051730D" w:rsidRDefault="0051730D" w:rsidP="0051730D">
      <w:pPr>
        <w:pStyle w:val="tekstost"/>
        <w:spacing w:before="120"/>
      </w:pPr>
      <w:r>
        <w:tab/>
        <w:t>Wilgotność mieszanki powinna być równa wilgotności optymalnej, określonej w projekcie składu tej mieszanki, z tolerancją +10% -20% jej wartości.</w:t>
      </w:r>
    </w:p>
    <w:p w:rsidR="0051730D" w:rsidRDefault="0051730D" w:rsidP="0051730D">
      <w:pPr>
        <w:pStyle w:val="tekstost"/>
        <w:spacing w:before="120"/>
      </w:pPr>
      <w:r>
        <w:rPr>
          <w:b/>
        </w:rPr>
        <w:t xml:space="preserve">6.3.4. </w:t>
      </w:r>
      <w:r>
        <w:t>Rozdrobnienie gruntu</w:t>
      </w:r>
    </w:p>
    <w:p w:rsidR="0051730D" w:rsidRDefault="0051730D" w:rsidP="0051730D">
      <w:pPr>
        <w:pStyle w:val="tekstost"/>
        <w:spacing w:before="120"/>
      </w:pPr>
      <w:r>
        <w:tab/>
        <w:t>Grunt powinien być spulchniony i rozdrobniony tak, aby wskaźnik rozdrobnienia był co najmniej równy 80% (przez sito o średnicy 4 mm powinno przejść 80% gruntu).</w:t>
      </w:r>
    </w:p>
    <w:p w:rsidR="0051730D" w:rsidRDefault="0051730D" w:rsidP="0051730D">
      <w:pPr>
        <w:pStyle w:val="tekstost"/>
        <w:spacing w:before="120"/>
      </w:pPr>
      <w:r>
        <w:rPr>
          <w:b/>
        </w:rPr>
        <w:t xml:space="preserve">6.3.5. </w:t>
      </w:r>
      <w:r>
        <w:t>Jednorodność i głębokość wymieszania</w:t>
      </w:r>
    </w:p>
    <w:p w:rsidR="0051730D" w:rsidRDefault="0051730D" w:rsidP="0051730D">
      <w:pPr>
        <w:pStyle w:val="tekstost"/>
        <w:spacing w:before="120"/>
      </w:pPr>
      <w:r>
        <w:tab/>
        <w:t>Jednorodność wymieszania gruntu ze spoiwem polega na ocenie wizualnej jednolitego zabarwienia mieszanki.</w:t>
      </w:r>
    </w:p>
    <w:p w:rsidR="0051730D" w:rsidRDefault="0051730D" w:rsidP="0051730D">
      <w:pPr>
        <w:pStyle w:val="tekstost"/>
      </w:pPr>
      <w:r>
        <w:tab/>
        <w:t>Głębokość wymieszania mierzy się w odległości min. 0,5 m od krawędzi podbudowy czy ulepszonego podłoża. Głębokość wymieszania powinna być taka, aby grubość warstwy po zagęszczeniu była równa projektowanej.</w:t>
      </w:r>
    </w:p>
    <w:p w:rsidR="0051730D" w:rsidRDefault="0051730D" w:rsidP="0051730D">
      <w:pPr>
        <w:pStyle w:val="tekstost"/>
        <w:spacing w:before="120"/>
      </w:pPr>
      <w:r>
        <w:rPr>
          <w:b/>
        </w:rPr>
        <w:lastRenderedPageBreak/>
        <w:t xml:space="preserve">6.3.6. </w:t>
      </w:r>
      <w:r>
        <w:t>Zagęszczenie warstwy</w:t>
      </w:r>
    </w:p>
    <w:p w:rsidR="0051730D" w:rsidRDefault="0051730D" w:rsidP="0051730D">
      <w:pPr>
        <w:pStyle w:val="tekstost"/>
        <w:spacing w:before="120"/>
      </w:pPr>
      <w:r>
        <w:tab/>
        <w:t>Mieszanka powinna być zagęszczana do osiągnięcia wskaźnika zagęszczenia nie mniejszego od 1,00 oznaczonego zgodnie z BN-77/8931-12 [25].</w:t>
      </w:r>
    </w:p>
    <w:p w:rsidR="0051730D" w:rsidRDefault="0051730D" w:rsidP="0051730D">
      <w:pPr>
        <w:pStyle w:val="tekstost"/>
        <w:spacing w:before="120"/>
      </w:pPr>
      <w:r>
        <w:rPr>
          <w:b/>
        </w:rPr>
        <w:t xml:space="preserve">6.3.7. </w:t>
      </w:r>
      <w:r>
        <w:t>Grubość podbudowy lub ulepszonego podłoża</w:t>
      </w:r>
    </w:p>
    <w:p w:rsidR="0051730D" w:rsidRDefault="0051730D" w:rsidP="0051730D">
      <w:pPr>
        <w:pStyle w:val="tekstost"/>
        <w:spacing w:before="120"/>
      </w:pPr>
      <w:r>
        <w:tab/>
        <w:t xml:space="preserve">Grubość warstwy należy mierzyć bezpośrednio po jej zagęszczeniu w odległości co najmniej 0,5 m od krawędzi. Grubość warstwy nie może różnić się od projektowanej o więcej niż </w:t>
      </w:r>
      <w:r>
        <w:sym w:font="Symbol" w:char="F0B1"/>
      </w:r>
      <w:r>
        <w:t xml:space="preserve"> 1 cm.</w:t>
      </w:r>
    </w:p>
    <w:p w:rsidR="0051730D" w:rsidRDefault="0051730D" w:rsidP="0051730D">
      <w:pPr>
        <w:pStyle w:val="tekstost"/>
        <w:spacing w:before="120"/>
      </w:pPr>
      <w:r>
        <w:rPr>
          <w:b/>
        </w:rPr>
        <w:t xml:space="preserve">6.3.8. </w:t>
      </w:r>
      <w:r>
        <w:t>Wytrzymałość na ściskanie</w:t>
      </w:r>
    </w:p>
    <w:p w:rsidR="0051730D" w:rsidRDefault="0051730D" w:rsidP="0051730D">
      <w:pPr>
        <w:pStyle w:val="tekstost"/>
        <w:spacing w:before="120"/>
      </w:pPr>
      <w:r>
        <w:tab/>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OST dotyczących poszczególnych rodzajów podbudów i ulepszonego podłoża.</w:t>
      </w:r>
    </w:p>
    <w:p w:rsidR="0051730D" w:rsidRDefault="0051730D" w:rsidP="0051730D">
      <w:pPr>
        <w:pStyle w:val="tekstost"/>
        <w:spacing w:before="120"/>
      </w:pPr>
      <w:r>
        <w:rPr>
          <w:b/>
        </w:rPr>
        <w:t xml:space="preserve">6.3.9. </w:t>
      </w:r>
      <w:r>
        <w:t>Mrozoodporność</w:t>
      </w:r>
    </w:p>
    <w:p w:rsidR="0051730D" w:rsidRDefault="0051730D" w:rsidP="0051730D">
      <w:pPr>
        <w:pStyle w:val="tekstost"/>
        <w:spacing w:before="120"/>
      </w:pPr>
      <w:r>
        <w:tab/>
        <w:t>Wskaźnik mrozoodporności określany przez spadek wytrzymałości na ściskanie próbek poddawanych cyklom zamrażania i odmrażania powinien być zgodny z wymaganiami podanymi w OST dotyczących poszczególnych rodzajów podbudów i ulepszonego podłoża.</w:t>
      </w:r>
    </w:p>
    <w:p w:rsidR="0051730D" w:rsidRDefault="0051730D" w:rsidP="0051730D">
      <w:pPr>
        <w:pStyle w:val="tekstost"/>
        <w:spacing w:before="120"/>
      </w:pPr>
      <w:r>
        <w:rPr>
          <w:b/>
        </w:rPr>
        <w:t>6.3.10.</w:t>
      </w:r>
      <w:r>
        <w:t xml:space="preserve"> Badanie spoiwa</w:t>
      </w:r>
    </w:p>
    <w:p w:rsidR="0051730D" w:rsidRDefault="0051730D" w:rsidP="0051730D">
      <w:pPr>
        <w:pStyle w:val="tekstost"/>
        <w:spacing w:before="120"/>
      </w:pPr>
      <w:r>
        <w:tab/>
        <w:t>Dla każdej dostawy cementu, wapna, popiołów lotnych, żużla granulowanego, Wykonawca powinien określić właściwości podane w OST dotyczących poszczególnych rodzajów podbudów i ulepszonego podłoża.</w:t>
      </w:r>
    </w:p>
    <w:p w:rsidR="0051730D" w:rsidRDefault="0051730D" w:rsidP="0051730D">
      <w:pPr>
        <w:pStyle w:val="tekstost"/>
        <w:spacing w:before="120"/>
      </w:pPr>
      <w:r>
        <w:rPr>
          <w:b/>
        </w:rPr>
        <w:t xml:space="preserve">6.3.11. </w:t>
      </w:r>
      <w:r>
        <w:t>Badanie wody</w:t>
      </w:r>
    </w:p>
    <w:p w:rsidR="0051730D" w:rsidRDefault="0051730D" w:rsidP="0051730D">
      <w:pPr>
        <w:pStyle w:val="tekstost"/>
        <w:spacing w:before="120"/>
      </w:pPr>
      <w:r>
        <w:tab/>
        <w:t>W przypadkach wątpliwych należy przeprowadzić badania wody wg PN-B-32250 [13].</w:t>
      </w:r>
    </w:p>
    <w:p w:rsidR="0051730D" w:rsidRDefault="0051730D" w:rsidP="0051730D">
      <w:pPr>
        <w:pStyle w:val="tekstost"/>
        <w:spacing w:before="120"/>
      </w:pPr>
      <w:r>
        <w:rPr>
          <w:b/>
        </w:rPr>
        <w:t xml:space="preserve">6.3.12. </w:t>
      </w:r>
      <w:r>
        <w:t>Badanie właściwości gruntu lub kruszywa</w:t>
      </w:r>
    </w:p>
    <w:p w:rsidR="0051730D" w:rsidRDefault="0051730D" w:rsidP="0051730D">
      <w:pPr>
        <w:pStyle w:val="tekstost"/>
        <w:spacing w:before="120"/>
      </w:pPr>
      <w:r>
        <w:tab/>
        <w:t>Właściwości gruntu lub kruszywa należy badać przy każdej zmianie rodzaju gruntu lub kruszywa. Właściwości powinny być zgodne z wymaganiami podanymi w OST dotyczących poszczególnych rodzajów podbudów i ulepszonego podłoża.</w:t>
      </w:r>
    </w:p>
    <w:p w:rsidR="0051730D" w:rsidRDefault="0051730D" w:rsidP="0051730D">
      <w:pPr>
        <w:pStyle w:val="tekstost"/>
        <w:spacing w:before="120"/>
      </w:pPr>
      <w:r>
        <w:rPr>
          <w:b/>
        </w:rPr>
        <w:t xml:space="preserve">6.3.13. </w:t>
      </w:r>
      <w:r>
        <w:t>Wskaźnik nośności CBR</w:t>
      </w:r>
    </w:p>
    <w:p w:rsidR="0051730D" w:rsidRDefault="0051730D" w:rsidP="0051730D">
      <w:pPr>
        <w:pStyle w:val="tekstost"/>
        <w:spacing w:before="120"/>
      </w:pPr>
      <w:r>
        <w:tab/>
        <w:t>Wskaźnik nośności CBR określa się wg normy BN-70/8931-05 [13] dla próbek gruntu stabilizowanego wapnem, pielęgnowanych zgodnie z wymaganiami PN-S-96011 [16].</w:t>
      </w:r>
    </w:p>
    <w:p w:rsidR="0051730D" w:rsidRDefault="0051730D" w:rsidP="0051730D">
      <w:pPr>
        <w:pStyle w:val="Nagwek2"/>
        <w:spacing w:after="0"/>
      </w:pPr>
      <w:r>
        <w:t xml:space="preserve">6.4. Wymagania dotyczące cech geometrycznych i wytrzymałościowych podbudowy </w:t>
      </w:r>
    </w:p>
    <w:p w:rsidR="0051730D" w:rsidRDefault="0051730D" w:rsidP="0051730D">
      <w:pPr>
        <w:spacing w:after="120"/>
      </w:pPr>
      <w:r>
        <w:t xml:space="preserve">        </w:t>
      </w:r>
      <w:r>
        <w:rPr>
          <w:b/>
        </w:rPr>
        <w:t>lub ulepszonego podłoża stabilizowanych spoiwami</w:t>
      </w:r>
    </w:p>
    <w:p w:rsidR="0051730D" w:rsidRDefault="0051730D" w:rsidP="0051730D">
      <w:r>
        <w:rPr>
          <w:b/>
        </w:rPr>
        <w:t xml:space="preserve">6.4.1. </w:t>
      </w:r>
      <w:r>
        <w:t>Częstotliwość oraz zakres badań i  pomiarów</w:t>
      </w:r>
    </w:p>
    <w:p w:rsidR="0051730D" w:rsidRDefault="0051730D" w:rsidP="0051730D">
      <w:pPr>
        <w:spacing w:before="120"/>
      </w:pPr>
      <w:r>
        <w:tab/>
        <w:t xml:space="preserve"> Częstotliwość oraz zakres badań i pomiarów dotyczących cech geometrycznych  podaje  tablica 2.</w:t>
      </w:r>
    </w:p>
    <w:p w:rsidR="0051730D" w:rsidRDefault="0051730D" w:rsidP="0051730D">
      <w:pPr>
        <w:spacing w:before="60"/>
      </w:pPr>
      <w:r>
        <w:t xml:space="preserve">Tablica 2. Częstotliwość oraz zakres badań i  pomiarów wykonanej podbudowy lub </w:t>
      </w:r>
    </w:p>
    <w:p w:rsidR="0051730D" w:rsidRDefault="0051730D" w:rsidP="0051730D">
      <w:pPr>
        <w:spacing w:after="60"/>
      </w:pPr>
      <w:r>
        <w:tab/>
        <w:t xml:space="preserve">    ulepszonego podłoża stabilizowanych spoiwami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391"/>
        <w:gridCol w:w="3402"/>
      </w:tblGrid>
      <w:tr w:rsidR="0051730D" w:rsidTr="0051730D">
        <w:tc>
          <w:tcPr>
            <w:tcW w:w="790" w:type="dxa"/>
            <w:tcBorders>
              <w:top w:val="single" w:sz="6" w:space="0" w:color="auto"/>
              <w:left w:val="single" w:sz="6" w:space="0" w:color="auto"/>
              <w:bottom w:val="double" w:sz="6" w:space="0" w:color="auto"/>
              <w:right w:val="single" w:sz="6" w:space="0" w:color="auto"/>
            </w:tcBorders>
            <w:hideMark/>
          </w:tcPr>
          <w:p w:rsidR="0051730D" w:rsidRDefault="0051730D" w:rsidP="0051730D">
            <w:pPr>
              <w:spacing w:before="120" w:after="60"/>
              <w:ind w:right="-11"/>
              <w:jc w:val="center"/>
              <w:rPr>
                <w:b/>
              </w:rPr>
            </w:pPr>
            <w:r>
              <w:t>Lp.</w:t>
            </w:r>
          </w:p>
        </w:tc>
        <w:tc>
          <w:tcPr>
            <w:tcW w:w="3391" w:type="dxa"/>
            <w:tcBorders>
              <w:top w:val="single" w:sz="6" w:space="0" w:color="auto"/>
              <w:left w:val="single" w:sz="6" w:space="0" w:color="auto"/>
              <w:bottom w:val="double" w:sz="6" w:space="0" w:color="auto"/>
              <w:right w:val="single" w:sz="6" w:space="0" w:color="auto"/>
            </w:tcBorders>
            <w:hideMark/>
          </w:tcPr>
          <w:p w:rsidR="0051730D" w:rsidRDefault="0051730D" w:rsidP="0051730D">
            <w:pPr>
              <w:spacing w:before="120" w:after="60"/>
              <w:ind w:right="-11"/>
              <w:jc w:val="center"/>
              <w:rPr>
                <w:b/>
              </w:rPr>
            </w:pPr>
            <w:r>
              <w:t>Wyszczególnienie badań i pomiarów</w:t>
            </w:r>
          </w:p>
        </w:tc>
        <w:tc>
          <w:tcPr>
            <w:tcW w:w="3402" w:type="dxa"/>
            <w:tcBorders>
              <w:top w:val="single" w:sz="6" w:space="0" w:color="auto"/>
              <w:left w:val="single" w:sz="6" w:space="0" w:color="auto"/>
              <w:bottom w:val="double" w:sz="6" w:space="0" w:color="auto"/>
              <w:right w:val="single" w:sz="6" w:space="0" w:color="auto"/>
            </w:tcBorders>
            <w:hideMark/>
          </w:tcPr>
          <w:p w:rsidR="0051730D" w:rsidRDefault="0051730D" w:rsidP="0051730D">
            <w:pPr>
              <w:ind w:right="-11"/>
              <w:jc w:val="center"/>
            </w:pPr>
            <w:r>
              <w:t xml:space="preserve">Minimalna częstotliwość </w:t>
            </w:r>
          </w:p>
          <w:p w:rsidR="0051730D" w:rsidRDefault="0051730D" w:rsidP="0051730D">
            <w:pPr>
              <w:ind w:right="-11"/>
              <w:jc w:val="center"/>
              <w:rPr>
                <w:b/>
              </w:rPr>
            </w:pPr>
            <w:r>
              <w:t>badań i  pomiarów</w:t>
            </w:r>
          </w:p>
        </w:tc>
      </w:tr>
      <w:tr w:rsidR="0051730D" w:rsidTr="0051730D">
        <w:tc>
          <w:tcPr>
            <w:tcW w:w="790" w:type="dxa"/>
            <w:tcBorders>
              <w:top w:val="nil"/>
              <w:left w:val="single" w:sz="6" w:space="0" w:color="auto"/>
              <w:bottom w:val="single" w:sz="6" w:space="0" w:color="auto"/>
              <w:right w:val="single" w:sz="6" w:space="0" w:color="auto"/>
            </w:tcBorders>
            <w:hideMark/>
          </w:tcPr>
          <w:p w:rsidR="0051730D" w:rsidRDefault="0051730D" w:rsidP="0051730D">
            <w:pPr>
              <w:spacing w:before="60" w:after="60"/>
              <w:ind w:right="-14"/>
              <w:jc w:val="center"/>
              <w:rPr>
                <w:b/>
              </w:rPr>
            </w:pPr>
            <w:r>
              <w:t>1</w:t>
            </w:r>
          </w:p>
        </w:tc>
        <w:tc>
          <w:tcPr>
            <w:tcW w:w="3391" w:type="dxa"/>
            <w:tcBorders>
              <w:top w:val="nil"/>
              <w:left w:val="single" w:sz="6" w:space="0" w:color="auto"/>
              <w:bottom w:val="single" w:sz="6" w:space="0" w:color="auto"/>
              <w:right w:val="single" w:sz="6" w:space="0" w:color="auto"/>
            </w:tcBorders>
            <w:hideMark/>
          </w:tcPr>
          <w:p w:rsidR="0051730D" w:rsidRDefault="0051730D" w:rsidP="0051730D">
            <w:pPr>
              <w:spacing w:before="60" w:after="60"/>
              <w:ind w:right="-14"/>
              <w:rPr>
                <w:b/>
              </w:rPr>
            </w:pPr>
            <w:r>
              <w:t xml:space="preserve">Szerokość </w:t>
            </w:r>
          </w:p>
        </w:tc>
        <w:tc>
          <w:tcPr>
            <w:tcW w:w="3402" w:type="dxa"/>
            <w:tcBorders>
              <w:top w:val="nil"/>
              <w:left w:val="single" w:sz="6" w:space="0" w:color="auto"/>
              <w:bottom w:val="single" w:sz="6" w:space="0" w:color="auto"/>
              <w:right w:val="single" w:sz="6" w:space="0" w:color="auto"/>
            </w:tcBorders>
            <w:hideMark/>
          </w:tcPr>
          <w:p w:rsidR="0051730D" w:rsidRDefault="0051730D" w:rsidP="0051730D">
            <w:pPr>
              <w:spacing w:before="60" w:after="60"/>
              <w:ind w:right="-14"/>
              <w:rPr>
                <w:b/>
              </w:rPr>
            </w:pPr>
            <w:r>
              <w:t>10 razy na 1 km</w:t>
            </w:r>
          </w:p>
        </w:tc>
      </w:tr>
      <w:tr w:rsidR="0051730D" w:rsidTr="0051730D">
        <w:tc>
          <w:tcPr>
            <w:tcW w:w="790"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120" w:after="60"/>
              <w:ind w:right="-11"/>
              <w:jc w:val="center"/>
              <w:rPr>
                <w:b/>
              </w:rPr>
            </w:pPr>
            <w:r>
              <w:t>2</w:t>
            </w:r>
          </w:p>
        </w:tc>
        <w:tc>
          <w:tcPr>
            <w:tcW w:w="3391"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120" w:after="60"/>
              <w:ind w:right="-11"/>
              <w:rPr>
                <w:b/>
              </w:rPr>
            </w:pPr>
            <w:r>
              <w:t>Równość podłużna</w:t>
            </w:r>
          </w:p>
        </w:tc>
        <w:tc>
          <w:tcPr>
            <w:tcW w:w="3402" w:type="dxa"/>
            <w:tcBorders>
              <w:top w:val="single" w:sz="6" w:space="0" w:color="auto"/>
              <w:left w:val="single" w:sz="6" w:space="0" w:color="auto"/>
              <w:bottom w:val="single" w:sz="6" w:space="0" w:color="auto"/>
              <w:right w:val="single" w:sz="6" w:space="0" w:color="auto"/>
            </w:tcBorders>
            <w:hideMark/>
          </w:tcPr>
          <w:p w:rsidR="0051730D" w:rsidRDefault="0051730D" w:rsidP="0051730D">
            <w:pPr>
              <w:ind w:right="-11"/>
              <w:rPr>
                <w:b/>
              </w:rPr>
            </w:pPr>
            <w:r>
              <w:t xml:space="preserve">w sposób ciągły </w:t>
            </w:r>
            <w:proofErr w:type="spellStart"/>
            <w:r>
              <w:t>planografem</w:t>
            </w:r>
            <w:proofErr w:type="spellEnd"/>
            <w:r>
              <w:t xml:space="preserve"> albo co        20 m łatą na każdym pasie ruchu</w:t>
            </w:r>
          </w:p>
        </w:tc>
      </w:tr>
      <w:tr w:rsidR="0051730D" w:rsidTr="0051730D">
        <w:tc>
          <w:tcPr>
            <w:tcW w:w="790"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4"/>
              <w:jc w:val="center"/>
              <w:rPr>
                <w:b/>
              </w:rPr>
            </w:pPr>
            <w:r>
              <w:t>3</w:t>
            </w:r>
          </w:p>
        </w:tc>
        <w:tc>
          <w:tcPr>
            <w:tcW w:w="3391"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4"/>
              <w:rPr>
                <w:b/>
              </w:rPr>
            </w:pPr>
            <w:r>
              <w:t>Równość poprzeczna</w:t>
            </w:r>
          </w:p>
        </w:tc>
        <w:tc>
          <w:tcPr>
            <w:tcW w:w="3402"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4"/>
              <w:rPr>
                <w:b/>
              </w:rPr>
            </w:pPr>
            <w:r>
              <w:t>10 razy na 1 km</w:t>
            </w:r>
          </w:p>
        </w:tc>
      </w:tr>
      <w:tr w:rsidR="0051730D" w:rsidTr="0051730D">
        <w:tc>
          <w:tcPr>
            <w:tcW w:w="790"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4"/>
              <w:jc w:val="center"/>
              <w:rPr>
                <w:b/>
              </w:rPr>
            </w:pPr>
            <w:r>
              <w:t>4</w:t>
            </w:r>
          </w:p>
        </w:tc>
        <w:tc>
          <w:tcPr>
            <w:tcW w:w="3391"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4"/>
              <w:rPr>
                <w:b/>
              </w:rPr>
            </w:pPr>
            <w:r>
              <w:t>Spadki poprzeczne*</w:t>
            </w:r>
            <w:r>
              <w:rPr>
                <w:vertAlign w:val="superscript"/>
              </w:rPr>
              <w:t>)</w:t>
            </w:r>
          </w:p>
        </w:tc>
        <w:tc>
          <w:tcPr>
            <w:tcW w:w="3402" w:type="dxa"/>
            <w:tcBorders>
              <w:top w:val="single" w:sz="6" w:space="0" w:color="auto"/>
              <w:left w:val="single" w:sz="6" w:space="0" w:color="auto"/>
              <w:bottom w:val="nil"/>
              <w:right w:val="single" w:sz="6" w:space="0" w:color="auto"/>
            </w:tcBorders>
            <w:hideMark/>
          </w:tcPr>
          <w:p w:rsidR="0051730D" w:rsidRDefault="0051730D" w:rsidP="0051730D">
            <w:pPr>
              <w:spacing w:before="60" w:after="60"/>
              <w:ind w:right="-14"/>
              <w:rPr>
                <w:b/>
              </w:rPr>
            </w:pPr>
            <w:r>
              <w:t>10 razy na 1 km</w:t>
            </w:r>
          </w:p>
        </w:tc>
      </w:tr>
      <w:tr w:rsidR="0051730D" w:rsidTr="0051730D">
        <w:tc>
          <w:tcPr>
            <w:tcW w:w="790"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1"/>
              <w:jc w:val="center"/>
              <w:rPr>
                <w:b/>
              </w:rPr>
            </w:pPr>
            <w:r>
              <w:t>5</w:t>
            </w:r>
          </w:p>
        </w:tc>
        <w:tc>
          <w:tcPr>
            <w:tcW w:w="3391"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1"/>
              <w:rPr>
                <w:b/>
              </w:rPr>
            </w:pPr>
            <w:r>
              <w:t>Rzędne wysokościowe</w:t>
            </w:r>
          </w:p>
        </w:tc>
        <w:tc>
          <w:tcPr>
            <w:tcW w:w="3402" w:type="dxa"/>
            <w:tcBorders>
              <w:top w:val="single" w:sz="6" w:space="0" w:color="auto"/>
              <w:left w:val="single" w:sz="6" w:space="0" w:color="auto"/>
              <w:bottom w:val="nil"/>
              <w:right w:val="single" w:sz="6" w:space="0" w:color="auto"/>
            </w:tcBorders>
            <w:hideMark/>
          </w:tcPr>
          <w:p w:rsidR="0051730D" w:rsidRDefault="0051730D" w:rsidP="0051730D">
            <w:pPr>
              <w:spacing w:before="120"/>
              <w:ind w:right="-11"/>
            </w:pPr>
            <w:r>
              <w:t>co 100 m</w:t>
            </w:r>
          </w:p>
        </w:tc>
      </w:tr>
      <w:tr w:rsidR="0051730D" w:rsidTr="0051730D">
        <w:tc>
          <w:tcPr>
            <w:tcW w:w="790"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4"/>
              <w:jc w:val="center"/>
              <w:rPr>
                <w:b/>
              </w:rPr>
            </w:pPr>
            <w:r>
              <w:t>6</w:t>
            </w:r>
          </w:p>
        </w:tc>
        <w:tc>
          <w:tcPr>
            <w:tcW w:w="3391"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before="60" w:after="60"/>
              <w:ind w:right="-14"/>
              <w:rPr>
                <w:b/>
              </w:rPr>
            </w:pPr>
            <w:r>
              <w:t>Ukształtowanie osi w planie*</w:t>
            </w:r>
            <w:r>
              <w:rPr>
                <w:vertAlign w:val="superscript"/>
              </w:rPr>
              <w:t>)</w:t>
            </w:r>
          </w:p>
        </w:tc>
        <w:tc>
          <w:tcPr>
            <w:tcW w:w="3402" w:type="dxa"/>
            <w:tcBorders>
              <w:top w:val="nil"/>
              <w:left w:val="single" w:sz="6" w:space="0" w:color="auto"/>
              <w:bottom w:val="single" w:sz="6" w:space="0" w:color="auto"/>
              <w:right w:val="single" w:sz="6" w:space="0" w:color="auto"/>
            </w:tcBorders>
          </w:tcPr>
          <w:p w:rsidR="0051730D" w:rsidRDefault="0051730D" w:rsidP="0051730D">
            <w:pPr>
              <w:spacing w:after="60"/>
              <w:ind w:right="-11"/>
              <w:rPr>
                <w:b/>
              </w:rPr>
            </w:pPr>
          </w:p>
        </w:tc>
      </w:tr>
      <w:tr w:rsidR="0051730D" w:rsidTr="0051730D">
        <w:tc>
          <w:tcPr>
            <w:tcW w:w="790"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after="60"/>
              <w:ind w:right="-11"/>
              <w:jc w:val="center"/>
              <w:rPr>
                <w:b/>
              </w:rPr>
            </w:pPr>
            <w:r>
              <w:t>7</w:t>
            </w:r>
          </w:p>
        </w:tc>
        <w:tc>
          <w:tcPr>
            <w:tcW w:w="3391" w:type="dxa"/>
            <w:tcBorders>
              <w:top w:val="single" w:sz="6" w:space="0" w:color="auto"/>
              <w:left w:val="single" w:sz="6" w:space="0" w:color="auto"/>
              <w:bottom w:val="single" w:sz="6" w:space="0" w:color="auto"/>
              <w:right w:val="single" w:sz="6" w:space="0" w:color="auto"/>
            </w:tcBorders>
            <w:hideMark/>
          </w:tcPr>
          <w:p w:rsidR="0051730D" w:rsidRDefault="0051730D" w:rsidP="0051730D">
            <w:pPr>
              <w:spacing w:after="60"/>
              <w:ind w:right="-11"/>
              <w:rPr>
                <w:b/>
              </w:rPr>
            </w:pPr>
            <w:r>
              <w:t>Grubość podbudowy i ulepszonego podłoża</w:t>
            </w:r>
          </w:p>
        </w:tc>
        <w:tc>
          <w:tcPr>
            <w:tcW w:w="3402" w:type="dxa"/>
            <w:tcBorders>
              <w:top w:val="single" w:sz="6" w:space="0" w:color="auto"/>
              <w:left w:val="single" w:sz="6" w:space="0" w:color="auto"/>
              <w:bottom w:val="single" w:sz="6" w:space="0" w:color="auto"/>
              <w:right w:val="single" w:sz="6" w:space="0" w:color="auto"/>
            </w:tcBorders>
            <w:hideMark/>
          </w:tcPr>
          <w:p w:rsidR="0051730D" w:rsidRDefault="0051730D" w:rsidP="0051730D">
            <w:pPr>
              <w:ind w:right="-11"/>
              <w:rPr>
                <w:b/>
              </w:rPr>
            </w:pPr>
            <w:r>
              <w:t>w 3 punktach, lecz nie rzadziej niż raz na 2000 m</w:t>
            </w:r>
            <w:r>
              <w:rPr>
                <w:vertAlign w:val="superscript"/>
              </w:rPr>
              <w:t>2</w:t>
            </w:r>
          </w:p>
        </w:tc>
      </w:tr>
    </w:tbl>
    <w:p w:rsidR="0051730D" w:rsidRDefault="0051730D" w:rsidP="0051730D">
      <w:pPr>
        <w:spacing w:before="120"/>
        <w:ind w:left="284" w:right="-11" w:hanging="284"/>
      </w:pPr>
      <w:r>
        <w:lastRenderedPageBreak/>
        <w:t>*) Dodatkowe pomiary spadków poprzecznych i ukształtowania osi w planie należy wykonać w punktach głównych łuków poziomych.</w:t>
      </w:r>
    </w:p>
    <w:p w:rsidR="0051730D" w:rsidRDefault="0051730D" w:rsidP="0051730D">
      <w:pPr>
        <w:keepNext/>
        <w:spacing w:before="120" w:after="120"/>
        <w:ind w:right="-11"/>
      </w:pPr>
      <w:r>
        <w:rPr>
          <w:b/>
        </w:rPr>
        <w:t xml:space="preserve">6.4.2. </w:t>
      </w:r>
      <w:r>
        <w:t>Szerokość podbudowy i ulepszonego podłoża</w:t>
      </w:r>
    </w:p>
    <w:p w:rsidR="0051730D" w:rsidRDefault="0051730D" w:rsidP="0051730D">
      <w:pPr>
        <w:ind w:right="-11"/>
      </w:pPr>
      <w:r>
        <w:tab/>
        <w:t>Szerokość podbudowy i ulepszonego podłoża nie może różnić się od szerokości projektowanej o więcej niż +10 cm, -5 cm.</w:t>
      </w:r>
    </w:p>
    <w:p w:rsidR="0051730D" w:rsidRDefault="0051730D" w:rsidP="0051730D">
      <w:pPr>
        <w:ind w:right="-11"/>
      </w:pPr>
      <w:r>
        <w:tab/>
        <w:t>Na jezdniach bez krawężników szerokość podbudowy powinna być większa od szerokości warstwy wyżej leżącej o co najmniej 25 cm lub o wartość wskazaną w dokumentacji projektowej.</w:t>
      </w:r>
    </w:p>
    <w:p w:rsidR="0051730D" w:rsidRDefault="0051730D" w:rsidP="0051730D">
      <w:pPr>
        <w:spacing w:before="120" w:after="120"/>
        <w:ind w:right="-11"/>
      </w:pPr>
      <w:r>
        <w:rPr>
          <w:b/>
        </w:rPr>
        <w:t xml:space="preserve">6.4.3. </w:t>
      </w:r>
      <w:r>
        <w:t>Równość podbudowy i ulepszonego podłoża</w:t>
      </w:r>
    </w:p>
    <w:p w:rsidR="0051730D" w:rsidRDefault="0051730D" w:rsidP="0051730D">
      <w:pPr>
        <w:ind w:right="-11"/>
      </w:pPr>
      <w:r>
        <w:tab/>
        <w:t xml:space="preserve">Nierówności podłużne podbudowy i ulepszonego podłoża należy mierzyć                  4-metrową łatą lub </w:t>
      </w:r>
      <w:proofErr w:type="spellStart"/>
      <w:r>
        <w:t>planografem</w:t>
      </w:r>
      <w:proofErr w:type="spellEnd"/>
      <w:r>
        <w:t xml:space="preserve">, zgodnie z normą BN-68/8931-04 [22]. </w:t>
      </w:r>
    </w:p>
    <w:p w:rsidR="0051730D" w:rsidRDefault="0051730D" w:rsidP="0051730D">
      <w:pPr>
        <w:ind w:right="-11"/>
      </w:pPr>
      <w:r>
        <w:tab/>
        <w:t xml:space="preserve">Nierówności poprzeczne podbudowy i ulepszonego podłoża należy mierzyć               4-metrową łatą. </w:t>
      </w:r>
    </w:p>
    <w:p w:rsidR="0051730D" w:rsidRDefault="0051730D" w:rsidP="0051730D">
      <w:pPr>
        <w:ind w:right="-11"/>
      </w:pPr>
      <w:r>
        <w:tab/>
        <w:t>Nierówności nie powinny  przekraczać:</w:t>
      </w:r>
    </w:p>
    <w:p w:rsidR="0051730D" w:rsidRDefault="0051730D" w:rsidP="0051730D">
      <w:pPr>
        <w:ind w:right="-11"/>
      </w:pPr>
      <w:r>
        <w:t>-  12 mm dla podbudowy zasadniczej,</w:t>
      </w:r>
    </w:p>
    <w:p w:rsidR="0051730D" w:rsidRDefault="0051730D" w:rsidP="0051730D">
      <w:pPr>
        <w:ind w:right="-11"/>
      </w:pPr>
      <w:r>
        <w:t>-  15 mm dla podbudowy pomocniczej i ulepszonego podłoża.</w:t>
      </w:r>
    </w:p>
    <w:p w:rsidR="0051730D" w:rsidRDefault="0051730D" w:rsidP="0051730D">
      <w:pPr>
        <w:spacing w:before="120" w:after="120"/>
        <w:ind w:right="-11"/>
      </w:pPr>
      <w:r>
        <w:rPr>
          <w:b/>
        </w:rPr>
        <w:t xml:space="preserve">6.4.4. </w:t>
      </w:r>
      <w:r>
        <w:t>Spadki poprzeczne podbudowy i ulepszonego podłoża</w:t>
      </w:r>
    </w:p>
    <w:p w:rsidR="0051730D" w:rsidRDefault="0051730D" w:rsidP="0051730D">
      <w:pPr>
        <w:ind w:right="-11"/>
      </w:pPr>
      <w:r>
        <w:tab/>
        <w:t xml:space="preserve">Spadki poprzeczne podbudowy i ulepszonego podłoża powinny być zgodne z dokumentacją projektową z tolerancją </w:t>
      </w:r>
      <w:r>
        <w:sym w:font="Symbol" w:char="F0B1"/>
      </w:r>
      <w:r>
        <w:t xml:space="preserve"> 0,5 %.</w:t>
      </w:r>
    </w:p>
    <w:p w:rsidR="0051730D" w:rsidRDefault="0051730D" w:rsidP="0051730D">
      <w:pPr>
        <w:spacing w:before="120" w:after="120"/>
        <w:ind w:right="-11"/>
      </w:pPr>
      <w:r>
        <w:rPr>
          <w:b/>
        </w:rPr>
        <w:t xml:space="preserve">6.4.5. </w:t>
      </w:r>
      <w:r>
        <w:t>Rzędne wysokościowe podbudowy i ulepszonego podłoża</w:t>
      </w:r>
    </w:p>
    <w:p w:rsidR="0051730D" w:rsidRDefault="0051730D" w:rsidP="0051730D">
      <w:pPr>
        <w:ind w:right="-11"/>
      </w:pPr>
      <w:r>
        <w:tab/>
        <w:t>Różnice pomiędzy rzędnymi wykonanej podbudowy i ulepszonego podłoża                 a rzędnymi projektowanymi nie powinny przekraczać + 1 cm, -2 cm.</w:t>
      </w:r>
    </w:p>
    <w:p w:rsidR="0051730D" w:rsidRDefault="0051730D" w:rsidP="0051730D">
      <w:pPr>
        <w:spacing w:before="120" w:after="120"/>
        <w:ind w:right="-11"/>
      </w:pPr>
      <w:r>
        <w:rPr>
          <w:b/>
        </w:rPr>
        <w:t xml:space="preserve">6.4.6. </w:t>
      </w:r>
      <w:r>
        <w:t>Ukształtowanie osi podbudowy i ulepszonego podłoża</w:t>
      </w:r>
    </w:p>
    <w:p w:rsidR="0051730D" w:rsidRDefault="0051730D" w:rsidP="0051730D">
      <w:pPr>
        <w:ind w:right="-11"/>
      </w:pPr>
      <w:r>
        <w:tab/>
        <w:t xml:space="preserve">Oś podbudowy i ulepszonego podłoża w planie nie może być przesunięta w stosunku do osi projektowanej o więcej niż </w:t>
      </w:r>
      <w:r>
        <w:sym w:font="Symbol" w:char="F0B1"/>
      </w:r>
      <w:r>
        <w:t xml:space="preserve"> 5 cm.</w:t>
      </w:r>
    </w:p>
    <w:p w:rsidR="0051730D" w:rsidRDefault="0051730D" w:rsidP="0051730D">
      <w:pPr>
        <w:spacing w:before="120" w:after="120"/>
        <w:ind w:right="-11"/>
      </w:pPr>
      <w:r>
        <w:rPr>
          <w:b/>
        </w:rPr>
        <w:t xml:space="preserve">6.4.7. </w:t>
      </w:r>
      <w:r>
        <w:t>Grubość podbudowy i ulepszonego podłoża</w:t>
      </w:r>
    </w:p>
    <w:p w:rsidR="0051730D" w:rsidRDefault="0051730D" w:rsidP="0051730D">
      <w:pPr>
        <w:ind w:right="-11"/>
      </w:pPr>
      <w:r>
        <w:tab/>
        <w:t>Grubość podbudowy i ulepszonego podłoża nie może różnić się od grubości projektowanej o więcej niż:</w:t>
      </w:r>
    </w:p>
    <w:p w:rsidR="0051730D" w:rsidRDefault="0051730D" w:rsidP="0051730D">
      <w:pPr>
        <w:ind w:right="-11"/>
      </w:pPr>
      <w:r>
        <w:t xml:space="preserve">- dla podbudowy zasadniczej  </w:t>
      </w:r>
      <w:r>
        <w:sym w:font="Symbol" w:char="F0B1"/>
      </w:r>
      <w:r>
        <w:t xml:space="preserve"> 10%,</w:t>
      </w:r>
    </w:p>
    <w:p w:rsidR="0051730D" w:rsidRDefault="0051730D" w:rsidP="0051730D">
      <w:pPr>
        <w:pStyle w:val="tekstost"/>
      </w:pPr>
      <w:r>
        <w:t>- dla podbudowy pomocniczej i ulepszonego podłoża  +10%, -15%.</w:t>
      </w:r>
    </w:p>
    <w:p w:rsidR="0051730D" w:rsidRDefault="0051730D" w:rsidP="0051730D">
      <w:pPr>
        <w:pStyle w:val="Nagwek2"/>
        <w:spacing w:after="0"/>
      </w:pPr>
      <w:r>
        <w:t xml:space="preserve">6.5. Zasady postępowania z wadliwie wykonanymi odcinkami podbudowy </w:t>
      </w:r>
    </w:p>
    <w:p w:rsidR="0051730D" w:rsidRDefault="0051730D" w:rsidP="0051730D">
      <w:pPr>
        <w:spacing w:after="120"/>
        <w:rPr>
          <w:b/>
        </w:rPr>
      </w:pPr>
      <w:r>
        <w:t xml:space="preserve">        </w:t>
      </w:r>
      <w:r>
        <w:rPr>
          <w:b/>
        </w:rPr>
        <w:t>i ulepszonego podłoża</w:t>
      </w:r>
    </w:p>
    <w:p w:rsidR="0051730D" w:rsidRDefault="0051730D" w:rsidP="0051730D">
      <w:pPr>
        <w:spacing w:after="120"/>
      </w:pPr>
      <w:r>
        <w:rPr>
          <w:b/>
        </w:rPr>
        <w:t xml:space="preserve">6.5.1. </w:t>
      </w:r>
      <w:r>
        <w:t>Niewłaściwe cechy geometryczne podbudowy i ulepszonego podłoża</w:t>
      </w:r>
    </w:p>
    <w:p w:rsidR="0051730D" w:rsidRDefault="0051730D" w:rsidP="0051730D">
      <w:r>
        <w:tab/>
        <w:t>Jeżeli po wykonaniu badań na stwardniałej podbudowie lub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rsidR="0051730D" w:rsidRDefault="0051730D" w:rsidP="0051730D">
      <w:r>
        <w:tab/>
        <w:t>Jeżeli szerokość podbudowy lub ulepszonego podłoża jest mniejsza od szerokości projektowanej o więcej niż 5 cm i nie zapewnia podparcia warstwom wyżej leżącym, to Wykonawca powinien poszerzyć podbudowę lub ulepszone podłoże przez zerwanie warstwy na pełną grubość do połowy szerokości pasa ruchu i wbudowanie nowej mieszanki.</w:t>
      </w:r>
    </w:p>
    <w:p w:rsidR="0051730D" w:rsidRDefault="0051730D" w:rsidP="0051730D">
      <w:r>
        <w:tab/>
        <w:t>Nie dopuszcza się mieszania składników mieszanki na miejscu. Roboty te Wykonawca wykona na własny koszt.</w:t>
      </w:r>
    </w:p>
    <w:p w:rsidR="0051730D" w:rsidRDefault="0051730D" w:rsidP="0051730D">
      <w:pPr>
        <w:spacing w:before="120"/>
      </w:pPr>
      <w:r>
        <w:rPr>
          <w:b/>
        </w:rPr>
        <w:t xml:space="preserve">6.5.2. </w:t>
      </w:r>
      <w:r>
        <w:t>Niewłaściwa grubość podbudowy i ulepszonego podłoża</w:t>
      </w:r>
    </w:p>
    <w:p w:rsidR="0051730D" w:rsidRDefault="0051730D" w:rsidP="0051730D">
      <w:pPr>
        <w:spacing w:before="120"/>
      </w:pPr>
      <w:r>
        <w:tab/>
        <w:t>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rsidR="0051730D" w:rsidRDefault="0051730D" w:rsidP="0051730D">
      <w:pPr>
        <w:spacing w:before="120"/>
      </w:pPr>
      <w:r>
        <w:rPr>
          <w:b/>
        </w:rPr>
        <w:t xml:space="preserve">6.5.3. </w:t>
      </w:r>
      <w:r>
        <w:t>Niewłaściwa wytrzymałość podbudowy i ulepszonego podłoża</w:t>
      </w:r>
    </w:p>
    <w:p w:rsidR="0051730D" w:rsidRDefault="0051730D" w:rsidP="0051730D">
      <w:pPr>
        <w:spacing w:before="120"/>
      </w:pPr>
      <w:r>
        <w:tab/>
        <w:t>Jeżeli wytrzymałość średnia próbek będzie mniejsza od dolnej granicy określonej w OST dla poszczególnych rodzajów podbudów i ulepszonego podłoża, to warstwa wadliwie wykonana zostanie zerwana i wymieniona na nową o odpowiednich właściwościach na koszt Wykonawcy.</w:t>
      </w:r>
    </w:p>
    <w:p w:rsidR="0051730D" w:rsidRDefault="0051730D" w:rsidP="0051730D">
      <w:pPr>
        <w:pStyle w:val="Nagwek1"/>
      </w:pPr>
      <w:bookmarkStart w:id="199" w:name="_Toc423845944"/>
      <w:bookmarkStart w:id="200" w:name="_Toc418394443"/>
      <w:r>
        <w:lastRenderedPageBreak/>
        <w:t>7. OBMIAR ROBÓT</w:t>
      </w:r>
      <w:bookmarkEnd w:id="199"/>
      <w:bookmarkEnd w:id="200"/>
    </w:p>
    <w:p w:rsidR="0051730D" w:rsidRDefault="0051730D" w:rsidP="0051730D">
      <w:pPr>
        <w:pStyle w:val="Nagwek2"/>
      </w:pPr>
      <w:r>
        <w:t>7.1. Ogólne zasady obmiaru robót</w:t>
      </w:r>
    </w:p>
    <w:p w:rsidR="0051730D" w:rsidRDefault="0051730D" w:rsidP="0051730D">
      <w:pPr>
        <w:ind w:right="-11"/>
      </w:pPr>
      <w:r>
        <w:tab/>
        <w:t>Ogólne zasady obmiaru robót podano w SST D-00.00.00 „Wymagania ogólne” pkt 7.</w:t>
      </w:r>
    </w:p>
    <w:p w:rsidR="0051730D" w:rsidRDefault="0051730D" w:rsidP="0051730D">
      <w:pPr>
        <w:pStyle w:val="Nagwek2"/>
      </w:pPr>
      <w:r>
        <w:t>7.2. Jednostka obmiarowa</w:t>
      </w:r>
    </w:p>
    <w:p w:rsidR="0051730D" w:rsidRDefault="0051730D" w:rsidP="0051730D">
      <w:pPr>
        <w:ind w:right="-11"/>
      </w:pPr>
      <w:r>
        <w:tab/>
        <w:t>Jednostką obmiarową jest  m</w:t>
      </w:r>
      <w:r>
        <w:rPr>
          <w:vertAlign w:val="superscript"/>
        </w:rPr>
        <w:t>2</w:t>
      </w:r>
      <w:r>
        <w:t xml:space="preserve"> (metr kwadratowy) podbudowy  i ulepszonego podłoża z gruntów lub kruszyw stabilizowanych spoiwami hydraulicznymi.</w:t>
      </w:r>
    </w:p>
    <w:p w:rsidR="0051730D" w:rsidRDefault="0051730D" w:rsidP="0051730D">
      <w:pPr>
        <w:pStyle w:val="Nagwek1"/>
      </w:pPr>
      <w:bookmarkStart w:id="201" w:name="_Toc423845945"/>
      <w:bookmarkStart w:id="202" w:name="_Toc418394444"/>
      <w:r>
        <w:t>8. ODBIÓR ROBÓT</w:t>
      </w:r>
      <w:bookmarkEnd w:id="201"/>
      <w:bookmarkEnd w:id="202"/>
    </w:p>
    <w:p w:rsidR="0051730D" w:rsidRDefault="0051730D" w:rsidP="0051730D">
      <w:pPr>
        <w:ind w:right="-11"/>
      </w:pPr>
      <w:r>
        <w:tab/>
        <w:t>Ogólne zasady odbioru robót podano w SST D-00.00.00 „Wymagania ogólne” pkt 8.</w:t>
      </w:r>
    </w:p>
    <w:p w:rsidR="0051730D" w:rsidRDefault="0051730D" w:rsidP="0051730D">
      <w:pPr>
        <w:ind w:right="-11"/>
      </w:pPr>
      <w:r>
        <w:tab/>
        <w:t>Roboty uznaje się za zgodne z dokumentacją projektową, SST i wymaganiami Inżyniera, jeżeli wszystkie pomiary i badania z zachowaniem tolerancji wg pkt 6 dały wyniki pozytywne.</w:t>
      </w:r>
    </w:p>
    <w:p w:rsidR="0051730D" w:rsidRDefault="0051730D" w:rsidP="0051730D">
      <w:pPr>
        <w:pStyle w:val="Nagwek1"/>
      </w:pPr>
      <w:bookmarkStart w:id="203" w:name="_Toc423845946"/>
      <w:bookmarkStart w:id="204" w:name="_Toc418394445"/>
      <w:r>
        <w:t>9. PODSTAWA PŁATNOŚCI</w:t>
      </w:r>
      <w:bookmarkEnd w:id="203"/>
      <w:bookmarkEnd w:id="204"/>
    </w:p>
    <w:p w:rsidR="0051730D" w:rsidRDefault="0051730D" w:rsidP="0051730D">
      <w:pPr>
        <w:pStyle w:val="Nagwek2"/>
      </w:pPr>
      <w:r>
        <w:t>9.1. Ogólne ustalenia dotyczące podstawy płatności</w:t>
      </w:r>
    </w:p>
    <w:p w:rsidR="0051730D" w:rsidRDefault="0051730D" w:rsidP="0051730D">
      <w:pPr>
        <w:ind w:right="-11"/>
      </w:pPr>
      <w:r>
        <w:rPr>
          <w:b/>
        </w:rPr>
        <w:tab/>
      </w:r>
      <w:r>
        <w:t>Ogólne ustalenia dotyczące podstawy płatności podano w SST D-00.00.00 „Wymagania ogólne” pkt 9.</w:t>
      </w:r>
    </w:p>
    <w:p w:rsidR="0051730D" w:rsidRDefault="0051730D" w:rsidP="0051730D">
      <w:pPr>
        <w:pStyle w:val="Nagwek2"/>
      </w:pPr>
      <w:r>
        <w:t>9.2. Cena jednostki obmiarowej</w:t>
      </w:r>
    </w:p>
    <w:p w:rsidR="0051730D" w:rsidRDefault="0051730D" w:rsidP="0051730D">
      <w:pPr>
        <w:ind w:right="-11"/>
      </w:pPr>
      <w:r>
        <w:tab/>
        <w:t>Cena wykonania 1 m</w:t>
      </w:r>
      <w:r>
        <w:rPr>
          <w:vertAlign w:val="superscript"/>
        </w:rPr>
        <w:t>2</w:t>
      </w:r>
      <w:r>
        <w:t xml:space="preserve"> podbudowy i ulepszonego podłoża z gruntów lub kruszyw stabilizowanych spoiwami hydraulicznymi obejmuje:</w:t>
      </w:r>
    </w:p>
    <w:p w:rsidR="0051730D" w:rsidRDefault="0051730D" w:rsidP="002122BD">
      <w:pPr>
        <w:numPr>
          <w:ilvl w:val="0"/>
          <w:numId w:val="30"/>
        </w:numPr>
        <w:overflowPunct w:val="0"/>
        <w:autoSpaceDE w:val="0"/>
        <w:autoSpaceDN w:val="0"/>
        <w:adjustRightInd w:val="0"/>
        <w:ind w:right="-11"/>
        <w:jc w:val="both"/>
      </w:pPr>
      <w:r>
        <w:t>w przypadku wytwarzania mieszanek kruszywowo-spoiwowych w mieszarkach:</w:t>
      </w:r>
    </w:p>
    <w:p w:rsidR="0051730D" w:rsidRDefault="0051730D" w:rsidP="0051730D">
      <w:pPr>
        <w:numPr>
          <w:ilvl w:val="0"/>
          <w:numId w:val="1"/>
        </w:numPr>
        <w:overflowPunct w:val="0"/>
        <w:autoSpaceDE w:val="0"/>
        <w:autoSpaceDN w:val="0"/>
        <w:adjustRightInd w:val="0"/>
        <w:ind w:right="-11"/>
        <w:jc w:val="both"/>
      </w:pPr>
      <w:r>
        <w:t>prace pomiarowe i roboty przygotowawcze,</w:t>
      </w:r>
    </w:p>
    <w:p w:rsidR="0051730D" w:rsidRDefault="0051730D" w:rsidP="0051730D">
      <w:pPr>
        <w:numPr>
          <w:ilvl w:val="0"/>
          <w:numId w:val="1"/>
        </w:numPr>
        <w:overflowPunct w:val="0"/>
        <w:autoSpaceDE w:val="0"/>
        <w:autoSpaceDN w:val="0"/>
        <w:adjustRightInd w:val="0"/>
        <w:ind w:right="-11"/>
        <w:jc w:val="both"/>
      </w:pPr>
      <w:r>
        <w:t>oznakowanie robót,</w:t>
      </w:r>
    </w:p>
    <w:p w:rsidR="0051730D" w:rsidRDefault="0051730D" w:rsidP="0051730D">
      <w:pPr>
        <w:numPr>
          <w:ilvl w:val="0"/>
          <w:numId w:val="1"/>
        </w:numPr>
        <w:overflowPunct w:val="0"/>
        <w:autoSpaceDE w:val="0"/>
        <w:autoSpaceDN w:val="0"/>
        <w:adjustRightInd w:val="0"/>
        <w:ind w:right="-11"/>
        <w:jc w:val="both"/>
      </w:pPr>
      <w:r>
        <w:t>dostarczenie materiałów, wyprodukowanie mieszanki i jej transport na miejsce wbudowania,</w:t>
      </w:r>
    </w:p>
    <w:p w:rsidR="0051730D" w:rsidRDefault="0051730D" w:rsidP="0051730D">
      <w:pPr>
        <w:numPr>
          <w:ilvl w:val="0"/>
          <w:numId w:val="1"/>
        </w:numPr>
        <w:overflowPunct w:val="0"/>
        <w:autoSpaceDE w:val="0"/>
        <w:autoSpaceDN w:val="0"/>
        <w:adjustRightInd w:val="0"/>
        <w:ind w:right="-11"/>
        <w:jc w:val="both"/>
      </w:pPr>
      <w:r>
        <w:t>dostarczenie, ustawienie, rozebranie i odwiezienie prowadnic oraz innych materiałów i urządzeń pomocniczych,</w:t>
      </w:r>
    </w:p>
    <w:p w:rsidR="0051730D" w:rsidRDefault="0051730D" w:rsidP="0051730D">
      <w:pPr>
        <w:numPr>
          <w:ilvl w:val="0"/>
          <w:numId w:val="1"/>
        </w:numPr>
        <w:overflowPunct w:val="0"/>
        <w:autoSpaceDE w:val="0"/>
        <w:autoSpaceDN w:val="0"/>
        <w:adjustRightInd w:val="0"/>
        <w:ind w:right="-11"/>
        <w:jc w:val="both"/>
      </w:pPr>
      <w:r>
        <w:t>rozłożenie i zagęszczenie mieszanki,</w:t>
      </w:r>
    </w:p>
    <w:p w:rsidR="0051730D" w:rsidRDefault="0051730D" w:rsidP="0051730D">
      <w:pPr>
        <w:numPr>
          <w:ilvl w:val="0"/>
          <w:numId w:val="1"/>
        </w:numPr>
        <w:overflowPunct w:val="0"/>
        <w:autoSpaceDE w:val="0"/>
        <w:autoSpaceDN w:val="0"/>
        <w:adjustRightInd w:val="0"/>
        <w:ind w:right="-11"/>
        <w:jc w:val="both"/>
      </w:pPr>
      <w:r>
        <w:t>pielęgnacja wykonanej warstwy</w:t>
      </w:r>
    </w:p>
    <w:p w:rsidR="0051730D" w:rsidRDefault="0051730D" w:rsidP="0051730D">
      <w:pPr>
        <w:numPr>
          <w:ilvl w:val="0"/>
          <w:numId w:val="1"/>
        </w:numPr>
        <w:overflowPunct w:val="0"/>
        <w:autoSpaceDE w:val="0"/>
        <w:autoSpaceDN w:val="0"/>
        <w:adjustRightInd w:val="0"/>
        <w:jc w:val="both"/>
      </w:pPr>
      <w:r>
        <w:t>przeprowadzenie pomiarów i badań laboratoryjnych, wymaganych w specyfikacji technicznej,</w:t>
      </w:r>
    </w:p>
    <w:p w:rsidR="0051730D" w:rsidRDefault="0051730D" w:rsidP="002122BD">
      <w:pPr>
        <w:numPr>
          <w:ilvl w:val="0"/>
          <w:numId w:val="30"/>
        </w:numPr>
        <w:overflowPunct w:val="0"/>
        <w:autoSpaceDE w:val="0"/>
        <w:autoSpaceDN w:val="0"/>
        <w:adjustRightInd w:val="0"/>
        <w:ind w:right="-11"/>
        <w:jc w:val="both"/>
      </w:pPr>
      <w:r>
        <w:t>w przypadku wytwarzania mieszanek gruntowo-spoiwowych na miejscu:</w:t>
      </w:r>
    </w:p>
    <w:p w:rsidR="0051730D" w:rsidRDefault="0051730D" w:rsidP="0051730D">
      <w:pPr>
        <w:numPr>
          <w:ilvl w:val="0"/>
          <w:numId w:val="1"/>
        </w:numPr>
        <w:overflowPunct w:val="0"/>
        <w:autoSpaceDE w:val="0"/>
        <w:autoSpaceDN w:val="0"/>
        <w:adjustRightInd w:val="0"/>
        <w:ind w:right="-11"/>
        <w:jc w:val="both"/>
      </w:pPr>
      <w:r>
        <w:t>prace pomiarowe i roboty przygotowawcze,</w:t>
      </w:r>
    </w:p>
    <w:p w:rsidR="0051730D" w:rsidRDefault="0051730D" w:rsidP="0051730D">
      <w:pPr>
        <w:numPr>
          <w:ilvl w:val="0"/>
          <w:numId w:val="1"/>
        </w:numPr>
        <w:overflowPunct w:val="0"/>
        <w:autoSpaceDE w:val="0"/>
        <w:autoSpaceDN w:val="0"/>
        <w:adjustRightInd w:val="0"/>
        <w:ind w:right="-11"/>
        <w:jc w:val="both"/>
      </w:pPr>
      <w:r>
        <w:t>oznakowanie robót,</w:t>
      </w:r>
    </w:p>
    <w:p w:rsidR="0051730D" w:rsidRDefault="0051730D" w:rsidP="0051730D">
      <w:pPr>
        <w:numPr>
          <w:ilvl w:val="0"/>
          <w:numId w:val="1"/>
        </w:numPr>
        <w:overflowPunct w:val="0"/>
        <w:autoSpaceDE w:val="0"/>
        <w:autoSpaceDN w:val="0"/>
        <w:adjustRightInd w:val="0"/>
        <w:ind w:right="-11"/>
        <w:jc w:val="both"/>
      </w:pPr>
      <w:r>
        <w:t>spulchnienie gruntu,</w:t>
      </w:r>
    </w:p>
    <w:p w:rsidR="0051730D" w:rsidRDefault="0051730D" w:rsidP="0051730D">
      <w:pPr>
        <w:numPr>
          <w:ilvl w:val="0"/>
          <w:numId w:val="1"/>
        </w:numPr>
        <w:overflowPunct w:val="0"/>
        <w:autoSpaceDE w:val="0"/>
        <w:autoSpaceDN w:val="0"/>
        <w:adjustRightInd w:val="0"/>
        <w:ind w:right="-11"/>
        <w:jc w:val="both"/>
      </w:pPr>
      <w:r>
        <w:t>dostarczenie, ustawienie, rozebranie i odwiezienie prowadnic oraz innych materiałów i urządzeń pomocniczych,</w:t>
      </w:r>
    </w:p>
    <w:p w:rsidR="0051730D" w:rsidRDefault="0051730D" w:rsidP="0051730D">
      <w:pPr>
        <w:numPr>
          <w:ilvl w:val="0"/>
          <w:numId w:val="1"/>
        </w:numPr>
        <w:overflowPunct w:val="0"/>
        <w:autoSpaceDE w:val="0"/>
        <w:autoSpaceDN w:val="0"/>
        <w:adjustRightInd w:val="0"/>
        <w:ind w:right="-11"/>
        <w:jc w:val="both"/>
      </w:pPr>
      <w:r>
        <w:t>dostarczenie i rozścielenie składników zgodnie z receptą laboratoryjną,</w:t>
      </w:r>
    </w:p>
    <w:p w:rsidR="0051730D" w:rsidRDefault="0051730D" w:rsidP="0051730D">
      <w:pPr>
        <w:numPr>
          <w:ilvl w:val="0"/>
          <w:numId w:val="1"/>
        </w:numPr>
        <w:overflowPunct w:val="0"/>
        <w:autoSpaceDE w:val="0"/>
        <w:autoSpaceDN w:val="0"/>
        <w:adjustRightInd w:val="0"/>
        <w:ind w:right="-11"/>
        <w:jc w:val="both"/>
      </w:pPr>
      <w:r>
        <w:t>wymieszanie gruntu rodzimego lub ulepszonego kruszywem ze spoiwem w korycie drogi,</w:t>
      </w:r>
    </w:p>
    <w:p w:rsidR="0051730D" w:rsidRDefault="0051730D" w:rsidP="0051730D">
      <w:pPr>
        <w:numPr>
          <w:ilvl w:val="0"/>
          <w:numId w:val="1"/>
        </w:numPr>
        <w:overflowPunct w:val="0"/>
        <w:autoSpaceDE w:val="0"/>
        <w:autoSpaceDN w:val="0"/>
        <w:adjustRightInd w:val="0"/>
        <w:ind w:right="-11"/>
        <w:jc w:val="both"/>
      </w:pPr>
      <w:r>
        <w:t>zagęszczenie warstwy,</w:t>
      </w:r>
    </w:p>
    <w:p w:rsidR="0051730D" w:rsidRDefault="0051730D" w:rsidP="0051730D">
      <w:pPr>
        <w:numPr>
          <w:ilvl w:val="0"/>
          <w:numId w:val="1"/>
        </w:numPr>
        <w:overflowPunct w:val="0"/>
        <w:autoSpaceDE w:val="0"/>
        <w:autoSpaceDN w:val="0"/>
        <w:adjustRightInd w:val="0"/>
        <w:ind w:right="-11"/>
        <w:jc w:val="both"/>
      </w:pPr>
      <w:r>
        <w:t>pielęgnacja wykonanej warstwy</w:t>
      </w:r>
    </w:p>
    <w:p w:rsidR="0051730D" w:rsidRDefault="0051730D" w:rsidP="0051730D">
      <w:pPr>
        <w:numPr>
          <w:ilvl w:val="0"/>
          <w:numId w:val="1"/>
        </w:numPr>
        <w:overflowPunct w:val="0"/>
        <w:autoSpaceDE w:val="0"/>
        <w:autoSpaceDN w:val="0"/>
        <w:adjustRightInd w:val="0"/>
        <w:jc w:val="both"/>
      </w:pPr>
      <w:r>
        <w:t>przeprowadzenie pomiarów i badań laboratoryjnych, wymaganych w specyfikacji technicznej,</w:t>
      </w:r>
    </w:p>
    <w:p w:rsidR="0051730D" w:rsidRDefault="0051730D" w:rsidP="0051730D">
      <w:pPr>
        <w:pStyle w:val="Nagwek1"/>
      </w:pPr>
      <w:bookmarkStart w:id="205" w:name="_Toc423845947"/>
      <w:r>
        <w:t>10. przepisy związane</w:t>
      </w:r>
      <w:bookmarkEnd w:id="205"/>
    </w:p>
    <w:p w:rsidR="0051730D" w:rsidRDefault="0051730D" w:rsidP="0051730D">
      <w:pPr>
        <w:pStyle w:val="Nagwek2"/>
      </w:pPr>
      <w:r>
        <w:t>10.1. Normy</w:t>
      </w:r>
    </w:p>
    <w:tbl>
      <w:tblPr>
        <w:tblW w:w="0" w:type="auto"/>
        <w:tblLayout w:type="fixed"/>
        <w:tblCellMar>
          <w:left w:w="70" w:type="dxa"/>
          <w:right w:w="70" w:type="dxa"/>
        </w:tblCellMar>
        <w:tblLook w:val="04A0" w:firstRow="1" w:lastRow="0" w:firstColumn="1" w:lastColumn="0" w:noHBand="0" w:noVBand="1"/>
      </w:tblPr>
      <w:tblGrid>
        <w:gridCol w:w="637"/>
        <w:gridCol w:w="1843"/>
        <w:gridCol w:w="5029"/>
      </w:tblGrid>
      <w:tr w:rsidR="0051730D" w:rsidTr="0051730D">
        <w:tc>
          <w:tcPr>
            <w:tcW w:w="637" w:type="dxa"/>
            <w:hideMark/>
          </w:tcPr>
          <w:p w:rsidR="0051730D" w:rsidRDefault="0051730D" w:rsidP="0051730D">
            <w:pPr>
              <w:jc w:val="center"/>
            </w:pPr>
            <w:r>
              <w:t xml:space="preserve">  1.</w:t>
            </w:r>
          </w:p>
        </w:tc>
        <w:tc>
          <w:tcPr>
            <w:tcW w:w="1843" w:type="dxa"/>
            <w:hideMark/>
          </w:tcPr>
          <w:p w:rsidR="0051730D" w:rsidRDefault="0051730D" w:rsidP="0051730D">
            <w:pPr>
              <w:rPr>
                <w:lang w:val="en-US"/>
              </w:rPr>
            </w:pPr>
            <w:r>
              <w:rPr>
                <w:lang w:val="en-US"/>
              </w:rPr>
              <w:t>PN-B-04300</w:t>
            </w:r>
          </w:p>
        </w:tc>
        <w:tc>
          <w:tcPr>
            <w:tcW w:w="5029" w:type="dxa"/>
            <w:hideMark/>
          </w:tcPr>
          <w:p w:rsidR="0051730D" w:rsidRDefault="0051730D" w:rsidP="0051730D">
            <w:r w:rsidRPr="002A0D1D">
              <w:t xml:space="preserve">Cement. </w:t>
            </w:r>
            <w:r>
              <w:t>Metody badań. Oznaczanie cech fizycznych</w:t>
            </w:r>
          </w:p>
        </w:tc>
      </w:tr>
      <w:tr w:rsidR="0051730D" w:rsidTr="0051730D">
        <w:tc>
          <w:tcPr>
            <w:tcW w:w="637" w:type="dxa"/>
            <w:hideMark/>
          </w:tcPr>
          <w:p w:rsidR="0051730D" w:rsidRDefault="0051730D" w:rsidP="0051730D">
            <w:pPr>
              <w:jc w:val="center"/>
            </w:pPr>
            <w:r>
              <w:t xml:space="preserve">  2.</w:t>
            </w:r>
          </w:p>
        </w:tc>
        <w:tc>
          <w:tcPr>
            <w:tcW w:w="1843" w:type="dxa"/>
            <w:hideMark/>
          </w:tcPr>
          <w:p w:rsidR="0051730D" w:rsidRDefault="0051730D" w:rsidP="0051730D">
            <w:r>
              <w:t>PN-B-04481</w:t>
            </w:r>
          </w:p>
        </w:tc>
        <w:tc>
          <w:tcPr>
            <w:tcW w:w="5029" w:type="dxa"/>
            <w:hideMark/>
          </w:tcPr>
          <w:p w:rsidR="0051730D" w:rsidRDefault="0051730D" w:rsidP="0051730D">
            <w:r>
              <w:t>Grunty budowlane. Badania próbek gruntu</w:t>
            </w:r>
          </w:p>
        </w:tc>
      </w:tr>
      <w:tr w:rsidR="0051730D" w:rsidTr="0051730D">
        <w:tc>
          <w:tcPr>
            <w:tcW w:w="637" w:type="dxa"/>
            <w:hideMark/>
          </w:tcPr>
          <w:p w:rsidR="0051730D" w:rsidRDefault="0051730D" w:rsidP="0051730D">
            <w:pPr>
              <w:jc w:val="center"/>
            </w:pPr>
            <w:r>
              <w:t xml:space="preserve">  3.</w:t>
            </w:r>
          </w:p>
        </w:tc>
        <w:tc>
          <w:tcPr>
            <w:tcW w:w="1843" w:type="dxa"/>
            <w:hideMark/>
          </w:tcPr>
          <w:p w:rsidR="0051730D" w:rsidRDefault="0051730D" w:rsidP="0051730D">
            <w:r>
              <w:t>PN-B-06714-12</w:t>
            </w:r>
          </w:p>
        </w:tc>
        <w:tc>
          <w:tcPr>
            <w:tcW w:w="5029" w:type="dxa"/>
            <w:hideMark/>
          </w:tcPr>
          <w:p w:rsidR="0051730D" w:rsidRDefault="0051730D" w:rsidP="0051730D">
            <w:r>
              <w:t>Kruszywa mineralne. Badania. Oznaczanie zawartości zanieczyszczeń obcych</w:t>
            </w:r>
          </w:p>
        </w:tc>
      </w:tr>
    </w:tbl>
    <w:p w:rsidR="0051730D" w:rsidRDefault="0051730D" w:rsidP="0051730D"/>
    <w:tbl>
      <w:tblPr>
        <w:tblW w:w="0" w:type="auto"/>
        <w:tblLayout w:type="fixed"/>
        <w:tblCellMar>
          <w:left w:w="70" w:type="dxa"/>
          <w:right w:w="70" w:type="dxa"/>
        </w:tblCellMar>
        <w:tblLook w:val="04A0" w:firstRow="1" w:lastRow="0" w:firstColumn="1" w:lastColumn="0" w:noHBand="0" w:noVBand="1"/>
      </w:tblPr>
      <w:tblGrid>
        <w:gridCol w:w="637"/>
        <w:gridCol w:w="1843"/>
        <w:gridCol w:w="5029"/>
      </w:tblGrid>
      <w:tr w:rsidR="0051730D" w:rsidTr="0051730D">
        <w:tc>
          <w:tcPr>
            <w:tcW w:w="637" w:type="dxa"/>
            <w:hideMark/>
          </w:tcPr>
          <w:p w:rsidR="0051730D" w:rsidRDefault="0051730D" w:rsidP="0051730D">
            <w:pPr>
              <w:jc w:val="center"/>
            </w:pPr>
            <w:r>
              <w:t xml:space="preserve">  4.</w:t>
            </w:r>
          </w:p>
        </w:tc>
        <w:tc>
          <w:tcPr>
            <w:tcW w:w="1843" w:type="dxa"/>
            <w:hideMark/>
          </w:tcPr>
          <w:p w:rsidR="0051730D" w:rsidRDefault="0051730D" w:rsidP="0051730D">
            <w:r>
              <w:t>PN-B-06714-15</w:t>
            </w:r>
          </w:p>
        </w:tc>
        <w:tc>
          <w:tcPr>
            <w:tcW w:w="5029" w:type="dxa"/>
            <w:hideMark/>
          </w:tcPr>
          <w:p w:rsidR="0051730D" w:rsidRDefault="0051730D" w:rsidP="0051730D">
            <w:r>
              <w:t>Kruszywa mineralne. Badania. Oznaczanie składu ziarnowego</w:t>
            </w:r>
          </w:p>
        </w:tc>
      </w:tr>
      <w:tr w:rsidR="0051730D" w:rsidTr="0051730D">
        <w:tc>
          <w:tcPr>
            <w:tcW w:w="637" w:type="dxa"/>
            <w:hideMark/>
          </w:tcPr>
          <w:p w:rsidR="0051730D" w:rsidRDefault="0051730D" w:rsidP="0051730D">
            <w:pPr>
              <w:jc w:val="center"/>
            </w:pPr>
            <w:r>
              <w:t xml:space="preserve">  5.</w:t>
            </w:r>
          </w:p>
        </w:tc>
        <w:tc>
          <w:tcPr>
            <w:tcW w:w="1843" w:type="dxa"/>
            <w:hideMark/>
          </w:tcPr>
          <w:p w:rsidR="0051730D" w:rsidRDefault="0051730D" w:rsidP="0051730D">
            <w:r>
              <w:t>PN-B-06714-26</w:t>
            </w:r>
          </w:p>
        </w:tc>
        <w:tc>
          <w:tcPr>
            <w:tcW w:w="5029" w:type="dxa"/>
            <w:hideMark/>
          </w:tcPr>
          <w:p w:rsidR="0051730D" w:rsidRDefault="0051730D" w:rsidP="0051730D">
            <w:r>
              <w:t>Kruszywa mineralne. Badania. Oznaczanie zawartości zanieczyszczeń organicznych</w:t>
            </w:r>
          </w:p>
        </w:tc>
      </w:tr>
      <w:tr w:rsidR="0051730D" w:rsidTr="0051730D">
        <w:tc>
          <w:tcPr>
            <w:tcW w:w="637" w:type="dxa"/>
            <w:hideMark/>
          </w:tcPr>
          <w:p w:rsidR="0051730D" w:rsidRDefault="0051730D" w:rsidP="0051730D">
            <w:pPr>
              <w:jc w:val="center"/>
            </w:pPr>
            <w:r>
              <w:t xml:space="preserve">  6.</w:t>
            </w:r>
          </w:p>
        </w:tc>
        <w:tc>
          <w:tcPr>
            <w:tcW w:w="1843" w:type="dxa"/>
            <w:hideMark/>
          </w:tcPr>
          <w:p w:rsidR="0051730D" w:rsidRDefault="0051730D" w:rsidP="0051730D">
            <w:r>
              <w:t>PN-B-06714-28</w:t>
            </w:r>
          </w:p>
        </w:tc>
        <w:tc>
          <w:tcPr>
            <w:tcW w:w="5029" w:type="dxa"/>
            <w:hideMark/>
          </w:tcPr>
          <w:p w:rsidR="0051730D" w:rsidRDefault="0051730D" w:rsidP="0051730D">
            <w:r>
              <w:t>Kruszywa mineralne. Badania. Oznaczanie zawartości siarki metodą bromową</w:t>
            </w:r>
          </w:p>
        </w:tc>
      </w:tr>
      <w:tr w:rsidR="0051730D" w:rsidTr="0051730D">
        <w:tc>
          <w:tcPr>
            <w:tcW w:w="637" w:type="dxa"/>
            <w:hideMark/>
          </w:tcPr>
          <w:p w:rsidR="0051730D" w:rsidRDefault="0051730D" w:rsidP="0051730D">
            <w:pPr>
              <w:jc w:val="center"/>
            </w:pPr>
            <w:r>
              <w:t xml:space="preserve">  7.</w:t>
            </w:r>
          </w:p>
        </w:tc>
        <w:tc>
          <w:tcPr>
            <w:tcW w:w="1843" w:type="dxa"/>
            <w:hideMark/>
          </w:tcPr>
          <w:p w:rsidR="0051730D" w:rsidRDefault="0051730D" w:rsidP="0051730D">
            <w:r>
              <w:t>PN-B-06714-37</w:t>
            </w:r>
          </w:p>
        </w:tc>
        <w:tc>
          <w:tcPr>
            <w:tcW w:w="5029" w:type="dxa"/>
            <w:hideMark/>
          </w:tcPr>
          <w:p w:rsidR="0051730D" w:rsidRDefault="0051730D" w:rsidP="0051730D">
            <w:r>
              <w:t>Kruszywa mineralne. Badania. Oznaczanie rozpadu krzemianowego</w:t>
            </w:r>
          </w:p>
        </w:tc>
      </w:tr>
      <w:tr w:rsidR="0051730D" w:rsidTr="0051730D">
        <w:tc>
          <w:tcPr>
            <w:tcW w:w="637" w:type="dxa"/>
            <w:hideMark/>
          </w:tcPr>
          <w:p w:rsidR="0051730D" w:rsidRDefault="0051730D" w:rsidP="0051730D">
            <w:pPr>
              <w:jc w:val="center"/>
            </w:pPr>
            <w:r>
              <w:t xml:space="preserve">  8.</w:t>
            </w:r>
          </w:p>
        </w:tc>
        <w:tc>
          <w:tcPr>
            <w:tcW w:w="1843" w:type="dxa"/>
            <w:hideMark/>
          </w:tcPr>
          <w:p w:rsidR="0051730D" w:rsidRDefault="0051730D" w:rsidP="0051730D">
            <w:r>
              <w:t>PN-B-06714-38</w:t>
            </w:r>
          </w:p>
        </w:tc>
        <w:tc>
          <w:tcPr>
            <w:tcW w:w="5029" w:type="dxa"/>
            <w:hideMark/>
          </w:tcPr>
          <w:p w:rsidR="0051730D" w:rsidRDefault="0051730D" w:rsidP="0051730D">
            <w:r>
              <w:t>Kruszywa mineralne. Badania. Oznaczanie rozpadu wapniowego</w:t>
            </w:r>
          </w:p>
        </w:tc>
      </w:tr>
      <w:tr w:rsidR="0051730D" w:rsidTr="0051730D">
        <w:tc>
          <w:tcPr>
            <w:tcW w:w="637" w:type="dxa"/>
            <w:hideMark/>
          </w:tcPr>
          <w:p w:rsidR="0051730D" w:rsidRDefault="0051730D" w:rsidP="0051730D">
            <w:pPr>
              <w:jc w:val="center"/>
            </w:pPr>
            <w:r>
              <w:t xml:space="preserve">  9.</w:t>
            </w:r>
          </w:p>
        </w:tc>
        <w:tc>
          <w:tcPr>
            <w:tcW w:w="1843" w:type="dxa"/>
            <w:hideMark/>
          </w:tcPr>
          <w:p w:rsidR="0051730D" w:rsidRDefault="0051730D" w:rsidP="0051730D">
            <w:r>
              <w:t>PN-B-06714-39</w:t>
            </w:r>
          </w:p>
        </w:tc>
        <w:tc>
          <w:tcPr>
            <w:tcW w:w="5029" w:type="dxa"/>
            <w:hideMark/>
          </w:tcPr>
          <w:p w:rsidR="0051730D" w:rsidRDefault="0051730D" w:rsidP="0051730D">
            <w:r>
              <w:t>Kruszywa mineralne. Badania. Oznaczanie rozpadu żelazawego</w:t>
            </w:r>
          </w:p>
        </w:tc>
      </w:tr>
      <w:tr w:rsidR="0051730D" w:rsidTr="0051730D">
        <w:tc>
          <w:tcPr>
            <w:tcW w:w="637" w:type="dxa"/>
            <w:hideMark/>
          </w:tcPr>
          <w:p w:rsidR="0051730D" w:rsidRDefault="0051730D" w:rsidP="0051730D">
            <w:pPr>
              <w:jc w:val="center"/>
            </w:pPr>
            <w:r>
              <w:lastRenderedPageBreak/>
              <w:t>10.</w:t>
            </w:r>
          </w:p>
        </w:tc>
        <w:tc>
          <w:tcPr>
            <w:tcW w:w="1843" w:type="dxa"/>
            <w:hideMark/>
          </w:tcPr>
          <w:p w:rsidR="0051730D" w:rsidRDefault="0051730D" w:rsidP="0051730D">
            <w:r>
              <w:t>PN-B-06714-42</w:t>
            </w:r>
          </w:p>
        </w:tc>
        <w:tc>
          <w:tcPr>
            <w:tcW w:w="5029" w:type="dxa"/>
            <w:hideMark/>
          </w:tcPr>
          <w:p w:rsidR="0051730D" w:rsidRDefault="0051730D" w:rsidP="0051730D">
            <w:r>
              <w:t>Kruszywa mineralne. Badania. Oznaczanie ścieralności w bębnie Los Angeles</w:t>
            </w:r>
          </w:p>
        </w:tc>
      </w:tr>
      <w:tr w:rsidR="0051730D" w:rsidTr="0051730D">
        <w:tc>
          <w:tcPr>
            <w:tcW w:w="637" w:type="dxa"/>
            <w:hideMark/>
          </w:tcPr>
          <w:p w:rsidR="0051730D" w:rsidRDefault="0051730D" w:rsidP="0051730D">
            <w:pPr>
              <w:jc w:val="center"/>
              <w:rPr>
                <w:lang w:val="en-US"/>
              </w:rPr>
            </w:pPr>
            <w:r>
              <w:rPr>
                <w:lang w:val="en-US"/>
              </w:rPr>
              <w:t>11.</w:t>
            </w:r>
          </w:p>
        </w:tc>
        <w:tc>
          <w:tcPr>
            <w:tcW w:w="1843" w:type="dxa"/>
            <w:hideMark/>
          </w:tcPr>
          <w:p w:rsidR="0051730D" w:rsidRDefault="0051730D" w:rsidP="0051730D">
            <w:pPr>
              <w:rPr>
                <w:lang w:val="en-US"/>
              </w:rPr>
            </w:pPr>
            <w:r>
              <w:rPr>
                <w:lang w:val="en-US"/>
              </w:rPr>
              <w:t>PN-B-19701</w:t>
            </w:r>
          </w:p>
        </w:tc>
        <w:tc>
          <w:tcPr>
            <w:tcW w:w="5029" w:type="dxa"/>
            <w:hideMark/>
          </w:tcPr>
          <w:p w:rsidR="0051730D" w:rsidRDefault="0051730D" w:rsidP="0051730D">
            <w:r w:rsidRPr="002A0D1D">
              <w:t xml:space="preserve">Cement. </w:t>
            </w:r>
            <w:r>
              <w:t>Cement powszechnego użytku. Skład, wymagania i ocena zgodności</w:t>
            </w:r>
          </w:p>
        </w:tc>
      </w:tr>
      <w:tr w:rsidR="0051730D" w:rsidTr="0051730D">
        <w:tc>
          <w:tcPr>
            <w:tcW w:w="637" w:type="dxa"/>
            <w:hideMark/>
          </w:tcPr>
          <w:p w:rsidR="0051730D" w:rsidRDefault="0051730D" w:rsidP="0051730D">
            <w:pPr>
              <w:jc w:val="center"/>
            </w:pPr>
            <w:r>
              <w:t>12.</w:t>
            </w:r>
          </w:p>
        </w:tc>
        <w:tc>
          <w:tcPr>
            <w:tcW w:w="1843" w:type="dxa"/>
            <w:hideMark/>
          </w:tcPr>
          <w:p w:rsidR="0051730D" w:rsidRDefault="0051730D" w:rsidP="0051730D">
            <w:r>
              <w:t>PN-B-30020</w:t>
            </w:r>
          </w:p>
        </w:tc>
        <w:tc>
          <w:tcPr>
            <w:tcW w:w="5029" w:type="dxa"/>
            <w:hideMark/>
          </w:tcPr>
          <w:p w:rsidR="0051730D" w:rsidRDefault="0051730D" w:rsidP="0051730D">
            <w:r>
              <w:t>Wapno</w:t>
            </w:r>
          </w:p>
        </w:tc>
      </w:tr>
      <w:tr w:rsidR="0051730D" w:rsidTr="0051730D">
        <w:tc>
          <w:tcPr>
            <w:tcW w:w="637" w:type="dxa"/>
            <w:hideMark/>
          </w:tcPr>
          <w:p w:rsidR="0051730D" w:rsidRDefault="0051730D" w:rsidP="0051730D">
            <w:pPr>
              <w:jc w:val="center"/>
            </w:pPr>
            <w:r>
              <w:t>13.</w:t>
            </w:r>
          </w:p>
        </w:tc>
        <w:tc>
          <w:tcPr>
            <w:tcW w:w="1843" w:type="dxa"/>
            <w:hideMark/>
          </w:tcPr>
          <w:p w:rsidR="0051730D" w:rsidRDefault="0051730D" w:rsidP="0051730D">
            <w:r>
              <w:t>PN-B-32250</w:t>
            </w:r>
          </w:p>
        </w:tc>
        <w:tc>
          <w:tcPr>
            <w:tcW w:w="5029" w:type="dxa"/>
            <w:hideMark/>
          </w:tcPr>
          <w:p w:rsidR="0051730D" w:rsidRDefault="0051730D" w:rsidP="0051730D">
            <w:r>
              <w:t>Materiały budowlane. Woda do betonów i zapraw</w:t>
            </w:r>
          </w:p>
        </w:tc>
      </w:tr>
      <w:tr w:rsidR="0051730D" w:rsidTr="0051730D">
        <w:tc>
          <w:tcPr>
            <w:tcW w:w="637" w:type="dxa"/>
            <w:hideMark/>
          </w:tcPr>
          <w:p w:rsidR="0051730D" w:rsidRDefault="0051730D" w:rsidP="0051730D">
            <w:pPr>
              <w:jc w:val="center"/>
            </w:pPr>
            <w:r>
              <w:t>14.</w:t>
            </w:r>
          </w:p>
        </w:tc>
        <w:tc>
          <w:tcPr>
            <w:tcW w:w="1843" w:type="dxa"/>
            <w:hideMark/>
          </w:tcPr>
          <w:p w:rsidR="0051730D" w:rsidRDefault="0051730D" w:rsidP="0051730D">
            <w:r>
              <w:t>PN-C-84038</w:t>
            </w:r>
          </w:p>
        </w:tc>
        <w:tc>
          <w:tcPr>
            <w:tcW w:w="5029" w:type="dxa"/>
            <w:hideMark/>
          </w:tcPr>
          <w:p w:rsidR="0051730D" w:rsidRDefault="0051730D" w:rsidP="0051730D">
            <w:r>
              <w:t>Wodorotlenek sodowy techniczny</w:t>
            </w:r>
          </w:p>
        </w:tc>
      </w:tr>
      <w:tr w:rsidR="0051730D" w:rsidTr="0051730D">
        <w:tc>
          <w:tcPr>
            <w:tcW w:w="637" w:type="dxa"/>
            <w:hideMark/>
          </w:tcPr>
          <w:p w:rsidR="0051730D" w:rsidRDefault="0051730D" w:rsidP="0051730D">
            <w:pPr>
              <w:jc w:val="center"/>
            </w:pPr>
            <w:r>
              <w:t>15.</w:t>
            </w:r>
          </w:p>
        </w:tc>
        <w:tc>
          <w:tcPr>
            <w:tcW w:w="1843" w:type="dxa"/>
            <w:hideMark/>
          </w:tcPr>
          <w:p w:rsidR="0051730D" w:rsidRDefault="0051730D" w:rsidP="0051730D">
            <w:r>
              <w:t>PN-C-84127</w:t>
            </w:r>
          </w:p>
        </w:tc>
        <w:tc>
          <w:tcPr>
            <w:tcW w:w="5029" w:type="dxa"/>
            <w:hideMark/>
          </w:tcPr>
          <w:p w:rsidR="0051730D" w:rsidRDefault="0051730D" w:rsidP="0051730D">
            <w:r>
              <w:t>Chlorek wapniowy techniczny</w:t>
            </w:r>
          </w:p>
        </w:tc>
      </w:tr>
      <w:tr w:rsidR="0051730D" w:rsidTr="0051730D">
        <w:tc>
          <w:tcPr>
            <w:tcW w:w="637" w:type="dxa"/>
            <w:hideMark/>
          </w:tcPr>
          <w:p w:rsidR="0051730D" w:rsidRDefault="0051730D" w:rsidP="0051730D">
            <w:pPr>
              <w:jc w:val="center"/>
            </w:pPr>
            <w:r>
              <w:t>16.</w:t>
            </w:r>
          </w:p>
        </w:tc>
        <w:tc>
          <w:tcPr>
            <w:tcW w:w="1843" w:type="dxa"/>
            <w:hideMark/>
          </w:tcPr>
          <w:p w:rsidR="0051730D" w:rsidRDefault="0051730D" w:rsidP="0051730D">
            <w:r>
              <w:t>PN-S-96011</w:t>
            </w:r>
          </w:p>
        </w:tc>
        <w:tc>
          <w:tcPr>
            <w:tcW w:w="5029" w:type="dxa"/>
            <w:hideMark/>
          </w:tcPr>
          <w:p w:rsidR="0051730D" w:rsidRDefault="0051730D" w:rsidP="0051730D">
            <w:r>
              <w:t>Drogi samochodowe. Stabilizacja gruntów wapnem do celów drogowych</w:t>
            </w:r>
          </w:p>
        </w:tc>
      </w:tr>
      <w:tr w:rsidR="0051730D" w:rsidTr="0051730D">
        <w:tc>
          <w:tcPr>
            <w:tcW w:w="637" w:type="dxa"/>
            <w:hideMark/>
          </w:tcPr>
          <w:p w:rsidR="0051730D" w:rsidRDefault="0051730D" w:rsidP="0051730D">
            <w:pPr>
              <w:jc w:val="center"/>
            </w:pPr>
            <w:r>
              <w:t>17.</w:t>
            </w:r>
          </w:p>
        </w:tc>
        <w:tc>
          <w:tcPr>
            <w:tcW w:w="1843" w:type="dxa"/>
            <w:hideMark/>
          </w:tcPr>
          <w:p w:rsidR="0051730D" w:rsidRDefault="0051730D" w:rsidP="0051730D">
            <w:r>
              <w:t>PN-S-96012</w:t>
            </w:r>
          </w:p>
        </w:tc>
        <w:tc>
          <w:tcPr>
            <w:tcW w:w="5029" w:type="dxa"/>
            <w:hideMark/>
          </w:tcPr>
          <w:p w:rsidR="0051730D" w:rsidRDefault="0051730D" w:rsidP="0051730D">
            <w:r>
              <w:t>Drogi samochodowe. Podbudowa i ulepszone podłoże z gruntu stabilizowanego cementem</w:t>
            </w:r>
          </w:p>
        </w:tc>
      </w:tr>
      <w:tr w:rsidR="0051730D" w:rsidTr="0051730D">
        <w:tc>
          <w:tcPr>
            <w:tcW w:w="637" w:type="dxa"/>
            <w:hideMark/>
          </w:tcPr>
          <w:p w:rsidR="0051730D" w:rsidRDefault="0051730D" w:rsidP="0051730D">
            <w:pPr>
              <w:jc w:val="center"/>
            </w:pPr>
            <w:r>
              <w:t>18.</w:t>
            </w:r>
          </w:p>
        </w:tc>
        <w:tc>
          <w:tcPr>
            <w:tcW w:w="1843" w:type="dxa"/>
            <w:hideMark/>
          </w:tcPr>
          <w:p w:rsidR="0051730D" w:rsidRDefault="0051730D" w:rsidP="0051730D">
            <w:r>
              <w:t>PN-S-96035</w:t>
            </w:r>
          </w:p>
        </w:tc>
        <w:tc>
          <w:tcPr>
            <w:tcW w:w="5029" w:type="dxa"/>
            <w:hideMark/>
          </w:tcPr>
          <w:p w:rsidR="0051730D" w:rsidRDefault="0051730D" w:rsidP="0051730D">
            <w:r>
              <w:t>Drogi samochodowe. Popioły lotne</w:t>
            </w:r>
          </w:p>
        </w:tc>
      </w:tr>
      <w:tr w:rsidR="0051730D" w:rsidTr="0051730D">
        <w:tc>
          <w:tcPr>
            <w:tcW w:w="637" w:type="dxa"/>
            <w:hideMark/>
          </w:tcPr>
          <w:p w:rsidR="0051730D" w:rsidRDefault="0051730D" w:rsidP="0051730D">
            <w:pPr>
              <w:jc w:val="center"/>
            </w:pPr>
            <w:r>
              <w:t>19.</w:t>
            </w:r>
          </w:p>
        </w:tc>
        <w:tc>
          <w:tcPr>
            <w:tcW w:w="1843" w:type="dxa"/>
            <w:hideMark/>
          </w:tcPr>
          <w:p w:rsidR="0051730D" w:rsidRDefault="0051730D" w:rsidP="0051730D">
            <w:r>
              <w:t>BN-88/6731-08</w:t>
            </w:r>
          </w:p>
        </w:tc>
        <w:tc>
          <w:tcPr>
            <w:tcW w:w="5029" w:type="dxa"/>
            <w:hideMark/>
          </w:tcPr>
          <w:p w:rsidR="0051730D" w:rsidRDefault="0051730D" w:rsidP="0051730D">
            <w:r>
              <w:t>Cement. Transport i przechowywanie</w:t>
            </w:r>
          </w:p>
        </w:tc>
      </w:tr>
      <w:tr w:rsidR="0051730D" w:rsidTr="0051730D">
        <w:tc>
          <w:tcPr>
            <w:tcW w:w="637" w:type="dxa"/>
            <w:hideMark/>
          </w:tcPr>
          <w:p w:rsidR="0051730D" w:rsidRDefault="0051730D" w:rsidP="0051730D">
            <w:pPr>
              <w:jc w:val="center"/>
            </w:pPr>
            <w:r>
              <w:t>20.</w:t>
            </w:r>
          </w:p>
        </w:tc>
        <w:tc>
          <w:tcPr>
            <w:tcW w:w="1843" w:type="dxa"/>
            <w:hideMark/>
          </w:tcPr>
          <w:p w:rsidR="0051730D" w:rsidRDefault="0051730D" w:rsidP="0051730D">
            <w:r>
              <w:t>BN-64/8931-01</w:t>
            </w:r>
          </w:p>
        </w:tc>
        <w:tc>
          <w:tcPr>
            <w:tcW w:w="5029" w:type="dxa"/>
            <w:hideMark/>
          </w:tcPr>
          <w:p w:rsidR="0051730D" w:rsidRDefault="0051730D" w:rsidP="0051730D">
            <w:r>
              <w:t>Drogi samochodowe. Oznaczanie wskaźnika piaskowego</w:t>
            </w:r>
          </w:p>
        </w:tc>
      </w:tr>
      <w:tr w:rsidR="0051730D" w:rsidTr="0051730D">
        <w:tc>
          <w:tcPr>
            <w:tcW w:w="637" w:type="dxa"/>
            <w:hideMark/>
          </w:tcPr>
          <w:p w:rsidR="0051730D" w:rsidRDefault="0051730D" w:rsidP="0051730D">
            <w:pPr>
              <w:jc w:val="center"/>
            </w:pPr>
            <w:r>
              <w:t>21.</w:t>
            </w:r>
          </w:p>
        </w:tc>
        <w:tc>
          <w:tcPr>
            <w:tcW w:w="1843" w:type="dxa"/>
            <w:hideMark/>
          </w:tcPr>
          <w:p w:rsidR="0051730D" w:rsidRDefault="0051730D" w:rsidP="0051730D">
            <w:r>
              <w:t>BN-64/8931-02</w:t>
            </w:r>
          </w:p>
        </w:tc>
        <w:tc>
          <w:tcPr>
            <w:tcW w:w="5029" w:type="dxa"/>
            <w:hideMark/>
          </w:tcPr>
          <w:p w:rsidR="0051730D" w:rsidRDefault="0051730D" w:rsidP="0051730D">
            <w:r>
              <w:t>Drogi samochodowe. Oznaczanie modułu odkształcenia nawierzchni podatnych i podłoża przez obciążenie płytą</w:t>
            </w:r>
          </w:p>
        </w:tc>
      </w:tr>
      <w:tr w:rsidR="0051730D" w:rsidTr="0051730D">
        <w:tc>
          <w:tcPr>
            <w:tcW w:w="637" w:type="dxa"/>
            <w:hideMark/>
          </w:tcPr>
          <w:p w:rsidR="0051730D" w:rsidRDefault="0051730D" w:rsidP="0051730D">
            <w:pPr>
              <w:jc w:val="center"/>
            </w:pPr>
            <w:r>
              <w:t>22.</w:t>
            </w:r>
          </w:p>
        </w:tc>
        <w:tc>
          <w:tcPr>
            <w:tcW w:w="1843" w:type="dxa"/>
            <w:hideMark/>
          </w:tcPr>
          <w:p w:rsidR="0051730D" w:rsidRDefault="0051730D" w:rsidP="0051730D">
            <w:r>
              <w:t>BN-68/8931-04</w:t>
            </w:r>
          </w:p>
        </w:tc>
        <w:tc>
          <w:tcPr>
            <w:tcW w:w="5029" w:type="dxa"/>
            <w:hideMark/>
          </w:tcPr>
          <w:p w:rsidR="0051730D" w:rsidRDefault="0051730D" w:rsidP="0051730D">
            <w:r>
              <w:t xml:space="preserve">Drogi samochodowe. Pomiar równości nawierzchni </w:t>
            </w:r>
            <w:proofErr w:type="spellStart"/>
            <w:r>
              <w:t>planografem</w:t>
            </w:r>
            <w:proofErr w:type="spellEnd"/>
            <w:r>
              <w:t xml:space="preserve"> i łatą</w:t>
            </w:r>
          </w:p>
        </w:tc>
      </w:tr>
      <w:tr w:rsidR="0051730D" w:rsidTr="0051730D">
        <w:tc>
          <w:tcPr>
            <w:tcW w:w="637" w:type="dxa"/>
            <w:hideMark/>
          </w:tcPr>
          <w:p w:rsidR="0051730D" w:rsidRDefault="0051730D" w:rsidP="0051730D">
            <w:pPr>
              <w:jc w:val="center"/>
            </w:pPr>
            <w:r>
              <w:t>23.</w:t>
            </w:r>
          </w:p>
        </w:tc>
        <w:tc>
          <w:tcPr>
            <w:tcW w:w="1843" w:type="dxa"/>
            <w:hideMark/>
          </w:tcPr>
          <w:p w:rsidR="0051730D" w:rsidRDefault="0051730D" w:rsidP="0051730D">
            <w:r>
              <w:t>BN-70/8931-05</w:t>
            </w:r>
          </w:p>
        </w:tc>
        <w:tc>
          <w:tcPr>
            <w:tcW w:w="5029" w:type="dxa"/>
            <w:hideMark/>
          </w:tcPr>
          <w:p w:rsidR="0051730D" w:rsidRDefault="0051730D" w:rsidP="0051730D">
            <w:r>
              <w:t>Drogi samochodowe. Oznaczanie wskaźnika nośności gruntu jako podłoża nawierzchni podatnych</w:t>
            </w:r>
          </w:p>
        </w:tc>
      </w:tr>
      <w:tr w:rsidR="0051730D" w:rsidTr="0051730D">
        <w:tc>
          <w:tcPr>
            <w:tcW w:w="637" w:type="dxa"/>
            <w:hideMark/>
          </w:tcPr>
          <w:p w:rsidR="0051730D" w:rsidRDefault="0051730D" w:rsidP="0051730D">
            <w:pPr>
              <w:jc w:val="center"/>
            </w:pPr>
            <w:r>
              <w:t>24.</w:t>
            </w:r>
          </w:p>
        </w:tc>
        <w:tc>
          <w:tcPr>
            <w:tcW w:w="1843" w:type="dxa"/>
            <w:hideMark/>
          </w:tcPr>
          <w:p w:rsidR="0051730D" w:rsidRDefault="0051730D" w:rsidP="0051730D">
            <w:r>
              <w:t>BN-73/8931-10</w:t>
            </w:r>
          </w:p>
        </w:tc>
        <w:tc>
          <w:tcPr>
            <w:tcW w:w="5029" w:type="dxa"/>
            <w:hideMark/>
          </w:tcPr>
          <w:p w:rsidR="0051730D" w:rsidRDefault="0051730D" w:rsidP="0051730D">
            <w:r>
              <w:t xml:space="preserve">Drogi samochodowe. Oznaczanie wskaźnika aktywności </w:t>
            </w:r>
            <w:proofErr w:type="spellStart"/>
            <w:r>
              <w:t>pucolanowej</w:t>
            </w:r>
            <w:proofErr w:type="spellEnd"/>
            <w:r>
              <w:t xml:space="preserve"> popiołów lotnych z węgla kamiennego</w:t>
            </w:r>
          </w:p>
        </w:tc>
      </w:tr>
      <w:tr w:rsidR="0051730D" w:rsidTr="0051730D">
        <w:tc>
          <w:tcPr>
            <w:tcW w:w="637" w:type="dxa"/>
            <w:hideMark/>
          </w:tcPr>
          <w:p w:rsidR="0051730D" w:rsidRDefault="0051730D" w:rsidP="0051730D">
            <w:pPr>
              <w:jc w:val="center"/>
            </w:pPr>
            <w:r>
              <w:t>25.</w:t>
            </w:r>
          </w:p>
        </w:tc>
        <w:tc>
          <w:tcPr>
            <w:tcW w:w="1843" w:type="dxa"/>
            <w:hideMark/>
          </w:tcPr>
          <w:p w:rsidR="0051730D" w:rsidRDefault="0051730D" w:rsidP="0051730D">
            <w:r>
              <w:t>BN-77/8931-12</w:t>
            </w:r>
          </w:p>
        </w:tc>
        <w:tc>
          <w:tcPr>
            <w:tcW w:w="5029" w:type="dxa"/>
            <w:hideMark/>
          </w:tcPr>
          <w:p w:rsidR="0051730D" w:rsidRDefault="0051730D" w:rsidP="0051730D">
            <w:r>
              <w:t>Oznaczanie wskaźnika zagęszczenia gruntu</w:t>
            </w:r>
          </w:p>
        </w:tc>
      </w:tr>
      <w:tr w:rsidR="0051730D" w:rsidTr="0051730D">
        <w:tc>
          <w:tcPr>
            <w:tcW w:w="637" w:type="dxa"/>
            <w:hideMark/>
          </w:tcPr>
          <w:p w:rsidR="0051730D" w:rsidRDefault="0051730D" w:rsidP="0051730D">
            <w:pPr>
              <w:jc w:val="center"/>
            </w:pPr>
            <w:r>
              <w:t>26.</w:t>
            </w:r>
          </w:p>
        </w:tc>
        <w:tc>
          <w:tcPr>
            <w:tcW w:w="1843" w:type="dxa"/>
            <w:hideMark/>
          </w:tcPr>
          <w:p w:rsidR="0051730D" w:rsidRDefault="0051730D" w:rsidP="0051730D">
            <w:r>
              <w:t>BN-71/8933-10</w:t>
            </w:r>
          </w:p>
        </w:tc>
        <w:tc>
          <w:tcPr>
            <w:tcW w:w="5029" w:type="dxa"/>
            <w:hideMark/>
          </w:tcPr>
          <w:p w:rsidR="0051730D" w:rsidRDefault="0051730D" w:rsidP="0051730D">
            <w:r>
              <w:t>Drogi samochodowe. Podbudowa z gruntów stabilizowanych aktywnymi popiołami lotnymi.</w:t>
            </w:r>
          </w:p>
        </w:tc>
      </w:tr>
    </w:tbl>
    <w:p w:rsidR="0051730D" w:rsidRDefault="0051730D" w:rsidP="0051730D">
      <w:pPr>
        <w:pStyle w:val="Nagwek2"/>
      </w:pPr>
      <w:r>
        <w:t>10.2. Inne dokumenty</w:t>
      </w:r>
    </w:p>
    <w:p w:rsidR="0051730D" w:rsidRDefault="0051730D" w:rsidP="002122BD">
      <w:pPr>
        <w:numPr>
          <w:ilvl w:val="0"/>
          <w:numId w:val="31"/>
        </w:numPr>
        <w:overflowPunct w:val="0"/>
        <w:autoSpaceDE w:val="0"/>
        <w:autoSpaceDN w:val="0"/>
        <w:adjustRightInd w:val="0"/>
        <w:jc w:val="both"/>
      </w:pPr>
      <w:r>
        <w:t>Instrukcja CZDP 1980 „Badanie wskaźnika aktywności żużla granulowanego”</w:t>
      </w:r>
    </w:p>
    <w:p w:rsidR="0051730D" w:rsidRDefault="0051730D" w:rsidP="002122BD">
      <w:pPr>
        <w:numPr>
          <w:ilvl w:val="0"/>
          <w:numId w:val="31"/>
        </w:numPr>
        <w:overflowPunct w:val="0"/>
        <w:autoSpaceDE w:val="0"/>
        <w:autoSpaceDN w:val="0"/>
        <w:adjustRightInd w:val="0"/>
        <w:jc w:val="both"/>
      </w:pPr>
      <w:r>
        <w:t>Wytyczne MK CZDP „Stabilizacja kruszyw i gruntów żużlem wielkopiecowym granulowanym”, Warszawa 1979</w:t>
      </w:r>
    </w:p>
    <w:p w:rsidR="0051730D" w:rsidRDefault="0051730D" w:rsidP="002122BD">
      <w:pPr>
        <w:numPr>
          <w:ilvl w:val="0"/>
          <w:numId w:val="31"/>
        </w:numPr>
        <w:overflowPunct w:val="0"/>
        <w:autoSpaceDE w:val="0"/>
        <w:autoSpaceDN w:val="0"/>
        <w:adjustRightInd w:val="0"/>
        <w:jc w:val="both"/>
      </w:pPr>
      <w:r>
        <w:t xml:space="preserve">Katalog typowych konstrukcji nawierzchni podatnych i półsztywnych, </w:t>
      </w:r>
      <w:proofErr w:type="spellStart"/>
      <w:r>
        <w:t>IBDiM</w:t>
      </w:r>
      <w:proofErr w:type="spellEnd"/>
      <w:r>
        <w:t xml:space="preserve"> - 1997.</w:t>
      </w:r>
    </w:p>
    <w:p w:rsidR="0051730D" w:rsidRDefault="0051730D" w:rsidP="0051730D"/>
    <w:p w:rsidR="0051730D" w:rsidRDefault="0051730D" w:rsidP="00E52B27"/>
    <w:p w:rsidR="0051730D" w:rsidRDefault="0051730D" w:rsidP="00E52B27"/>
    <w:p w:rsidR="00B718AA" w:rsidRDefault="00B718AA" w:rsidP="00E52B27"/>
    <w:p w:rsidR="00B718AA" w:rsidRDefault="00B718AA" w:rsidP="00E52B27"/>
    <w:p w:rsidR="0051730D" w:rsidRDefault="0051730D"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51730D" w:rsidRPr="00920F47" w:rsidRDefault="0051730D" w:rsidP="0051730D">
      <w:pPr>
        <w:keepNext/>
        <w:widowControl w:val="0"/>
        <w:ind w:left="1701" w:hanging="1701"/>
        <w:outlineLvl w:val="0"/>
        <w:rPr>
          <w:rFonts w:ascii="Verdana" w:hAnsi="Verdana" w:cs="Arial"/>
          <w:b/>
          <w:snapToGrid w:val="0"/>
          <w:sz w:val="22"/>
          <w:szCs w:val="22"/>
        </w:rPr>
      </w:pPr>
      <w:r w:rsidRPr="00920F47">
        <w:rPr>
          <w:rFonts w:ascii="Verdana" w:hAnsi="Verdana" w:cs="Arial"/>
          <w:b/>
          <w:snapToGrid w:val="0"/>
          <w:sz w:val="22"/>
          <w:szCs w:val="22"/>
        </w:rPr>
        <w:lastRenderedPageBreak/>
        <w:t>D</w:t>
      </w:r>
      <w:bookmarkStart w:id="206" w:name="_Hlk15765155"/>
      <w:r w:rsidRPr="00920F47">
        <w:rPr>
          <w:rFonts w:ascii="Verdana" w:hAnsi="Verdana" w:cs="Arial"/>
          <w:b/>
          <w:snapToGrid w:val="0"/>
          <w:sz w:val="22"/>
          <w:szCs w:val="22"/>
        </w:rPr>
        <w:t>-04.07.01-1 NAWIERZCHNIA Z BETONU ASFALTOWEGO – WARSTWA PODBUDOWY AC 22 P KR 3÷4</w:t>
      </w:r>
    </w:p>
    <w:bookmarkEnd w:id="206"/>
    <w:p w:rsidR="0051730D" w:rsidRPr="009040B8" w:rsidRDefault="0051730D" w:rsidP="0051730D">
      <w:pPr>
        <w:keepNext/>
        <w:widowControl w:val="0"/>
        <w:ind w:left="1418" w:hanging="1418"/>
        <w:outlineLvl w:val="0"/>
        <w:rPr>
          <w:rFonts w:ascii="Verdana" w:hAnsi="Verdana" w:cs="Arial"/>
          <w:b/>
          <w:snapToGrid w:val="0"/>
        </w:rPr>
      </w:pPr>
    </w:p>
    <w:p w:rsidR="0051730D" w:rsidRPr="009040B8" w:rsidRDefault="0051730D" w:rsidP="0051730D">
      <w:pPr>
        <w:keepNext/>
        <w:widowControl w:val="0"/>
        <w:spacing w:line="276" w:lineRule="auto"/>
        <w:jc w:val="both"/>
        <w:outlineLvl w:val="0"/>
        <w:rPr>
          <w:rFonts w:ascii="Verdana" w:hAnsi="Verdana" w:cs="Arial"/>
          <w:b/>
          <w:snapToGrid w:val="0"/>
        </w:rPr>
      </w:pPr>
      <w:bookmarkStart w:id="207" w:name="_Toc316558767"/>
      <w:r w:rsidRPr="009040B8">
        <w:rPr>
          <w:rFonts w:ascii="Verdana" w:hAnsi="Verdana" w:cs="Arial"/>
          <w:b/>
          <w:snapToGrid w:val="0"/>
        </w:rPr>
        <w:t>1. W</w:t>
      </w:r>
      <w:bookmarkEnd w:id="207"/>
      <w:r w:rsidRPr="009040B8">
        <w:rPr>
          <w:rFonts w:ascii="Verdana" w:hAnsi="Verdana" w:cs="Arial"/>
          <w:b/>
          <w:snapToGrid w:val="0"/>
        </w:rPr>
        <w:t>stęp</w:t>
      </w:r>
    </w:p>
    <w:p w:rsidR="0051730D" w:rsidRPr="009040B8" w:rsidRDefault="0051730D" w:rsidP="0051730D">
      <w:pPr>
        <w:keepNext/>
        <w:jc w:val="both"/>
        <w:outlineLvl w:val="1"/>
        <w:rPr>
          <w:rFonts w:ascii="Verdana" w:hAnsi="Verdana" w:cs="Arial"/>
          <w:b/>
          <w:bCs/>
          <w:iCs/>
        </w:rPr>
      </w:pPr>
      <w:bookmarkStart w:id="208" w:name="_Toc405615031"/>
      <w:bookmarkStart w:id="209" w:name="_Toc407161179"/>
      <w:bookmarkStart w:id="210" w:name="_Toc316558768"/>
      <w:r w:rsidRPr="009040B8">
        <w:rPr>
          <w:rFonts w:ascii="Verdana" w:hAnsi="Verdana" w:cs="Arial"/>
          <w:b/>
          <w:bCs/>
          <w:iCs/>
        </w:rPr>
        <w:t>1.1. Przedmiot SST</w:t>
      </w:r>
      <w:bookmarkEnd w:id="208"/>
      <w:bookmarkEnd w:id="209"/>
      <w:bookmarkEnd w:id="210"/>
    </w:p>
    <w:p w:rsidR="00675564" w:rsidRDefault="0051730D" w:rsidP="0051730D">
      <w:pPr>
        <w:jc w:val="both"/>
        <w:rPr>
          <w:rFonts w:ascii="Verdana" w:hAnsi="Verdana" w:cs="Arial"/>
        </w:rPr>
      </w:pPr>
      <w:r w:rsidRPr="009040B8">
        <w:rPr>
          <w:rFonts w:ascii="Verdana" w:hAnsi="Verdana" w:cs="Arial"/>
        </w:rPr>
        <w:t xml:space="preserve">Przedmiotem niniejszej szczegółowej specyfikacji technicznej (SST) są wymagania dotyczące wykonania i odbioru robót związanych z wykonaniem warstwy </w:t>
      </w:r>
      <w:r>
        <w:rPr>
          <w:rFonts w:ascii="Verdana" w:hAnsi="Verdana" w:cs="Arial"/>
        </w:rPr>
        <w:t xml:space="preserve">podbudowy konstrukcji </w:t>
      </w:r>
      <w:r w:rsidRPr="009040B8">
        <w:rPr>
          <w:rFonts w:ascii="Verdana" w:hAnsi="Verdana" w:cs="Arial"/>
        </w:rPr>
        <w:t xml:space="preserve">nawierzchni z betonu asfaltowego. </w:t>
      </w:r>
    </w:p>
    <w:p w:rsidR="0051730D" w:rsidRPr="009040B8" w:rsidRDefault="0051730D" w:rsidP="0051730D">
      <w:pPr>
        <w:jc w:val="both"/>
        <w:rPr>
          <w:rFonts w:ascii="Verdana" w:hAnsi="Verdana" w:cs="Arial"/>
        </w:rPr>
      </w:pPr>
      <w:r w:rsidRPr="009040B8">
        <w:rPr>
          <w:rFonts w:ascii="Verdana" w:hAnsi="Verdana" w:cs="Arial"/>
        </w:rPr>
        <w:br/>
      </w:r>
      <w:bookmarkStart w:id="211" w:name="_Toc405615032"/>
      <w:bookmarkStart w:id="212" w:name="_Toc407161180"/>
      <w:bookmarkStart w:id="213" w:name="_Toc316558769"/>
      <w:r w:rsidRPr="009040B8">
        <w:rPr>
          <w:rFonts w:ascii="Verdana" w:hAnsi="Verdana" w:cs="Arial"/>
          <w:b/>
          <w:bCs/>
          <w:iCs/>
        </w:rPr>
        <w:t>1.2. Zakres stosowania SST</w:t>
      </w:r>
      <w:bookmarkEnd w:id="211"/>
      <w:bookmarkEnd w:id="212"/>
      <w:bookmarkEnd w:id="213"/>
    </w:p>
    <w:p w:rsidR="0051730D" w:rsidRDefault="0051730D" w:rsidP="0051730D">
      <w:pPr>
        <w:jc w:val="both"/>
        <w:rPr>
          <w:rFonts w:ascii="Verdana" w:hAnsi="Verdana" w:cs="Arial"/>
        </w:rPr>
      </w:pPr>
      <w:r w:rsidRPr="009040B8">
        <w:rPr>
          <w:rFonts w:ascii="Verdana" w:hAnsi="Verdana" w:cs="Arial"/>
        </w:rPr>
        <w:t xml:space="preserve">Szczegółowa specyfikacja techniczna (SST) </w:t>
      </w:r>
      <w:bookmarkStart w:id="214" w:name="_Toc405615033"/>
      <w:bookmarkStart w:id="215" w:name="_Toc407161181"/>
      <w:r w:rsidRPr="009040B8">
        <w:rPr>
          <w:rFonts w:ascii="Verdana" w:hAnsi="Verdana" w:cs="Arial"/>
        </w:rPr>
        <w:t>jest stosowana jako dokument przetargowy i kontraktowy przy zleceniu i realizacji robót</w:t>
      </w:r>
      <w:r w:rsidR="00675564">
        <w:rPr>
          <w:rFonts w:ascii="Verdana" w:hAnsi="Verdana" w:cs="Arial"/>
        </w:rPr>
        <w:t>.</w:t>
      </w:r>
      <w:r w:rsidRPr="009040B8">
        <w:rPr>
          <w:rFonts w:ascii="Verdana" w:hAnsi="Verdana" w:cs="Arial"/>
        </w:rPr>
        <w:t xml:space="preserve"> </w:t>
      </w:r>
    </w:p>
    <w:p w:rsidR="00675564" w:rsidRPr="009040B8" w:rsidRDefault="00675564" w:rsidP="0051730D">
      <w:pPr>
        <w:jc w:val="both"/>
        <w:rPr>
          <w:rFonts w:ascii="Verdana" w:hAnsi="Verdana" w:cs="Arial"/>
          <w:b/>
        </w:rPr>
      </w:pPr>
    </w:p>
    <w:p w:rsidR="0051730D" w:rsidRPr="009040B8" w:rsidRDefault="0051730D" w:rsidP="0051730D">
      <w:pPr>
        <w:jc w:val="both"/>
        <w:rPr>
          <w:rFonts w:ascii="Verdana" w:hAnsi="Verdana" w:cs="Arial"/>
          <w:b/>
        </w:rPr>
      </w:pPr>
      <w:r w:rsidRPr="009040B8">
        <w:rPr>
          <w:rFonts w:ascii="Verdana" w:hAnsi="Verdana" w:cs="Arial"/>
          <w:b/>
        </w:rPr>
        <w:t>1.3. Zakres robót objętych SST</w:t>
      </w:r>
      <w:bookmarkEnd w:id="214"/>
      <w:bookmarkEnd w:id="215"/>
    </w:p>
    <w:p w:rsidR="0051730D" w:rsidRPr="009040B8" w:rsidRDefault="0051730D" w:rsidP="0051730D">
      <w:pPr>
        <w:jc w:val="both"/>
        <w:rPr>
          <w:rFonts w:ascii="Verdana" w:hAnsi="Verdana" w:cs="Arial"/>
        </w:rPr>
      </w:pPr>
      <w:r w:rsidRPr="009040B8">
        <w:rPr>
          <w:rFonts w:ascii="Verdana" w:hAnsi="Verdana" w:cs="Arial"/>
        </w:rPr>
        <w:t xml:space="preserve">Ustalenia zawarte w niniejszej specyfikacji dotyczą zasad prowadzenia robót związanych z wykonaniem i odbiorem warstwy </w:t>
      </w:r>
      <w:r>
        <w:rPr>
          <w:rFonts w:ascii="Verdana" w:hAnsi="Verdana" w:cs="Arial"/>
        </w:rPr>
        <w:t>podbudowy</w:t>
      </w:r>
      <w:r w:rsidRPr="009040B8">
        <w:rPr>
          <w:rFonts w:ascii="Verdana" w:hAnsi="Verdana" w:cs="Arial"/>
        </w:rPr>
        <w:t xml:space="preserve"> z betonu asfaltowego wg PN-EN 13108-1 [47] i WT-2 Nawierzchnie asfaltowe na drogach krajowych 201</w:t>
      </w:r>
      <w:r>
        <w:rPr>
          <w:rFonts w:ascii="Verdana" w:hAnsi="Verdana" w:cs="Arial"/>
        </w:rPr>
        <w:t>4-część I</w:t>
      </w:r>
      <w:r w:rsidRPr="009040B8">
        <w:rPr>
          <w:rFonts w:ascii="Verdana" w:hAnsi="Verdana" w:cs="Arial"/>
        </w:rPr>
        <w:t xml:space="preserve"> [65] z mieszanki mineralno-asfaltowej dostarczonej od producenta. W przypadku produkcji mieszanki mineralno-asfaltowej przez Wykonawcę dla potrzeb budowy, Wykonawca zobowiązany jest prowadzić Zakładową Kontrolę Produkcji (ZKP) zgodnie z WT-2 [65] punkt 8.4.</w:t>
      </w:r>
      <w:r>
        <w:rPr>
          <w:rFonts w:ascii="Verdana" w:hAnsi="Verdana" w:cs="Arial"/>
        </w:rPr>
        <w:t>2</w:t>
      </w:r>
      <w:r w:rsidRPr="009040B8">
        <w:rPr>
          <w:rFonts w:ascii="Verdana" w:hAnsi="Verdana" w:cs="Arial"/>
        </w:rPr>
        <w:t>.</w:t>
      </w:r>
    </w:p>
    <w:p w:rsidR="0051730D" w:rsidRPr="009040B8" w:rsidRDefault="0051730D" w:rsidP="0051730D">
      <w:pPr>
        <w:jc w:val="both"/>
        <w:rPr>
          <w:rFonts w:ascii="Verdana" w:hAnsi="Verdana" w:cs="Arial"/>
        </w:rPr>
      </w:pPr>
      <w:r w:rsidRPr="009040B8">
        <w:rPr>
          <w:rFonts w:ascii="Verdana" w:hAnsi="Verdana" w:cs="Arial"/>
        </w:rPr>
        <w:t>Do wykonania nakładek nawierzchni dróg  krajowych o kategorii ruchu KR 3</w:t>
      </w:r>
      <w:r>
        <w:rPr>
          <w:rFonts w:ascii="Verdana" w:hAnsi="Verdana" w:cs="Arial"/>
        </w:rPr>
        <w:t>÷</w:t>
      </w:r>
      <w:r w:rsidRPr="009040B8">
        <w:rPr>
          <w:rFonts w:ascii="Verdana" w:hAnsi="Verdana" w:cs="Arial"/>
        </w:rPr>
        <w:t xml:space="preserve">4 należy stosować warstwę </w:t>
      </w:r>
      <w:r>
        <w:rPr>
          <w:rFonts w:ascii="Verdana" w:hAnsi="Verdana" w:cs="Arial"/>
        </w:rPr>
        <w:t>podbudowy</w:t>
      </w:r>
      <w:r w:rsidRPr="009040B8">
        <w:rPr>
          <w:rFonts w:ascii="Verdana" w:hAnsi="Verdana" w:cs="Arial"/>
        </w:rPr>
        <w:t xml:space="preserve"> </w:t>
      </w:r>
      <w:r>
        <w:rPr>
          <w:rFonts w:ascii="Verdana" w:hAnsi="Verdana" w:cs="Arial"/>
        </w:rPr>
        <w:t xml:space="preserve">z betonu asfaltowego. </w:t>
      </w:r>
      <w:r w:rsidRPr="009040B8">
        <w:rPr>
          <w:rFonts w:ascii="Verdana" w:hAnsi="Verdana" w:cs="Arial"/>
        </w:rPr>
        <w:t>Stosowana mieszanka</w:t>
      </w:r>
      <w:r>
        <w:rPr>
          <w:rFonts w:ascii="Verdana" w:hAnsi="Verdana" w:cs="Arial"/>
        </w:rPr>
        <w:t xml:space="preserve"> </w:t>
      </w:r>
      <w:r w:rsidRPr="009040B8">
        <w:rPr>
          <w:rFonts w:ascii="Verdana" w:hAnsi="Verdana" w:cs="Arial"/>
        </w:rPr>
        <w:t>betonu asfaltowego o wymiarze D podano w tab</w:t>
      </w:r>
      <w:r>
        <w:rPr>
          <w:rFonts w:ascii="Verdana" w:hAnsi="Verdana" w:cs="Arial"/>
        </w:rPr>
        <w:t>eli</w:t>
      </w:r>
      <w:r w:rsidRPr="009040B8">
        <w:rPr>
          <w:rFonts w:ascii="Verdana" w:hAnsi="Verdana" w:cs="Arial"/>
        </w:rPr>
        <w:t xml:space="preserve"> 1.</w:t>
      </w:r>
    </w:p>
    <w:p w:rsidR="0051730D" w:rsidRPr="009040B8" w:rsidRDefault="0051730D" w:rsidP="0051730D">
      <w:pPr>
        <w:spacing w:before="60" w:after="6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 Stosowana mieszanka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51730D" w:rsidRPr="009040B8" w:rsidTr="0051730D">
        <w:trPr>
          <w:trHeight w:val="710"/>
        </w:trPr>
        <w:tc>
          <w:tcPr>
            <w:tcW w:w="1276" w:type="dxa"/>
            <w:vAlign w:val="center"/>
          </w:tcPr>
          <w:p w:rsidR="0051730D" w:rsidRPr="009040B8" w:rsidRDefault="0051730D" w:rsidP="0051730D">
            <w:pPr>
              <w:spacing w:before="60"/>
              <w:jc w:val="center"/>
              <w:rPr>
                <w:rFonts w:ascii="Verdana" w:hAnsi="Verdana" w:cs="Arial"/>
              </w:rPr>
            </w:pPr>
            <w:r w:rsidRPr="009040B8">
              <w:rPr>
                <w:rFonts w:ascii="Verdana" w:hAnsi="Verdana" w:cs="Arial"/>
              </w:rPr>
              <w:t>Kategoria</w:t>
            </w:r>
          </w:p>
          <w:p w:rsidR="0051730D" w:rsidRPr="009040B8" w:rsidRDefault="0051730D" w:rsidP="0051730D">
            <w:pPr>
              <w:spacing w:after="60"/>
              <w:jc w:val="center"/>
              <w:rPr>
                <w:rFonts w:ascii="Verdana" w:hAnsi="Verdana" w:cs="Arial"/>
              </w:rPr>
            </w:pPr>
            <w:r w:rsidRPr="009040B8">
              <w:rPr>
                <w:rFonts w:ascii="Verdana" w:hAnsi="Verdana" w:cs="Arial"/>
              </w:rPr>
              <w:t>ruchu</w:t>
            </w:r>
          </w:p>
        </w:tc>
        <w:tc>
          <w:tcPr>
            <w:tcW w:w="6132" w:type="dxa"/>
            <w:vAlign w:val="center"/>
          </w:tcPr>
          <w:p w:rsidR="0051730D" w:rsidRPr="009040B8" w:rsidRDefault="0051730D" w:rsidP="0051730D">
            <w:pPr>
              <w:spacing w:before="60" w:after="60"/>
              <w:jc w:val="center"/>
              <w:rPr>
                <w:rFonts w:ascii="Verdana" w:hAnsi="Verdana" w:cs="Arial"/>
              </w:rPr>
            </w:pPr>
            <w:r w:rsidRPr="009040B8">
              <w:rPr>
                <w:rFonts w:ascii="Verdana" w:hAnsi="Verdana" w:cs="Arial"/>
              </w:rPr>
              <w:t>Mieszanki  o wymiarze D</w:t>
            </w:r>
            <w:r w:rsidRPr="009040B8">
              <w:rPr>
                <w:rFonts w:ascii="Verdana" w:hAnsi="Verdana" w:cs="Arial"/>
                <w:vertAlign w:val="superscript"/>
              </w:rPr>
              <w:t>1)</w:t>
            </w:r>
            <w:r w:rsidRPr="009040B8">
              <w:rPr>
                <w:rFonts w:ascii="Verdana" w:hAnsi="Verdana" w:cs="Arial"/>
              </w:rPr>
              <w:t>,  mm</w:t>
            </w:r>
          </w:p>
        </w:tc>
      </w:tr>
      <w:tr w:rsidR="0051730D" w:rsidRPr="009040B8" w:rsidTr="0051730D">
        <w:tc>
          <w:tcPr>
            <w:tcW w:w="1276" w:type="dxa"/>
          </w:tcPr>
          <w:p w:rsidR="0051730D" w:rsidRPr="009040B8" w:rsidRDefault="0051730D" w:rsidP="0051730D">
            <w:pPr>
              <w:spacing w:before="60" w:after="6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c>
          <w:tcPr>
            <w:tcW w:w="6132" w:type="dxa"/>
          </w:tcPr>
          <w:p w:rsidR="0051730D" w:rsidRPr="009040B8" w:rsidRDefault="0051730D" w:rsidP="0051730D">
            <w:pPr>
              <w:spacing w:before="60" w:after="60"/>
              <w:jc w:val="center"/>
              <w:rPr>
                <w:rFonts w:ascii="Verdana" w:hAnsi="Verdana" w:cs="Arial"/>
              </w:rPr>
            </w:pPr>
            <w:r w:rsidRPr="009040B8">
              <w:rPr>
                <w:rFonts w:ascii="Verdana" w:hAnsi="Verdana" w:cs="Arial"/>
              </w:rPr>
              <w:t xml:space="preserve">AC </w:t>
            </w:r>
            <w:r>
              <w:rPr>
                <w:rFonts w:ascii="Verdana" w:hAnsi="Verdana" w:cs="Arial"/>
              </w:rPr>
              <w:t>22 P</w:t>
            </w:r>
          </w:p>
        </w:tc>
      </w:tr>
    </w:tbl>
    <w:p w:rsidR="0051730D" w:rsidRPr="009040B8" w:rsidRDefault="0051730D" w:rsidP="0051730D">
      <w:pPr>
        <w:jc w:val="both"/>
        <w:rPr>
          <w:rFonts w:ascii="Verdana" w:hAnsi="Verdana" w:cs="Arial"/>
        </w:rPr>
      </w:pPr>
      <w:r w:rsidRPr="009040B8">
        <w:rPr>
          <w:rFonts w:ascii="Verdana" w:hAnsi="Verdana" w:cs="Arial"/>
          <w:vertAlign w:val="superscript"/>
        </w:rPr>
        <w:t xml:space="preserve">1) </w:t>
      </w:r>
      <w:r w:rsidRPr="009040B8">
        <w:rPr>
          <w:rFonts w:ascii="Verdana" w:hAnsi="Verdana" w:cs="Arial"/>
        </w:rPr>
        <w:t>Podział ze względu na wymiar największego kruszywa w mieszance.</w:t>
      </w:r>
    </w:p>
    <w:p w:rsidR="0051730D" w:rsidRPr="009040B8" w:rsidRDefault="0051730D" w:rsidP="0051730D">
      <w:pPr>
        <w:keepNext/>
        <w:spacing w:before="240"/>
        <w:jc w:val="both"/>
        <w:outlineLvl w:val="1"/>
        <w:rPr>
          <w:rFonts w:ascii="Verdana" w:hAnsi="Verdana" w:cs="Arial"/>
          <w:b/>
          <w:bCs/>
          <w:iCs/>
        </w:rPr>
      </w:pPr>
      <w:bookmarkStart w:id="216" w:name="_Toc316558770"/>
      <w:r w:rsidRPr="009040B8">
        <w:rPr>
          <w:rFonts w:ascii="Verdana" w:hAnsi="Verdana" w:cs="Arial"/>
          <w:b/>
          <w:bCs/>
          <w:iCs/>
        </w:rPr>
        <w:t>1.4. Określenia podstawowe</w:t>
      </w:r>
      <w:bookmarkEnd w:id="216"/>
    </w:p>
    <w:p w:rsidR="0051730D" w:rsidRPr="009040B8" w:rsidRDefault="0051730D" w:rsidP="0051730D">
      <w:pPr>
        <w:ind w:left="851" w:hanging="851"/>
        <w:jc w:val="both"/>
        <w:rPr>
          <w:rFonts w:ascii="Verdana" w:hAnsi="Verdana" w:cs="Arial"/>
        </w:rPr>
      </w:pPr>
      <w:r w:rsidRPr="009040B8">
        <w:rPr>
          <w:rFonts w:ascii="Verdana" w:hAnsi="Verdana" w:cs="Arial"/>
          <w:b/>
        </w:rPr>
        <w:t xml:space="preserve">1.4.1. </w:t>
      </w:r>
      <w:r>
        <w:rPr>
          <w:rFonts w:ascii="Verdana" w:hAnsi="Verdana" w:cs="Arial"/>
          <w:b/>
        </w:rPr>
        <w:t xml:space="preserve">  </w:t>
      </w:r>
      <w:r w:rsidRPr="009040B8">
        <w:rPr>
          <w:rFonts w:ascii="Verdana" w:hAnsi="Verdana" w:cs="Arial"/>
          <w:u w:val="single"/>
        </w:rPr>
        <w:t>Nawierzchnia</w:t>
      </w:r>
      <w:r w:rsidRPr="009040B8">
        <w:rPr>
          <w:rFonts w:ascii="Verdana" w:hAnsi="Verdana" w:cs="Arial"/>
        </w:rPr>
        <w:t xml:space="preserve"> – konstrukcja składająca się z jednej lub kilku warstw służących do </w:t>
      </w:r>
      <w:r>
        <w:rPr>
          <w:rFonts w:ascii="Verdana" w:hAnsi="Verdana" w:cs="Arial"/>
        </w:rPr>
        <w:t xml:space="preserve"> </w:t>
      </w:r>
      <w:r w:rsidRPr="009040B8">
        <w:rPr>
          <w:rFonts w:ascii="Verdana" w:hAnsi="Verdana" w:cs="Arial"/>
        </w:rPr>
        <w:t>przejmowania i rozkładania obciążeń od ruchu pojazdów na podłoże.</w:t>
      </w:r>
      <w:r w:rsidRPr="009040B8">
        <w:rPr>
          <w:rFonts w:ascii="Verdana" w:hAnsi="Verdana" w:cs="Arial"/>
          <w:b/>
        </w:rPr>
        <w:t xml:space="preserve"> </w:t>
      </w:r>
    </w:p>
    <w:p w:rsidR="0051730D" w:rsidRPr="00DB5248" w:rsidRDefault="0051730D" w:rsidP="0051730D">
      <w:pPr>
        <w:ind w:left="851" w:hanging="851"/>
        <w:jc w:val="both"/>
        <w:rPr>
          <w:rFonts w:ascii="Verdana" w:hAnsi="Verdana" w:cs="Arial"/>
        </w:rPr>
      </w:pPr>
      <w:r w:rsidRPr="009040B8">
        <w:rPr>
          <w:rFonts w:ascii="Verdana" w:hAnsi="Verdana" w:cs="Arial"/>
          <w:b/>
        </w:rPr>
        <w:t>1.4.2.</w:t>
      </w:r>
      <w:r>
        <w:rPr>
          <w:rFonts w:ascii="Verdana" w:hAnsi="Verdana" w:cs="Arial"/>
          <w:b/>
        </w:rPr>
        <w:t xml:space="preserve">  </w:t>
      </w:r>
      <w:r w:rsidRPr="00DB5248">
        <w:rPr>
          <w:rFonts w:ascii="Verdana" w:hAnsi="Verdana" w:cs="Arial"/>
          <w:u w:val="single"/>
        </w:rPr>
        <w:t xml:space="preserve">Warstwa </w:t>
      </w:r>
      <w:r>
        <w:rPr>
          <w:rFonts w:ascii="Verdana" w:hAnsi="Verdana" w:cs="Arial"/>
          <w:u w:val="single"/>
        </w:rPr>
        <w:t>podbudowy</w:t>
      </w:r>
      <w:r w:rsidRPr="00DB5248">
        <w:rPr>
          <w:rFonts w:ascii="Verdana" w:hAnsi="Verdana" w:cs="Arial"/>
        </w:rPr>
        <w:t xml:space="preserve"> – </w:t>
      </w:r>
      <w:r>
        <w:rPr>
          <w:rFonts w:ascii="Verdana" w:hAnsi="Verdana" w:cs="Arial"/>
        </w:rPr>
        <w:t>warstwa nośna z betonu asfaltowego spełniająca funkcje nośne w konstrukcji nawierzchni</w:t>
      </w:r>
      <w:r w:rsidRPr="00DB5248">
        <w:rPr>
          <w:rFonts w:ascii="Verdana" w:hAnsi="Verdana" w:cs="Arial"/>
        </w:rPr>
        <w:t>.</w:t>
      </w:r>
    </w:p>
    <w:p w:rsidR="0051730D" w:rsidRPr="009040B8" w:rsidRDefault="0051730D" w:rsidP="0051730D">
      <w:pPr>
        <w:ind w:left="851" w:hanging="851"/>
        <w:jc w:val="both"/>
        <w:rPr>
          <w:rFonts w:ascii="Verdana" w:hAnsi="Verdana" w:cs="Arial"/>
        </w:rPr>
      </w:pPr>
      <w:r w:rsidRPr="009040B8">
        <w:rPr>
          <w:rFonts w:ascii="Verdana" w:hAnsi="Verdana" w:cs="Arial"/>
          <w:b/>
        </w:rPr>
        <w:t xml:space="preserve">1.4.3.   </w:t>
      </w:r>
      <w:r w:rsidRPr="009040B8">
        <w:rPr>
          <w:rFonts w:ascii="Verdana" w:hAnsi="Verdana" w:cs="Arial"/>
          <w:u w:val="single"/>
        </w:rPr>
        <w:t>Mieszanka mineralno-asfaltowa</w:t>
      </w:r>
      <w:r w:rsidRPr="009040B8">
        <w:rPr>
          <w:rFonts w:ascii="Verdana" w:hAnsi="Verdana" w:cs="Arial"/>
        </w:rPr>
        <w:t xml:space="preserve"> – mieszanka kruszyw i lepiszcza asfaltowego.</w:t>
      </w:r>
    </w:p>
    <w:p w:rsidR="0051730D" w:rsidRPr="009040B8" w:rsidRDefault="0051730D" w:rsidP="0051730D">
      <w:pPr>
        <w:ind w:left="851" w:hanging="851"/>
        <w:jc w:val="both"/>
        <w:rPr>
          <w:rFonts w:ascii="Verdana" w:hAnsi="Verdana" w:cs="Arial"/>
        </w:rPr>
      </w:pPr>
      <w:r w:rsidRPr="009040B8">
        <w:rPr>
          <w:rFonts w:ascii="Verdana" w:hAnsi="Verdana" w:cs="Arial"/>
          <w:b/>
        </w:rPr>
        <w:t xml:space="preserve">1.4.4. </w:t>
      </w:r>
      <w:r w:rsidRPr="009040B8">
        <w:rPr>
          <w:rFonts w:ascii="Verdana" w:hAnsi="Verdana" w:cs="Arial"/>
          <w:u w:val="single"/>
        </w:rPr>
        <w:t>Wymiar mieszanki mineralno-asfaltowej</w:t>
      </w:r>
      <w:r w:rsidRPr="009040B8">
        <w:rPr>
          <w:rFonts w:ascii="Verdana" w:hAnsi="Verdana" w:cs="Arial"/>
        </w:rPr>
        <w:t xml:space="preserve"> – określenie mieszanki mineralno-asfaltowej, wyróżniające tę mieszankę ze zbioru mieszanek tego samego typu ze względu na największy wymiar kruszywa, np. wymiar </w:t>
      </w:r>
      <w:r>
        <w:rPr>
          <w:rFonts w:ascii="Verdana" w:hAnsi="Verdana" w:cs="Arial"/>
        </w:rPr>
        <w:t>22</w:t>
      </w:r>
      <w:r w:rsidRPr="009040B8">
        <w:rPr>
          <w:rFonts w:ascii="Verdana" w:hAnsi="Verdana" w:cs="Arial"/>
        </w:rPr>
        <w:t xml:space="preserve"> lub </w:t>
      </w:r>
      <w:r>
        <w:rPr>
          <w:rFonts w:ascii="Verdana" w:hAnsi="Verdana" w:cs="Arial"/>
        </w:rPr>
        <w:t>16</w:t>
      </w:r>
      <w:r w:rsidRPr="009040B8">
        <w:rPr>
          <w:rFonts w:ascii="Verdana" w:hAnsi="Verdana" w:cs="Arial"/>
        </w:rPr>
        <w:t>.</w:t>
      </w:r>
    </w:p>
    <w:p w:rsidR="0051730D" w:rsidRPr="009040B8" w:rsidRDefault="0051730D" w:rsidP="0051730D">
      <w:pPr>
        <w:ind w:left="851" w:hanging="851"/>
        <w:jc w:val="both"/>
        <w:rPr>
          <w:rFonts w:ascii="Verdana" w:hAnsi="Verdana" w:cs="Arial"/>
        </w:rPr>
      </w:pPr>
      <w:r w:rsidRPr="009040B8">
        <w:rPr>
          <w:rFonts w:ascii="Verdana" w:hAnsi="Verdana" w:cs="Arial"/>
          <w:b/>
        </w:rPr>
        <w:t>1.4.5.</w:t>
      </w:r>
      <w:r>
        <w:rPr>
          <w:rFonts w:ascii="Verdana" w:hAnsi="Verdana" w:cs="Arial"/>
          <w:b/>
        </w:rPr>
        <w:t xml:space="preserve"> </w:t>
      </w:r>
      <w:r w:rsidRPr="009040B8">
        <w:rPr>
          <w:rFonts w:ascii="Verdana" w:hAnsi="Verdana" w:cs="Arial"/>
          <w:u w:val="single"/>
        </w:rPr>
        <w:t>Beton asfaltowy</w:t>
      </w:r>
      <w:r w:rsidRPr="009040B8">
        <w:rPr>
          <w:rFonts w:ascii="Verdana" w:hAnsi="Verdana" w:cs="Arial"/>
        </w:rPr>
        <w:t xml:space="preserve"> – mieszanka mineralno-asfaltowa, w której kruszywo o uziarnieniu ciągłym lub nieciągłym tworzy strukturę wzajemnie klinującą się.</w:t>
      </w:r>
    </w:p>
    <w:p w:rsidR="0051730D" w:rsidRPr="009040B8" w:rsidRDefault="0051730D" w:rsidP="0051730D">
      <w:pPr>
        <w:ind w:left="851" w:hanging="851"/>
        <w:jc w:val="both"/>
        <w:rPr>
          <w:rFonts w:ascii="Verdana" w:hAnsi="Verdana" w:cs="Arial"/>
        </w:rPr>
      </w:pPr>
      <w:r w:rsidRPr="009040B8">
        <w:rPr>
          <w:rFonts w:ascii="Verdana" w:hAnsi="Verdana" w:cs="Arial"/>
          <w:b/>
        </w:rPr>
        <w:t xml:space="preserve">1.4.6. </w:t>
      </w:r>
      <w:r>
        <w:rPr>
          <w:rFonts w:ascii="Verdana" w:hAnsi="Verdana" w:cs="Arial"/>
          <w:b/>
        </w:rPr>
        <w:t xml:space="preserve"> </w:t>
      </w:r>
      <w:r w:rsidRPr="009040B8">
        <w:rPr>
          <w:rFonts w:ascii="Verdana" w:hAnsi="Verdana" w:cs="Arial"/>
          <w:u w:val="single"/>
        </w:rPr>
        <w:t>Uziarnienie</w:t>
      </w:r>
      <w:r w:rsidRPr="009040B8">
        <w:rPr>
          <w:rFonts w:ascii="Verdana" w:hAnsi="Verdana" w:cs="Arial"/>
        </w:rPr>
        <w:t xml:space="preserve"> – skład ziarnowy kruszywa, wyrażony w procentach masy ziaren przechodzących przez określony zestaw sit.</w:t>
      </w:r>
    </w:p>
    <w:p w:rsidR="0051730D" w:rsidRPr="006D2270" w:rsidRDefault="0051730D" w:rsidP="0051730D">
      <w:pPr>
        <w:ind w:left="851" w:hanging="851"/>
        <w:jc w:val="both"/>
        <w:rPr>
          <w:rFonts w:ascii="Verdana" w:hAnsi="Verdana" w:cs="Arial"/>
        </w:rPr>
      </w:pPr>
      <w:r w:rsidRPr="009040B8">
        <w:rPr>
          <w:rFonts w:ascii="Verdana" w:hAnsi="Verdana" w:cs="Arial"/>
          <w:b/>
        </w:rPr>
        <w:t xml:space="preserve">1.4.7. </w:t>
      </w:r>
      <w:r>
        <w:rPr>
          <w:rFonts w:ascii="Verdana" w:hAnsi="Verdana" w:cs="Arial"/>
          <w:b/>
        </w:rPr>
        <w:t xml:space="preserve"> </w:t>
      </w:r>
      <w:r w:rsidRPr="009040B8">
        <w:rPr>
          <w:rFonts w:ascii="Verdana" w:hAnsi="Verdana" w:cs="Arial"/>
          <w:u w:val="single"/>
        </w:rPr>
        <w:t>Kategoria ruchu</w:t>
      </w:r>
      <w:r w:rsidRPr="009040B8">
        <w:rPr>
          <w:rFonts w:ascii="Verdana" w:hAnsi="Verdana" w:cs="Arial"/>
        </w:rPr>
        <w:t xml:space="preserve"> – </w:t>
      </w:r>
      <w:r w:rsidRPr="006D2270">
        <w:rPr>
          <w:rFonts w:ascii="Verdana" w:hAnsi="Verdana" w:cs="Arial"/>
        </w:rPr>
        <w:t xml:space="preserve">obciążenie drogi ruchem samochodowym, wyrażone w osiach obliczeniowych (100 </w:t>
      </w:r>
      <w:proofErr w:type="spellStart"/>
      <w:r w:rsidRPr="006D2270">
        <w:rPr>
          <w:rFonts w:ascii="Verdana" w:hAnsi="Verdana" w:cs="Arial"/>
        </w:rPr>
        <w:t>kN</w:t>
      </w:r>
      <w:proofErr w:type="spellEnd"/>
      <w:r w:rsidRPr="006D2270">
        <w:rPr>
          <w:rFonts w:ascii="Verdana" w:hAnsi="Verdana" w:cs="Arial"/>
        </w:rPr>
        <w:t>) wg „Katalogu typowych konstrukcji nawier</w:t>
      </w:r>
      <w:r>
        <w:rPr>
          <w:rFonts w:ascii="Verdana" w:hAnsi="Verdana" w:cs="Arial"/>
        </w:rPr>
        <w:t xml:space="preserve">zchni podatnych i półsztywnych”, Politechnika Gdańska, Gdańsk 2014 </w:t>
      </w:r>
      <w:r w:rsidRPr="006D2270">
        <w:rPr>
          <w:rFonts w:ascii="Verdana" w:hAnsi="Verdana" w:cs="Arial"/>
        </w:rPr>
        <w:t>[6</w:t>
      </w:r>
      <w:r>
        <w:rPr>
          <w:rFonts w:ascii="Verdana" w:hAnsi="Verdana" w:cs="Arial"/>
        </w:rPr>
        <w:t>8</w:t>
      </w:r>
      <w:r w:rsidRPr="006D2270">
        <w:rPr>
          <w:rFonts w:ascii="Verdana" w:hAnsi="Verdana" w:cs="Arial"/>
        </w:rPr>
        <w:t>].</w:t>
      </w:r>
    </w:p>
    <w:p w:rsidR="0051730D" w:rsidRPr="009040B8" w:rsidRDefault="0051730D" w:rsidP="0051730D">
      <w:pPr>
        <w:ind w:left="851" w:hanging="851"/>
        <w:jc w:val="both"/>
        <w:rPr>
          <w:rFonts w:ascii="Verdana" w:hAnsi="Verdana" w:cs="Arial"/>
        </w:rPr>
      </w:pPr>
      <w:r w:rsidRPr="009040B8">
        <w:rPr>
          <w:rFonts w:ascii="Verdana" w:hAnsi="Verdana" w:cs="Arial"/>
          <w:b/>
        </w:rPr>
        <w:t xml:space="preserve">1.4.8. </w:t>
      </w:r>
      <w:r>
        <w:rPr>
          <w:rFonts w:ascii="Verdana" w:hAnsi="Verdana" w:cs="Arial"/>
          <w:b/>
        </w:rPr>
        <w:t xml:space="preserve"> </w:t>
      </w:r>
      <w:r w:rsidRPr="009040B8">
        <w:rPr>
          <w:rFonts w:ascii="Verdana" w:hAnsi="Verdana" w:cs="Arial"/>
          <w:u w:val="single"/>
        </w:rPr>
        <w:t>Wymiar kruszywa</w:t>
      </w:r>
      <w:r w:rsidRPr="009040B8">
        <w:rPr>
          <w:rFonts w:ascii="Verdana" w:hAnsi="Verdana" w:cs="Arial"/>
        </w:rPr>
        <w:t xml:space="preserve"> – wielkość ziaren kruszywa, określona przez dolny (d) i górny (D) wymiar sita.</w:t>
      </w:r>
    </w:p>
    <w:p w:rsidR="0051730D" w:rsidRPr="009040B8" w:rsidRDefault="0051730D" w:rsidP="0051730D">
      <w:pPr>
        <w:ind w:left="709" w:hanging="709"/>
        <w:jc w:val="both"/>
        <w:rPr>
          <w:rFonts w:ascii="Verdana" w:hAnsi="Verdana" w:cs="Arial"/>
        </w:rPr>
      </w:pPr>
      <w:r w:rsidRPr="009040B8">
        <w:rPr>
          <w:rFonts w:ascii="Verdana" w:hAnsi="Verdana" w:cs="Arial"/>
          <w:b/>
        </w:rPr>
        <w:t xml:space="preserve">1.4.9. </w:t>
      </w:r>
      <w:r>
        <w:rPr>
          <w:rFonts w:ascii="Verdana" w:hAnsi="Verdana" w:cs="Arial"/>
          <w:b/>
        </w:rPr>
        <w:t xml:space="preserve">  </w:t>
      </w:r>
      <w:r w:rsidRPr="009040B8">
        <w:rPr>
          <w:rFonts w:ascii="Verdana" w:hAnsi="Verdana" w:cs="Arial"/>
          <w:u w:val="single"/>
        </w:rPr>
        <w:t>Kruszywo grube</w:t>
      </w:r>
      <w:r w:rsidRPr="009040B8">
        <w:rPr>
          <w:rFonts w:ascii="Verdana" w:hAnsi="Verdana" w:cs="Arial"/>
        </w:rPr>
        <w:t xml:space="preserve"> – kruszywo z ziaren o wymiarze: D ≤ 45 mm oraz d </w:t>
      </w:r>
      <w:r w:rsidRPr="00F75918">
        <w:rPr>
          <w:rFonts w:ascii="Verdana" w:hAnsi="Verdana" w:cs="Arial"/>
        </w:rPr>
        <w:t>≥</w:t>
      </w:r>
      <w:r w:rsidRPr="009040B8">
        <w:rPr>
          <w:rFonts w:ascii="Verdana" w:hAnsi="Verdana" w:cs="Arial"/>
        </w:rPr>
        <w:t xml:space="preserve"> 2 mm.</w:t>
      </w:r>
    </w:p>
    <w:p w:rsidR="0051730D" w:rsidRPr="009040B8" w:rsidRDefault="0051730D" w:rsidP="0051730D">
      <w:pPr>
        <w:ind w:left="851" w:hanging="851"/>
        <w:jc w:val="both"/>
        <w:rPr>
          <w:rFonts w:ascii="Verdana" w:hAnsi="Verdana" w:cs="Arial"/>
        </w:rPr>
      </w:pPr>
      <w:r w:rsidRPr="009040B8">
        <w:rPr>
          <w:rFonts w:ascii="Verdana" w:hAnsi="Verdana" w:cs="Arial"/>
          <w:b/>
        </w:rPr>
        <w:t>1.4.10.</w:t>
      </w:r>
      <w:r>
        <w:rPr>
          <w:rFonts w:ascii="Verdana" w:hAnsi="Verdana" w:cs="Arial"/>
          <w:b/>
        </w:rPr>
        <w:t xml:space="preserve"> </w:t>
      </w:r>
      <w:r w:rsidRPr="009040B8">
        <w:rPr>
          <w:rFonts w:ascii="Verdana" w:hAnsi="Verdana" w:cs="Arial"/>
          <w:u w:val="single"/>
        </w:rPr>
        <w:t>Kruszywo drobne</w:t>
      </w:r>
      <w:r w:rsidRPr="009040B8">
        <w:rPr>
          <w:rFonts w:ascii="Verdana" w:hAnsi="Verdana" w:cs="Arial"/>
        </w:rPr>
        <w:t xml:space="preserve"> – kruszywo z ziaren o wymiarze: D ≤ 2 mm, którego większa część pozostaje na sicie 0,063 mm.</w:t>
      </w:r>
    </w:p>
    <w:p w:rsidR="0051730D" w:rsidRPr="009040B8" w:rsidRDefault="0051730D" w:rsidP="0051730D">
      <w:pPr>
        <w:ind w:left="709" w:hanging="709"/>
        <w:jc w:val="both"/>
        <w:rPr>
          <w:rFonts w:ascii="Verdana" w:hAnsi="Verdana" w:cs="Arial"/>
        </w:rPr>
      </w:pPr>
      <w:r w:rsidRPr="009040B8">
        <w:rPr>
          <w:rFonts w:ascii="Verdana" w:hAnsi="Verdana" w:cs="Arial"/>
          <w:b/>
        </w:rPr>
        <w:t xml:space="preserve">1.4.11. </w:t>
      </w:r>
      <w:r w:rsidRPr="009040B8">
        <w:rPr>
          <w:rFonts w:ascii="Verdana" w:hAnsi="Verdana" w:cs="Arial"/>
          <w:u w:val="single"/>
        </w:rPr>
        <w:t>Pył</w:t>
      </w:r>
      <w:r>
        <w:rPr>
          <w:rFonts w:ascii="Verdana" w:hAnsi="Verdana" w:cs="Arial"/>
          <w:u w:val="single"/>
        </w:rPr>
        <w:t>y</w:t>
      </w:r>
      <w:r w:rsidRPr="009040B8">
        <w:rPr>
          <w:rFonts w:ascii="Verdana" w:hAnsi="Verdana" w:cs="Arial"/>
        </w:rPr>
        <w:t xml:space="preserve"> – kruszywo z ziaren przechodzących przez sito 0,063 mm.</w:t>
      </w:r>
    </w:p>
    <w:p w:rsidR="0051730D" w:rsidRPr="009040B8" w:rsidRDefault="0051730D" w:rsidP="0051730D">
      <w:pPr>
        <w:ind w:left="851" w:hanging="851"/>
        <w:jc w:val="both"/>
        <w:rPr>
          <w:rFonts w:ascii="Verdana" w:hAnsi="Verdana" w:cs="Arial"/>
        </w:rPr>
      </w:pPr>
      <w:r w:rsidRPr="009040B8">
        <w:rPr>
          <w:rFonts w:ascii="Verdana" w:hAnsi="Verdana" w:cs="Arial"/>
          <w:b/>
        </w:rPr>
        <w:t xml:space="preserve">1.4.12. </w:t>
      </w:r>
      <w:r w:rsidRPr="009040B8">
        <w:rPr>
          <w:rFonts w:ascii="Verdana" w:hAnsi="Verdana" w:cs="Arial"/>
          <w:u w:val="single"/>
        </w:rPr>
        <w:t>Wypełniacz</w:t>
      </w:r>
      <w:r w:rsidRPr="009040B8">
        <w:rPr>
          <w:rFonts w:ascii="Verdana" w:hAnsi="Verdana" w:cs="Arial"/>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51730D" w:rsidRPr="009040B8" w:rsidRDefault="0051730D" w:rsidP="0051730D">
      <w:pPr>
        <w:ind w:left="851" w:hanging="851"/>
        <w:jc w:val="both"/>
        <w:rPr>
          <w:rFonts w:ascii="Verdana" w:hAnsi="Verdana" w:cs="Arial"/>
        </w:rPr>
      </w:pPr>
      <w:r w:rsidRPr="009040B8">
        <w:rPr>
          <w:rFonts w:ascii="Verdana" w:hAnsi="Verdana" w:cs="Arial"/>
          <w:b/>
        </w:rPr>
        <w:lastRenderedPageBreak/>
        <w:t xml:space="preserve">1.4.13. </w:t>
      </w:r>
      <w:r w:rsidRPr="009040B8">
        <w:rPr>
          <w:rFonts w:ascii="Verdana" w:hAnsi="Verdana" w:cs="Arial"/>
          <w:u w:val="single"/>
        </w:rPr>
        <w:t>Kationowa emulsja asfaltowa</w:t>
      </w:r>
      <w:r w:rsidRPr="009040B8">
        <w:rPr>
          <w:rFonts w:ascii="Verdana" w:hAnsi="Verdana" w:cs="Arial"/>
        </w:rPr>
        <w:t xml:space="preserve"> – emulsja, w której emulgator nadaje dodatnie ładunki cząstkom zdyspergowanego asfaltu.</w:t>
      </w:r>
    </w:p>
    <w:p w:rsidR="0051730D" w:rsidRPr="009040B8" w:rsidRDefault="0051730D" w:rsidP="0051730D">
      <w:pPr>
        <w:ind w:left="851" w:hanging="851"/>
        <w:jc w:val="both"/>
        <w:rPr>
          <w:rFonts w:ascii="Verdana" w:hAnsi="Verdana" w:cs="Arial"/>
        </w:rPr>
      </w:pPr>
      <w:r w:rsidRPr="009040B8">
        <w:rPr>
          <w:rFonts w:ascii="Verdana" w:hAnsi="Verdana" w:cs="Arial"/>
          <w:b/>
        </w:rPr>
        <w:t>1.4.14.</w:t>
      </w:r>
      <w:r>
        <w:rPr>
          <w:rFonts w:ascii="Verdana" w:hAnsi="Verdana" w:cs="Arial"/>
          <w:b/>
        </w:rPr>
        <w:t xml:space="preserve"> </w:t>
      </w:r>
      <w:r w:rsidRPr="009040B8">
        <w:rPr>
          <w:rFonts w:ascii="Verdana" w:hAnsi="Verdana" w:cs="Arial"/>
        </w:rPr>
        <w:t xml:space="preserve">Pozostałe określenia podstawowe są zgodne z obowiązującymi, odpowiednimi polskimi normami i z definicjami podanymi w </w:t>
      </w:r>
      <w:r>
        <w:rPr>
          <w:rFonts w:ascii="Verdana" w:hAnsi="Verdana" w:cs="Arial"/>
        </w:rPr>
        <w:t>S</w:t>
      </w:r>
      <w:r w:rsidRPr="009040B8">
        <w:rPr>
          <w:rFonts w:ascii="Verdana" w:hAnsi="Verdana" w:cs="Arial"/>
        </w:rPr>
        <w:t>ST D-M-00.00.00 „Wymagania ogólne” pkt 1.4.</w:t>
      </w:r>
    </w:p>
    <w:p w:rsidR="0051730D" w:rsidRPr="009040B8" w:rsidRDefault="0051730D" w:rsidP="0051730D">
      <w:pPr>
        <w:ind w:left="709" w:hanging="709"/>
        <w:jc w:val="both"/>
        <w:rPr>
          <w:rFonts w:ascii="Verdana" w:hAnsi="Verdana" w:cs="Arial"/>
        </w:rPr>
      </w:pPr>
      <w:r w:rsidRPr="009040B8">
        <w:rPr>
          <w:rFonts w:ascii="Verdana" w:hAnsi="Verdana" w:cs="Arial"/>
          <w:b/>
        </w:rPr>
        <w:t xml:space="preserve">1.4.15.  </w:t>
      </w:r>
      <w:r w:rsidRPr="009040B8">
        <w:rPr>
          <w:rFonts w:ascii="Verdana" w:hAnsi="Verdana" w:cs="Arial"/>
        </w:rPr>
        <w:t>Symbole i skróty dodatkowe</w:t>
      </w:r>
    </w:p>
    <w:tbl>
      <w:tblPr>
        <w:tblW w:w="0" w:type="auto"/>
        <w:tblLook w:val="04A0" w:firstRow="1" w:lastRow="0" w:firstColumn="1" w:lastColumn="0" w:noHBand="0" w:noVBand="1"/>
      </w:tblPr>
      <w:tblGrid>
        <w:gridCol w:w="817"/>
        <w:gridCol w:w="6694"/>
      </w:tblGrid>
      <w:tr w:rsidR="0051730D" w:rsidRPr="009040B8" w:rsidTr="0051730D">
        <w:tc>
          <w:tcPr>
            <w:tcW w:w="817" w:type="dxa"/>
          </w:tcPr>
          <w:p w:rsidR="0051730D" w:rsidRPr="009040B8" w:rsidRDefault="0051730D" w:rsidP="0051730D">
            <w:pPr>
              <w:tabs>
                <w:tab w:val="left" w:pos="601"/>
              </w:tabs>
              <w:jc w:val="both"/>
              <w:rPr>
                <w:rFonts w:ascii="Verdana" w:hAnsi="Verdana" w:cs="Arial"/>
              </w:rPr>
            </w:pPr>
            <w:r w:rsidRPr="009040B8">
              <w:rPr>
                <w:rFonts w:ascii="Verdana" w:hAnsi="Verdana" w:cs="Arial"/>
              </w:rPr>
              <w:t xml:space="preserve">AC </w:t>
            </w:r>
            <w:r>
              <w:rPr>
                <w:rFonts w:ascii="Verdana" w:hAnsi="Verdana" w:cs="Arial"/>
              </w:rPr>
              <w:t>P</w:t>
            </w:r>
          </w:p>
        </w:tc>
        <w:tc>
          <w:tcPr>
            <w:tcW w:w="6694" w:type="dxa"/>
          </w:tcPr>
          <w:p w:rsidR="0051730D" w:rsidRPr="009040B8" w:rsidRDefault="0051730D" w:rsidP="0051730D">
            <w:pPr>
              <w:tabs>
                <w:tab w:val="left" w:pos="601"/>
              </w:tabs>
              <w:jc w:val="both"/>
              <w:rPr>
                <w:rFonts w:ascii="Verdana" w:hAnsi="Verdana" w:cs="Arial"/>
              </w:rPr>
            </w:pPr>
            <w:r w:rsidRPr="009040B8">
              <w:rPr>
                <w:rFonts w:ascii="Verdana" w:hAnsi="Verdana" w:cs="Arial"/>
              </w:rPr>
              <w:t xml:space="preserve">- beton asfaltowy do warstwy </w:t>
            </w:r>
            <w:r>
              <w:rPr>
                <w:rFonts w:ascii="Verdana" w:hAnsi="Verdana" w:cs="Arial"/>
              </w:rPr>
              <w:t>podbudowy</w:t>
            </w:r>
          </w:p>
        </w:tc>
      </w:tr>
      <w:tr w:rsidR="0051730D" w:rsidRPr="009040B8" w:rsidTr="0051730D">
        <w:tc>
          <w:tcPr>
            <w:tcW w:w="817" w:type="dxa"/>
          </w:tcPr>
          <w:p w:rsidR="0051730D" w:rsidRPr="009040B8" w:rsidRDefault="0051730D" w:rsidP="0051730D">
            <w:pPr>
              <w:tabs>
                <w:tab w:val="left" w:pos="601"/>
              </w:tabs>
              <w:jc w:val="both"/>
              <w:rPr>
                <w:rFonts w:ascii="Verdana" w:hAnsi="Verdana" w:cs="Arial"/>
              </w:rPr>
            </w:pPr>
            <w:r w:rsidRPr="009040B8">
              <w:rPr>
                <w:rFonts w:ascii="Verdana" w:hAnsi="Verdana" w:cs="Arial"/>
              </w:rPr>
              <w:t>PMB</w:t>
            </w:r>
          </w:p>
        </w:tc>
        <w:tc>
          <w:tcPr>
            <w:tcW w:w="6694" w:type="dxa"/>
          </w:tcPr>
          <w:p w:rsidR="0051730D" w:rsidRPr="009040B8" w:rsidRDefault="0051730D" w:rsidP="0051730D">
            <w:pPr>
              <w:tabs>
                <w:tab w:val="left" w:pos="601"/>
              </w:tabs>
              <w:jc w:val="both"/>
              <w:rPr>
                <w:rFonts w:ascii="Verdana" w:hAnsi="Verdana" w:cs="Arial"/>
              </w:rPr>
            </w:pPr>
            <w:r w:rsidRPr="009040B8">
              <w:rPr>
                <w:rFonts w:ascii="Verdana" w:hAnsi="Verdana" w:cs="Arial"/>
              </w:rPr>
              <w:t>- asfalt modyfikowany polimerami,</w:t>
            </w:r>
          </w:p>
        </w:tc>
      </w:tr>
      <w:tr w:rsidR="0051730D" w:rsidRPr="009040B8" w:rsidTr="0051730D">
        <w:tc>
          <w:tcPr>
            <w:tcW w:w="817" w:type="dxa"/>
          </w:tcPr>
          <w:p w:rsidR="0051730D" w:rsidRPr="009040B8" w:rsidRDefault="0051730D" w:rsidP="0051730D">
            <w:pPr>
              <w:tabs>
                <w:tab w:val="left" w:pos="601"/>
              </w:tabs>
              <w:jc w:val="both"/>
              <w:rPr>
                <w:rFonts w:ascii="Verdana" w:hAnsi="Verdana" w:cs="Arial"/>
              </w:rPr>
            </w:pPr>
            <w:r w:rsidRPr="009040B8">
              <w:rPr>
                <w:rFonts w:ascii="Verdana" w:hAnsi="Verdana" w:cs="Arial"/>
              </w:rPr>
              <w:t>D</w:t>
            </w:r>
          </w:p>
        </w:tc>
        <w:tc>
          <w:tcPr>
            <w:tcW w:w="6694" w:type="dxa"/>
          </w:tcPr>
          <w:p w:rsidR="0051730D" w:rsidRPr="009040B8" w:rsidRDefault="0051730D" w:rsidP="0051730D">
            <w:pPr>
              <w:tabs>
                <w:tab w:val="left" w:pos="601"/>
              </w:tabs>
              <w:jc w:val="both"/>
              <w:rPr>
                <w:rFonts w:ascii="Verdana" w:hAnsi="Verdana" w:cs="Arial"/>
              </w:rPr>
            </w:pPr>
            <w:r w:rsidRPr="009040B8">
              <w:rPr>
                <w:rFonts w:ascii="Verdana" w:hAnsi="Verdana" w:cs="Arial"/>
              </w:rPr>
              <w:t>- górny wymiar sita (przy określaniu wielkości ziaren kruszywa),</w:t>
            </w:r>
          </w:p>
        </w:tc>
      </w:tr>
      <w:tr w:rsidR="0051730D" w:rsidRPr="009040B8" w:rsidTr="0051730D">
        <w:tc>
          <w:tcPr>
            <w:tcW w:w="817" w:type="dxa"/>
          </w:tcPr>
          <w:p w:rsidR="0051730D" w:rsidRPr="009040B8" w:rsidRDefault="0051730D" w:rsidP="0051730D">
            <w:pPr>
              <w:tabs>
                <w:tab w:val="left" w:pos="601"/>
              </w:tabs>
              <w:jc w:val="both"/>
              <w:rPr>
                <w:rFonts w:ascii="Verdana" w:hAnsi="Verdana" w:cs="Arial"/>
              </w:rPr>
            </w:pPr>
            <w:r w:rsidRPr="009040B8">
              <w:rPr>
                <w:rFonts w:ascii="Verdana" w:hAnsi="Verdana" w:cs="Arial"/>
              </w:rPr>
              <w:t>d</w:t>
            </w:r>
          </w:p>
        </w:tc>
        <w:tc>
          <w:tcPr>
            <w:tcW w:w="6694" w:type="dxa"/>
          </w:tcPr>
          <w:p w:rsidR="0051730D" w:rsidRPr="009040B8" w:rsidRDefault="0051730D" w:rsidP="0051730D">
            <w:pPr>
              <w:tabs>
                <w:tab w:val="left" w:pos="601"/>
              </w:tabs>
              <w:jc w:val="both"/>
              <w:rPr>
                <w:rFonts w:ascii="Verdana" w:hAnsi="Verdana" w:cs="Arial"/>
              </w:rPr>
            </w:pPr>
            <w:r w:rsidRPr="009040B8">
              <w:rPr>
                <w:rFonts w:ascii="Verdana" w:hAnsi="Verdana" w:cs="Arial"/>
              </w:rPr>
              <w:t>- dolny wymiar sita (przy określaniu wielkości ziaren kruszywa),</w:t>
            </w:r>
          </w:p>
        </w:tc>
      </w:tr>
      <w:tr w:rsidR="0051730D" w:rsidRPr="009040B8" w:rsidTr="0051730D">
        <w:tc>
          <w:tcPr>
            <w:tcW w:w="817" w:type="dxa"/>
          </w:tcPr>
          <w:p w:rsidR="0051730D" w:rsidRPr="009040B8" w:rsidRDefault="0051730D" w:rsidP="0051730D">
            <w:pPr>
              <w:tabs>
                <w:tab w:val="left" w:pos="601"/>
              </w:tabs>
              <w:jc w:val="both"/>
              <w:rPr>
                <w:rFonts w:ascii="Verdana" w:hAnsi="Verdana" w:cs="Arial"/>
              </w:rPr>
            </w:pPr>
            <w:r w:rsidRPr="009040B8">
              <w:rPr>
                <w:rFonts w:ascii="Verdana" w:hAnsi="Verdana" w:cs="Arial"/>
              </w:rPr>
              <w:t>C</w:t>
            </w:r>
          </w:p>
        </w:tc>
        <w:tc>
          <w:tcPr>
            <w:tcW w:w="6694" w:type="dxa"/>
          </w:tcPr>
          <w:p w:rsidR="0051730D" w:rsidRPr="009040B8" w:rsidRDefault="0051730D" w:rsidP="0051730D">
            <w:pPr>
              <w:tabs>
                <w:tab w:val="left" w:pos="601"/>
              </w:tabs>
              <w:jc w:val="both"/>
              <w:rPr>
                <w:rFonts w:ascii="Verdana" w:hAnsi="Verdana" w:cs="Arial"/>
              </w:rPr>
            </w:pPr>
            <w:r w:rsidRPr="009040B8">
              <w:rPr>
                <w:rFonts w:ascii="Verdana" w:hAnsi="Verdana" w:cs="Arial"/>
              </w:rPr>
              <w:t>- kationowa emulsja asfaltowa,</w:t>
            </w:r>
          </w:p>
        </w:tc>
      </w:tr>
      <w:tr w:rsidR="0051730D" w:rsidRPr="009040B8" w:rsidTr="0051730D">
        <w:tc>
          <w:tcPr>
            <w:tcW w:w="817" w:type="dxa"/>
          </w:tcPr>
          <w:p w:rsidR="0051730D" w:rsidRPr="009040B8" w:rsidRDefault="0051730D" w:rsidP="0051730D">
            <w:pPr>
              <w:tabs>
                <w:tab w:val="left" w:pos="601"/>
              </w:tabs>
              <w:jc w:val="both"/>
              <w:rPr>
                <w:rFonts w:ascii="Verdana" w:hAnsi="Verdana" w:cs="Arial"/>
              </w:rPr>
            </w:pPr>
            <w:r w:rsidRPr="009040B8">
              <w:rPr>
                <w:rFonts w:ascii="Verdana" w:hAnsi="Verdana" w:cs="Arial"/>
              </w:rPr>
              <w:t>N</w:t>
            </w:r>
            <w:r>
              <w:rPr>
                <w:rFonts w:ascii="Verdana" w:hAnsi="Verdana" w:cs="Arial"/>
              </w:rPr>
              <w:t>R</w:t>
            </w:r>
          </w:p>
        </w:tc>
        <w:tc>
          <w:tcPr>
            <w:tcW w:w="6694" w:type="dxa"/>
          </w:tcPr>
          <w:p w:rsidR="0051730D" w:rsidRPr="009040B8" w:rsidRDefault="0051730D" w:rsidP="0051730D">
            <w:pPr>
              <w:tabs>
                <w:tab w:val="left" w:pos="601"/>
              </w:tabs>
              <w:ind w:left="176" w:hanging="176"/>
              <w:jc w:val="both"/>
              <w:rPr>
                <w:rFonts w:ascii="Verdana" w:hAnsi="Verdana" w:cs="Arial"/>
              </w:rPr>
            </w:pPr>
            <w:r w:rsidRPr="009040B8">
              <w:rPr>
                <w:rFonts w:ascii="Verdana" w:hAnsi="Verdana" w:cs="Arial"/>
              </w:rPr>
              <w:t>- </w:t>
            </w:r>
            <w:r>
              <w:rPr>
                <w:rFonts w:ascii="Verdana" w:hAnsi="Verdana" w:cs="Arial"/>
              </w:rPr>
              <w:t xml:space="preserve">brak wymagań </w:t>
            </w:r>
            <w:r w:rsidRPr="006D2270">
              <w:rPr>
                <w:rFonts w:ascii="Verdana" w:hAnsi="Verdana" w:cs="Arial"/>
              </w:rPr>
              <w:t xml:space="preserve">(ang. </w:t>
            </w:r>
            <w:r w:rsidRPr="00896569">
              <w:rPr>
                <w:rFonts w:ascii="Verdana" w:hAnsi="Verdana" w:cs="Arial"/>
              </w:rPr>
              <w:t xml:space="preserve">No </w:t>
            </w:r>
            <w:proofErr w:type="spellStart"/>
            <w:r w:rsidRPr="00896569">
              <w:rPr>
                <w:rFonts w:ascii="Verdana" w:hAnsi="Verdana" w:cs="Arial"/>
              </w:rPr>
              <w:t>Requirement</w:t>
            </w:r>
            <w:proofErr w:type="spellEnd"/>
            <w:r w:rsidRPr="00896569">
              <w:rPr>
                <w:rFonts w:ascii="Verdana" w:hAnsi="Verdana" w:cs="Arial"/>
              </w:rPr>
              <w:t xml:space="preserve">; </w:t>
            </w:r>
            <w:r w:rsidRPr="006D2270">
              <w:rPr>
                <w:rFonts w:ascii="Verdana" w:hAnsi="Verdana" w:cs="Arial"/>
              </w:rPr>
              <w:t>właściwość użytkowa nie określana</w:t>
            </w:r>
            <w:r w:rsidRPr="00896569">
              <w:rPr>
                <w:rFonts w:ascii="Verdana" w:hAnsi="Verdana" w:cs="Arial"/>
              </w:rPr>
              <w:t>),</w:t>
            </w:r>
          </w:p>
        </w:tc>
      </w:tr>
      <w:tr w:rsidR="0051730D" w:rsidRPr="009040B8" w:rsidTr="0051730D">
        <w:tc>
          <w:tcPr>
            <w:tcW w:w="817" w:type="dxa"/>
          </w:tcPr>
          <w:p w:rsidR="0051730D" w:rsidRPr="009040B8" w:rsidRDefault="0051730D" w:rsidP="0051730D">
            <w:pPr>
              <w:tabs>
                <w:tab w:val="left" w:pos="601"/>
              </w:tabs>
              <w:jc w:val="both"/>
              <w:rPr>
                <w:rFonts w:ascii="Verdana" w:hAnsi="Verdana" w:cs="Arial"/>
              </w:rPr>
            </w:pPr>
            <w:r w:rsidRPr="009040B8">
              <w:rPr>
                <w:rFonts w:ascii="Verdana" w:hAnsi="Verdana" w:cs="Arial"/>
              </w:rPr>
              <w:t>TBR</w:t>
            </w:r>
          </w:p>
        </w:tc>
        <w:tc>
          <w:tcPr>
            <w:tcW w:w="6694" w:type="dxa"/>
          </w:tcPr>
          <w:p w:rsidR="0051730D" w:rsidRPr="009040B8" w:rsidRDefault="0051730D" w:rsidP="0051730D">
            <w:pPr>
              <w:tabs>
                <w:tab w:val="left" w:pos="601"/>
              </w:tabs>
              <w:ind w:left="176" w:hanging="176"/>
              <w:jc w:val="both"/>
              <w:rPr>
                <w:rFonts w:ascii="Verdana" w:hAnsi="Verdana" w:cs="Arial"/>
              </w:rPr>
            </w:pPr>
            <w:r w:rsidRPr="009040B8">
              <w:rPr>
                <w:rFonts w:ascii="Verdana" w:hAnsi="Verdana" w:cs="Arial"/>
              </w:rPr>
              <w:t xml:space="preserve">- do zadeklarowania (ang. To Be </w:t>
            </w:r>
            <w:proofErr w:type="spellStart"/>
            <w:r w:rsidRPr="009040B8">
              <w:rPr>
                <w:rFonts w:ascii="Verdana" w:hAnsi="Verdana" w:cs="Arial"/>
              </w:rPr>
              <w:t>Reported</w:t>
            </w:r>
            <w:proofErr w:type="spellEnd"/>
            <w:r w:rsidRPr="009040B8">
              <w:rPr>
                <w:rFonts w:ascii="Verdana" w:hAnsi="Verdana" w:cs="Arial"/>
              </w:rPr>
              <w:t>; producent może dostarczyć odpowiednie informacje, jednak nie jest do tego zobowiązany),</w:t>
            </w:r>
          </w:p>
        </w:tc>
      </w:tr>
    </w:tbl>
    <w:p w:rsidR="0051730D" w:rsidRPr="009040B8" w:rsidRDefault="0051730D" w:rsidP="0051730D">
      <w:pPr>
        <w:keepNext/>
        <w:spacing w:before="120" w:after="60"/>
        <w:jc w:val="both"/>
        <w:outlineLvl w:val="1"/>
        <w:rPr>
          <w:rFonts w:ascii="Verdana" w:hAnsi="Verdana" w:cs="Arial"/>
          <w:b/>
          <w:bCs/>
          <w:iCs/>
        </w:rPr>
      </w:pPr>
      <w:bookmarkStart w:id="217" w:name="_Toc316558771"/>
      <w:r w:rsidRPr="009040B8">
        <w:rPr>
          <w:rFonts w:ascii="Verdana" w:hAnsi="Verdana" w:cs="Arial"/>
          <w:b/>
          <w:bCs/>
          <w:iCs/>
        </w:rPr>
        <w:t>1.5. Ogólne wymagania dotyczące robót</w:t>
      </w:r>
      <w:bookmarkEnd w:id="217"/>
    </w:p>
    <w:p w:rsidR="0051730D" w:rsidRPr="009040B8" w:rsidRDefault="0051730D" w:rsidP="0051730D">
      <w:pPr>
        <w:jc w:val="both"/>
        <w:rPr>
          <w:rFonts w:ascii="Verdana" w:hAnsi="Verdana" w:cs="Arial"/>
        </w:rPr>
      </w:pPr>
      <w:r w:rsidRPr="009040B8">
        <w:rPr>
          <w:rFonts w:ascii="Verdana" w:hAnsi="Verdana" w:cs="Arial"/>
        </w:rPr>
        <w:t>Ogólne wymagania dotyczące robót podano w SST D-M-00.00.00 „Wymagania ogólne” [1] pkt 1.5.</w:t>
      </w:r>
    </w:p>
    <w:p w:rsidR="0051730D" w:rsidRPr="009040B8" w:rsidRDefault="0051730D" w:rsidP="0051730D">
      <w:pPr>
        <w:keepNext/>
        <w:widowControl w:val="0"/>
        <w:jc w:val="both"/>
        <w:outlineLvl w:val="0"/>
        <w:rPr>
          <w:rFonts w:ascii="Verdana" w:hAnsi="Verdana" w:cs="Arial"/>
          <w:b/>
          <w:snapToGrid w:val="0"/>
        </w:rPr>
      </w:pPr>
      <w:bookmarkStart w:id="218" w:name="_Toc431184075"/>
      <w:bookmarkStart w:id="219" w:name="_Toc208892382"/>
      <w:bookmarkStart w:id="220" w:name="_Toc210107778"/>
      <w:bookmarkStart w:id="221" w:name="_Toc237920700"/>
    </w:p>
    <w:p w:rsidR="0051730D" w:rsidRPr="009040B8" w:rsidRDefault="0051730D" w:rsidP="0051730D">
      <w:pPr>
        <w:keepNext/>
        <w:widowControl w:val="0"/>
        <w:jc w:val="both"/>
        <w:outlineLvl w:val="0"/>
        <w:rPr>
          <w:rFonts w:ascii="Verdana" w:hAnsi="Verdana" w:cs="Arial"/>
          <w:b/>
          <w:snapToGrid w:val="0"/>
        </w:rPr>
      </w:pPr>
      <w:bookmarkStart w:id="222" w:name="_Toc316558772"/>
      <w:r w:rsidRPr="009040B8">
        <w:rPr>
          <w:rFonts w:ascii="Verdana" w:hAnsi="Verdana" w:cs="Arial"/>
          <w:b/>
          <w:snapToGrid w:val="0"/>
        </w:rPr>
        <w:t>2. M</w:t>
      </w:r>
      <w:bookmarkEnd w:id="218"/>
      <w:bookmarkEnd w:id="219"/>
      <w:bookmarkEnd w:id="220"/>
      <w:bookmarkEnd w:id="221"/>
      <w:bookmarkEnd w:id="222"/>
      <w:r w:rsidRPr="009040B8">
        <w:rPr>
          <w:rFonts w:ascii="Verdana" w:hAnsi="Verdana" w:cs="Arial"/>
          <w:b/>
          <w:snapToGrid w:val="0"/>
        </w:rPr>
        <w:t>ateriały</w:t>
      </w:r>
    </w:p>
    <w:p w:rsidR="0051730D" w:rsidRPr="009040B8" w:rsidRDefault="0051730D" w:rsidP="0051730D">
      <w:pPr>
        <w:keepNext/>
        <w:jc w:val="both"/>
        <w:outlineLvl w:val="1"/>
        <w:rPr>
          <w:rFonts w:ascii="Verdana" w:hAnsi="Verdana" w:cs="Arial"/>
          <w:b/>
          <w:bCs/>
          <w:iCs/>
        </w:rPr>
      </w:pPr>
      <w:bookmarkStart w:id="223" w:name="_Toc316558773"/>
      <w:r w:rsidRPr="009040B8">
        <w:rPr>
          <w:rFonts w:ascii="Verdana" w:hAnsi="Verdana" w:cs="Arial"/>
          <w:b/>
          <w:bCs/>
          <w:iCs/>
        </w:rPr>
        <w:t>2.1. Ogólne wymagania dotyczące materiałów</w:t>
      </w:r>
      <w:bookmarkEnd w:id="223"/>
    </w:p>
    <w:p w:rsidR="0051730D" w:rsidRPr="009040B8" w:rsidRDefault="0051730D" w:rsidP="0051730D">
      <w:pPr>
        <w:jc w:val="both"/>
        <w:rPr>
          <w:rFonts w:ascii="Verdana" w:hAnsi="Verdana" w:cs="Arial"/>
        </w:rPr>
      </w:pPr>
      <w:r w:rsidRPr="009040B8">
        <w:rPr>
          <w:rFonts w:ascii="Verdana" w:hAnsi="Verdana" w:cs="Arial"/>
        </w:rPr>
        <w:t>Ogólne wymagania dotyczące materiałów, ich pozyskiwania i składowania, podano w SST D-M-00.00.00 „Wymagania ogólne” [1] pkt 2.</w:t>
      </w:r>
    </w:p>
    <w:p w:rsidR="0051730D" w:rsidRPr="006D2270" w:rsidRDefault="0051730D" w:rsidP="0051730D">
      <w:pPr>
        <w:jc w:val="both"/>
        <w:rPr>
          <w:rFonts w:ascii="Verdana" w:hAnsi="Verdana" w:cs="Arial"/>
        </w:rPr>
      </w:pPr>
      <w:r>
        <w:rPr>
          <w:rFonts w:ascii="Verdana" w:hAnsi="Verdana" w:cs="Arial"/>
        </w:rPr>
        <w:t>Producent kruszywa, wypełniacza oraz asfaltu powinien prowadzić zakładową kontrolę produkcji (ZKP) z oceną zgodności wyrobu wg systemu 2+.</w:t>
      </w:r>
    </w:p>
    <w:p w:rsidR="0051730D" w:rsidRPr="009040B8" w:rsidRDefault="0051730D" w:rsidP="0051730D">
      <w:pPr>
        <w:jc w:val="both"/>
        <w:rPr>
          <w:rFonts w:ascii="Verdana" w:hAnsi="Verdana" w:cs="Arial"/>
        </w:rPr>
      </w:pPr>
    </w:p>
    <w:p w:rsidR="0051730D" w:rsidRPr="009040B8" w:rsidRDefault="0051730D" w:rsidP="0051730D">
      <w:pPr>
        <w:keepNext/>
        <w:jc w:val="both"/>
        <w:outlineLvl w:val="1"/>
        <w:rPr>
          <w:rFonts w:ascii="Verdana" w:hAnsi="Verdana" w:cs="Arial"/>
          <w:b/>
          <w:bCs/>
          <w:iCs/>
        </w:rPr>
      </w:pPr>
      <w:bookmarkStart w:id="224" w:name="_Toc316558774"/>
      <w:r w:rsidRPr="009040B8">
        <w:rPr>
          <w:rFonts w:ascii="Verdana" w:hAnsi="Verdana" w:cs="Arial"/>
          <w:b/>
          <w:bCs/>
          <w:iCs/>
        </w:rPr>
        <w:t>2.2. Lepiszcza asfaltowe</w:t>
      </w:r>
      <w:bookmarkEnd w:id="224"/>
    </w:p>
    <w:p w:rsidR="0051730D" w:rsidRPr="009040B8" w:rsidRDefault="0051730D" w:rsidP="0051730D">
      <w:pPr>
        <w:jc w:val="both"/>
        <w:rPr>
          <w:rFonts w:ascii="Verdana" w:hAnsi="Verdana" w:cs="Arial"/>
        </w:rPr>
      </w:pPr>
      <w:r>
        <w:rPr>
          <w:rFonts w:ascii="Verdana" w:hAnsi="Verdana" w:cs="Arial"/>
        </w:rPr>
        <w:t>Należy stosować asfalt</w:t>
      </w:r>
      <w:r w:rsidRPr="009040B8">
        <w:rPr>
          <w:rFonts w:ascii="Verdana" w:hAnsi="Verdana" w:cs="Arial"/>
        </w:rPr>
        <w:t xml:space="preserve"> drogow</w:t>
      </w:r>
      <w:r>
        <w:rPr>
          <w:rFonts w:ascii="Verdana" w:hAnsi="Verdana" w:cs="Arial"/>
        </w:rPr>
        <w:t>y</w:t>
      </w:r>
      <w:r w:rsidRPr="009040B8">
        <w:rPr>
          <w:rFonts w:ascii="Verdana" w:hAnsi="Verdana" w:cs="Arial"/>
        </w:rPr>
        <w:t xml:space="preserve"> wg PN-EN 12591 [27] lub asfalt modyfikowany polimerami wg PN-EN 14023 [59]. Rodzaje stosowanych lepiszczy asfaltowych podano w tab</w:t>
      </w:r>
      <w:r>
        <w:rPr>
          <w:rFonts w:ascii="Verdana" w:hAnsi="Verdana" w:cs="Arial"/>
        </w:rPr>
        <w:t>eli</w:t>
      </w:r>
      <w:r w:rsidRPr="009040B8">
        <w:rPr>
          <w:rFonts w:ascii="Verdana" w:hAnsi="Verdana" w:cs="Arial"/>
        </w:rPr>
        <w:t xml:space="preserve"> 2. </w:t>
      </w:r>
    </w:p>
    <w:p w:rsidR="0051730D" w:rsidRPr="009040B8" w:rsidRDefault="0051730D" w:rsidP="0051730D">
      <w:pPr>
        <w:spacing w:before="60" w:after="60"/>
        <w:ind w:left="900" w:hanging="90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 Zalecane  lepiszcza asfaltowe do warstwy </w:t>
      </w:r>
      <w:r>
        <w:rPr>
          <w:rFonts w:ascii="Verdana" w:hAnsi="Verdana" w:cs="Arial"/>
        </w:rPr>
        <w:t>podbudowy</w:t>
      </w:r>
      <w:r w:rsidRPr="009040B8">
        <w:rPr>
          <w:rFonts w:ascii="Verdana" w:hAnsi="Verdana" w:cs="Arial"/>
        </w:rPr>
        <w:t xml:space="preserve">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51730D" w:rsidRPr="009040B8" w:rsidTr="0051730D">
        <w:tc>
          <w:tcPr>
            <w:tcW w:w="1384" w:type="dxa"/>
            <w:vMerge w:val="restart"/>
            <w:vAlign w:val="center"/>
          </w:tcPr>
          <w:p w:rsidR="0051730D" w:rsidRPr="009040B8" w:rsidRDefault="0051730D" w:rsidP="0051730D">
            <w:pPr>
              <w:jc w:val="center"/>
              <w:rPr>
                <w:rFonts w:ascii="Verdana" w:hAnsi="Verdana" w:cs="Arial"/>
              </w:rPr>
            </w:pPr>
            <w:r w:rsidRPr="009040B8">
              <w:rPr>
                <w:rFonts w:ascii="Verdana" w:hAnsi="Verdana" w:cs="Arial"/>
              </w:rPr>
              <w:t>Kategoria</w:t>
            </w:r>
          </w:p>
          <w:p w:rsidR="0051730D" w:rsidRPr="009040B8" w:rsidRDefault="0051730D" w:rsidP="0051730D">
            <w:pPr>
              <w:jc w:val="center"/>
              <w:rPr>
                <w:rFonts w:ascii="Verdana" w:hAnsi="Verdana" w:cs="Arial"/>
              </w:rPr>
            </w:pPr>
            <w:r w:rsidRPr="009040B8">
              <w:rPr>
                <w:rFonts w:ascii="Verdana" w:hAnsi="Verdana" w:cs="Arial"/>
              </w:rPr>
              <w:t>ruchu</w:t>
            </w:r>
          </w:p>
        </w:tc>
        <w:tc>
          <w:tcPr>
            <w:tcW w:w="1604" w:type="dxa"/>
            <w:vMerge w:val="restart"/>
            <w:vAlign w:val="center"/>
          </w:tcPr>
          <w:p w:rsidR="0051730D" w:rsidRPr="009040B8" w:rsidRDefault="0051730D" w:rsidP="0051730D">
            <w:pPr>
              <w:jc w:val="center"/>
              <w:rPr>
                <w:rFonts w:ascii="Verdana" w:hAnsi="Verdana" w:cs="Arial"/>
              </w:rPr>
            </w:pPr>
            <w:r w:rsidRPr="009040B8">
              <w:rPr>
                <w:rFonts w:ascii="Verdana" w:hAnsi="Verdana" w:cs="Arial"/>
              </w:rPr>
              <w:t>Mieszanka</w:t>
            </w:r>
          </w:p>
          <w:p w:rsidR="0051730D" w:rsidRPr="009040B8" w:rsidRDefault="0051730D" w:rsidP="0051730D">
            <w:pPr>
              <w:jc w:val="center"/>
              <w:rPr>
                <w:rFonts w:ascii="Verdana" w:hAnsi="Verdana" w:cs="Arial"/>
                <w:strike/>
              </w:rPr>
            </w:pPr>
            <w:r w:rsidRPr="009040B8">
              <w:rPr>
                <w:rFonts w:ascii="Verdana" w:hAnsi="Verdana" w:cs="Arial"/>
              </w:rPr>
              <w:t>AC</w:t>
            </w:r>
          </w:p>
        </w:tc>
        <w:tc>
          <w:tcPr>
            <w:tcW w:w="4523" w:type="dxa"/>
            <w:gridSpan w:val="2"/>
          </w:tcPr>
          <w:p w:rsidR="0051730D" w:rsidRPr="009040B8" w:rsidRDefault="0051730D" w:rsidP="0051730D">
            <w:pPr>
              <w:jc w:val="center"/>
              <w:rPr>
                <w:rFonts w:ascii="Verdana" w:hAnsi="Verdana" w:cs="Arial"/>
              </w:rPr>
            </w:pPr>
            <w:r w:rsidRPr="009040B8">
              <w:rPr>
                <w:rFonts w:ascii="Verdana" w:hAnsi="Verdana" w:cs="Arial"/>
              </w:rPr>
              <w:t>Rodzaje asfaltów</w:t>
            </w:r>
          </w:p>
        </w:tc>
      </w:tr>
      <w:tr w:rsidR="0051730D" w:rsidRPr="009040B8" w:rsidTr="0051730D">
        <w:tc>
          <w:tcPr>
            <w:tcW w:w="1384" w:type="dxa"/>
            <w:vMerge/>
          </w:tcPr>
          <w:p w:rsidR="0051730D" w:rsidRPr="009040B8" w:rsidRDefault="0051730D" w:rsidP="0051730D">
            <w:pPr>
              <w:jc w:val="center"/>
              <w:rPr>
                <w:rFonts w:ascii="Verdana" w:hAnsi="Verdana" w:cs="Arial"/>
              </w:rPr>
            </w:pPr>
          </w:p>
        </w:tc>
        <w:tc>
          <w:tcPr>
            <w:tcW w:w="1604" w:type="dxa"/>
            <w:vMerge/>
          </w:tcPr>
          <w:p w:rsidR="0051730D" w:rsidRPr="009040B8" w:rsidRDefault="0051730D" w:rsidP="0051730D">
            <w:pPr>
              <w:jc w:val="center"/>
              <w:rPr>
                <w:rFonts w:ascii="Verdana" w:hAnsi="Verdana" w:cs="Arial"/>
              </w:rPr>
            </w:pPr>
          </w:p>
        </w:tc>
        <w:tc>
          <w:tcPr>
            <w:tcW w:w="1980" w:type="dxa"/>
            <w:vAlign w:val="center"/>
          </w:tcPr>
          <w:p w:rsidR="0051730D" w:rsidRPr="009040B8" w:rsidRDefault="0051730D" w:rsidP="0051730D">
            <w:pPr>
              <w:jc w:val="center"/>
              <w:rPr>
                <w:rFonts w:ascii="Verdana" w:hAnsi="Verdana" w:cs="Arial"/>
              </w:rPr>
            </w:pPr>
            <w:r w:rsidRPr="009040B8">
              <w:rPr>
                <w:rFonts w:ascii="Verdana" w:hAnsi="Verdana" w:cs="Arial"/>
              </w:rPr>
              <w:t>Asfalt drogow</w:t>
            </w:r>
            <w:r>
              <w:rPr>
                <w:rFonts w:ascii="Verdana" w:hAnsi="Verdana" w:cs="Arial"/>
              </w:rPr>
              <w:t>y</w:t>
            </w:r>
          </w:p>
        </w:tc>
        <w:tc>
          <w:tcPr>
            <w:tcW w:w="2543" w:type="dxa"/>
          </w:tcPr>
          <w:p w:rsidR="0051730D" w:rsidRPr="009040B8" w:rsidRDefault="0051730D" w:rsidP="0051730D">
            <w:pPr>
              <w:jc w:val="center"/>
              <w:rPr>
                <w:rFonts w:ascii="Verdana" w:hAnsi="Verdana" w:cs="Arial"/>
              </w:rPr>
            </w:pPr>
            <w:r w:rsidRPr="009040B8">
              <w:rPr>
                <w:rFonts w:ascii="Verdana" w:hAnsi="Verdana" w:cs="Arial"/>
              </w:rPr>
              <w:t>Asfalt modyfikowany polimerami</w:t>
            </w:r>
          </w:p>
        </w:tc>
      </w:tr>
      <w:tr w:rsidR="0051730D" w:rsidRPr="009040B8" w:rsidTr="0051730D">
        <w:tc>
          <w:tcPr>
            <w:tcW w:w="1384" w:type="dxa"/>
          </w:tcPr>
          <w:p w:rsidR="0051730D" w:rsidRPr="009040B8" w:rsidRDefault="0051730D" w:rsidP="0051730D">
            <w:pPr>
              <w:spacing w:before="40" w:after="4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c>
          <w:tcPr>
            <w:tcW w:w="1604"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 xml:space="preserve">AC </w:t>
            </w:r>
            <w:r>
              <w:rPr>
                <w:rFonts w:ascii="Verdana" w:hAnsi="Verdana" w:cs="Arial"/>
              </w:rPr>
              <w:t>22 P</w:t>
            </w:r>
          </w:p>
        </w:tc>
        <w:tc>
          <w:tcPr>
            <w:tcW w:w="1980" w:type="dxa"/>
          </w:tcPr>
          <w:p w:rsidR="0051730D" w:rsidRPr="009040B8" w:rsidRDefault="0051730D" w:rsidP="0051730D">
            <w:pPr>
              <w:spacing w:before="40" w:after="40"/>
              <w:jc w:val="center"/>
              <w:rPr>
                <w:rFonts w:ascii="Verdana" w:hAnsi="Verdana" w:cs="Arial"/>
              </w:rPr>
            </w:pPr>
            <w:r w:rsidRPr="009040B8">
              <w:rPr>
                <w:rFonts w:ascii="Verdana" w:hAnsi="Verdana" w:cs="Arial"/>
              </w:rPr>
              <w:t>35/50</w:t>
            </w:r>
          </w:p>
        </w:tc>
        <w:tc>
          <w:tcPr>
            <w:tcW w:w="2543" w:type="dxa"/>
          </w:tcPr>
          <w:p w:rsidR="0051730D" w:rsidRPr="009040B8" w:rsidRDefault="0051730D" w:rsidP="0051730D">
            <w:pPr>
              <w:spacing w:before="40" w:after="40"/>
              <w:jc w:val="center"/>
              <w:rPr>
                <w:rFonts w:ascii="Verdana" w:hAnsi="Verdana" w:cs="Arial"/>
              </w:rPr>
            </w:pPr>
            <w:r w:rsidRPr="009040B8">
              <w:rPr>
                <w:rFonts w:ascii="Verdana" w:hAnsi="Verdana" w:cs="Arial"/>
              </w:rPr>
              <w:t>PMB 25/55-60</w:t>
            </w:r>
          </w:p>
        </w:tc>
      </w:tr>
    </w:tbl>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rPr>
      </w:pPr>
      <w:r>
        <w:rPr>
          <w:rFonts w:ascii="Verdana" w:hAnsi="Verdana" w:cs="Arial"/>
        </w:rPr>
        <w:t>Asfalt</w:t>
      </w:r>
      <w:r w:rsidRPr="009040B8">
        <w:rPr>
          <w:rFonts w:ascii="Verdana" w:hAnsi="Verdana" w:cs="Arial"/>
        </w:rPr>
        <w:t xml:space="preserve"> drogow</w:t>
      </w:r>
      <w:r>
        <w:rPr>
          <w:rFonts w:ascii="Verdana" w:hAnsi="Verdana" w:cs="Arial"/>
        </w:rPr>
        <w:t>y</w:t>
      </w:r>
      <w:r w:rsidRPr="009040B8">
        <w:rPr>
          <w:rFonts w:ascii="Verdana" w:hAnsi="Verdana" w:cs="Arial"/>
        </w:rPr>
        <w:t xml:space="preserve"> powin</w:t>
      </w:r>
      <w:r>
        <w:rPr>
          <w:rFonts w:ascii="Verdana" w:hAnsi="Verdana" w:cs="Arial"/>
        </w:rPr>
        <w:t>ien</w:t>
      </w:r>
      <w:r w:rsidRPr="009040B8">
        <w:rPr>
          <w:rFonts w:ascii="Verdana" w:hAnsi="Verdana" w:cs="Arial"/>
        </w:rPr>
        <w:t xml:space="preserve"> spełniać wymagania podane w tab</w:t>
      </w:r>
      <w:r>
        <w:rPr>
          <w:rFonts w:ascii="Verdana" w:hAnsi="Verdana" w:cs="Arial"/>
        </w:rPr>
        <w:t>eli</w:t>
      </w:r>
      <w:r w:rsidRPr="009040B8">
        <w:rPr>
          <w:rFonts w:ascii="Verdana" w:hAnsi="Verdana" w:cs="Arial"/>
        </w:rPr>
        <w:t xml:space="preserve"> 3. </w:t>
      </w:r>
    </w:p>
    <w:p w:rsidR="0051730D" w:rsidRPr="009040B8" w:rsidRDefault="0051730D" w:rsidP="0051730D">
      <w:pPr>
        <w:jc w:val="both"/>
        <w:rPr>
          <w:rFonts w:ascii="Verdana" w:hAnsi="Verdana" w:cs="Arial"/>
        </w:rPr>
      </w:pPr>
      <w:r w:rsidRPr="009040B8">
        <w:rPr>
          <w:rFonts w:ascii="Verdana" w:hAnsi="Verdana" w:cs="Arial"/>
        </w:rPr>
        <w:t>Asfalt modyfikowany polimerami powinien spełniać wymagania podane  w tab</w:t>
      </w:r>
      <w:r>
        <w:rPr>
          <w:rFonts w:ascii="Verdana" w:hAnsi="Verdana" w:cs="Arial"/>
        </w:rPr>
        <w:t>eli</w:t>
      </w:r>
      <w:r w:rsidRPr="009040B8">
        <w:rPr>
          <w:rFonts w:ascii="Verdana" w:hAnsi="Verdana" w:cs="Arial"/>
        </w:rPr>
        <w:t xml:space="preserve"> 4.</w:t>
      </w:r>
    </w:p>
    <w:p w:rsidR="0051730D" w:rsidRPr="009040B8" w:rsidRDefault="0051730D" w:rsidP="0051730D">
      <w:pPr>
        <w:spacing w:before="12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3. Wymagania wobec asfalt</w:t>
      </w:r>
      <w:r>
        <w:rPr>
          <w:rFonts w:ascii="Verdana" w:hAnsi="Verdana" w:cs="Arial"/>
        </w:rPr>
        <w:t>u</w:t>
      </w:r>
      <w:r w:rsidRPr="009040B8">
        <w:rPr>
          <w:rFonts w:ascii="Verdana" w:hAnsi="Verdana" w:cs="Arial"/>
        </w:rPr>
        <w:t xml:space="preserve"> drogow</w:t>
      </w:r>
      <w:r>
        <w:rPr>
          <w:rFonts w:ascii="Verdana" w:hAnsi="Verdana" w:cs="Arial"/>
        </w:rPr>
        <w:t>ego</w:t>
      </w:r>
      <w:r w:rsidRPr="009040B8">
        <w:rPr>
          <w:rFonts w:ascii="Verdana" w:hAnsi="Verdana" w:cs="Arial"/>
        </w:rPr>
        <w:t xml:space="preserve"> wg PN-EN 12591 [27]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4184"/>
        <w:gridCol w:w="890"/>
        <w:gridCol w:w="1810"/>
        <w:gridCol w:w="1861"/>
      </w:tblGrid>
      <w:tr w:rsidR="0051730D" w:rsidRPr="009040B8" w:rsidTr="0051730D">
        <w:trPr>
          <w:jc w:val="center"/>
        </w:trPr>
        <w:tc>
          <w:tcPr>
            <w:tcW w:w="283" w:type="pct"/>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Lp.</w:t>
            </w:r>
          </w:p>
        </w:tc>
        <w:tc>
          <w:tcPr>
            <w:tcW w:w="2737" w:type="pct"/>
            <w:gridSpan w:val="2"/>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Właściwości</w:t>
            </w:r>
          </w:p>
        </w:tc>
        <w:tc>
          <w:tcPr>
            <w:tcW w:w="976" w:type="pct"/>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Metoda</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badania</w:t>
            </w:r>
          </w:p>
        </w:tc>
        <w:tc>
          <w:tcPr>
            <w:tcW w:w="1004" w:type="pct"/>
          </w:tcPr>
          <w:p w:rsidR="0051730D" w:rsidRPr="008230B1" w:rsidRDefault="0051730D" w:rsidP="0051730D">
            <w:pPr>
              <w:jc w:val="center"/>
              <w:rPr>
                <w:rFonts w:ascii="Verdana" w:hAnsi="Verdana" w:cs="Arial"/>
                <w:sz w:val="16"/>
                <w:szCs w:val="16"/>
              </w:rPr>
            </w:pPr>
            <w:r>
              <w:rPr>
                <w:rFonts w:ascii="Verdana" w:hAnsi="Verdana" w:cs="Arial"/>
                <w:sz w:val="16"/>
                <w:szCs w:val="16"/>
              </w:rPr>
              <w:t>A</w:t>
            </w:r>
            <w:r w:rsidRPr="008230B1">
              <w:rPr>
                <w:rFonts w:ascii="Verdana" w:hAnsi="Verdana" w:cs="Arial"/>
                <w:sz w:val="16"/>
                <w:szCs w:val="16"/>
              </w:rPr>
              <w:t>sfalt drogowy</w:t>
            </w:r>
          </w:p>
        </w:tc>
      </w:tr>
      <w:tr w:rsidR="0051730D" w:rsidRPr="009040B8" w:rsidTr="0051730D">
        <w:trPr>
          <w:jc w:val="center"/>
        </w:trPr>
        <w:tc>
          <w:tcPr>
            <w:tcW w:w="283" w:type="pct"/>
            <w:vMerge/>
          </w:tcPr>
          <w:p w:rsidR="0051730D" w:rsidRPr="008230B1" w:rsidRDefault="0051730D" w:rsidP="0051730D">
            <w:pPr>
              <w:jc w:val="center"/>
              <w:rPr>
                <w:rFonts w:ascii="Verdana" w:hAnsi="Verdana" w:cs="Arial"/>
                <w:sz w:val="16"/>
                <w:szCs w:val="16"/>
              </w:rPr>
            </w:pPr>
          </w:p>
        </w:tc>
        <w:tc>
          <w:tcPr>
            <w:tcW w:w="2737" w:type="pct"/>
            <w:gridSpan w:val="2"/>
            <w:vMerge/>
          </w:tcPr>
          <w:p w:rsidR="0051730D" w:rsidRPr="008230B1" w:rsidRDefault="0051730D" w:rsidP="0051730D">
            <w:pPr>
              <w:jc w:val="center"/>
              <w:rPr>
                <w:rFonts w:ascii="Verdana" w:hAnsi="Verdana" w:cs="Arial"/>
                <w:sz w:val="16"/>
                <w:szCs w:val="16"/>
              </w:rPr>
            </w:pPr>
          </w:p>
        </w:tc>
        <w:tc>
          <w:tcPr>
            <w:tcW w:w="976" w:type="pct"/>
            <w:vMerge/>
          </w:tcPr>
          <w:p w:rsidR="0051730D" w:rsidRPr="008230B1" w:rsidRDefault="0051730D" w:rsidP="0051730D">
            <w:pPr>
              <w:jc w:val="center"/>
              <w:rPr>
                <w:rFonts w:ascii="Verdana" w:hAnsi="Verdana" w:cs="Arial"/>
                <w:sz w:val="16"/>
                <w:szCs w:val="16"/>
              </w:rPr>
            </w:pPr>
          </w:p>
        </w:tc>
        <w:tc>
          <w:tcPr>
            <w:tcW w:w="1004" w:type="pc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35/50</w:t>
            </w:r>
          </w:p>
        </w:tc>
      </w:tr>
      <w:tr w:rsidR="0051730D" w:rsidRPr="009040B8" w:rsidTr="0051730D">
        <w:trPr>
          <w:jc w:val="center"/>
        </w:trPr>
        <w:tc>
          <w:tcPr>
            <w:tcW w:w="5000" w:type="pct"/>
            <w:gridSpan w:val="5"/>
          </w:tcPr>
          <w:p w:rsidR="0051730D" w:rsidRPr="008230B1" w:rsidRDefault="0051730D" w:rsidP="0051730D">
            <w:pPr>
              <w:jc w:val="center"/>
              <w:rPr>
                <w:rFonts w:ascii="Verdana" w:hAnsi="Verdana" w:cs="Arial"/>
                <w:sz w:val="16"/>
                <w:szCs w:val="16"/>
              </w:rPr>
            </w:pPr>
            <w:r>
              <w:rPr>
                <w:rFonts w:ascii="Verdana" w:hAnsi="Verdana" w:cs="Arial"/>
                <w:sz w:val="16"/>
                <w:szCs w:val="16"/>
              </w:rPr>
              <w:t>Właściwości obligatoryjne</w:t>
            </w:r>
          </w:p>
        </w:tc>
      </w:tr>
      <w:tr w:rsidR="0051730D" w:rsidRPr="009040B8" w:rsidTr="0051730D">
        <w:trPr>
          <w:jc w:val="center"/>
        </w:trPr>
        <w:tc>
          <w:tcPr>
            <w:tcW w:w="283"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1</w:t>
            </w:r>
          </w:p>
        </w:tc>
        <w:tc>
          <w:tcPr>
            <w:tcW w:w="2257" w:type="pct"/>
          </w:tcPr>
          <w:p w:rsidR="0051730D" w:rsidRPr="008230B1" w:rsidRDefault="0051730D" w:rsidP="0051730D">
            <w:pPr>
              <w:spacing w:before="60" w:after="60"/>
              <w:rPr>
                <w:rFonts w:ascii="Verdana" w:hAnsi="Verdana" w:cs="Arial"/>
                <w:sz w:val="16"/>
                <w:szCs w:val="16"/>
              </w:rPr>
            </w:pPr>
            <w:r w:rsidRPr="008230B1">
              <w:rPr>
                <w:rFonts w:ascii="Verdana" w:hAnsi="Verdana" w:cs="Arial"/>
                <w:sz w:val="16"/>
                <w:szCs w:val="16"/>
              </w:rPr>
              <w:t>Penetracja w 25°C</w:t>
            </w:r>
          </w:p>
        </w:tc>
        <w:tc>
          <w:tcPr>
            <w:tcW w:w="480"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0,1 mm</w:t>
            </w:r>
          </w:p>
        </w:tc>
        <w:tc>
          <w:tcPr>
            <w:tcW w:w="976"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PN-EN 1426 [21]</w:t>
            </w:r>
          </w:p>
        </w:tc>
        <w:tc>
          <w:tcPr>
            <w:tcW w:w="1004"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35</w:t>
            </w:r>
            <w:r>
              <w:rPr>
                <w:rFonts w:ascii="Verdana" w:hAnsi="Verdana" w:cs="Arial"/>
                <w:sz w:val="16"/>
                <w:szCs w:val="16"/>
              </w:rPr>
              <w:t>-</w:t>
            </w:r>
            <w:r w:rsidRPr="008230B1">
              <w:rPr>
                <w:rFonts w:ascii="Verdana" w:hAnsi="Verdana" w:cs="Arial"/>
                <w:sz w:val="16"/>
                <w:szCs w:val="16"/>
              </w:rPr>
              <w:t>50</w:t>
            </w:r>
          </w:p>
        </w:tc>
      </w:tr>
      <w:tr w:rsidR="0051730D" w:rsidRPr="009040B8" w:rsidTr="0051730D">
        <w:trPr>
          <w:jc w:val="center"/>
        </w:trPr>
        <w:tc>
          <w:tcPr>
            <w:tcW w:w="283"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2</w:t>
            </w:r>
          </w:p>
        </w:tc>
        <w:tc>
          <w:tcPr>
            <w:tcW w:w="2257" w:type="pct"/>
          </w:tcPr>
          <w:p w:rsidR="0051730D" w:rsidRPr="008230B1" w:rsidRDefault="0051730D" w:rsidP="0051730D">
            <w:pPr>
              <w:spacing w:before="60" w:after="60"/>
              <w:rPr>
                <w:rFonts w:ascii="Verdana" w:hAnsi="Verdana" w:cs="Arial"/>
                <w:sz w:val="16"/>
                <w:szCs w:val="16"/>
              </w:rPr>
            </w:pPr>
            <w:r w:rsidRPr="008230B1">
              <w:rPr>
                <w:rFonts w:ascii="Verdana" w:hAnsi="Verdana" w:cs="Arial"/>
                <w:sz w:val="16"/>
                <w:szCs w:val="16"/>
              </w:rPr>
              <w:t>Temperatura mięknienia</w:t>
            </w:r>
          </w:p>
        </w:tc>
        <w:tc>
          <w:tcPr>
            <w:tcW w:w="480"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°C</w:t>
            </w:r>
          </w:p>
        </w:tc>
        <w:tc>
          <w:tcPr>
            <w:tcW w:w="976"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PN-EN 1427 [22]</w:t>
            </w:r>
          </w:p>
        </w:tc>
        <w:tc>
          <w:tcPr>
            <w:tcW w:w="1004" w:type="pct"/>
          </w:tcPr>
          <w:p w:rsidR="0051730D" w:rsidRPr="008230B1" w:rsidRDefault="0051730D" w:rsidP="0051730D">
            <w:pPr>
              <w:spacing w:before="60" w:after="60"/>
              <w:jc w:val="center"/>
              <w:rPr>
                <w:rFonts w:ascii="Verdana" w:hAnsi="Verdana" w:cs="Arial"/>
                <w:sz w:val="16"/>
                <w:szCs w:val="16"/>
              </w:rPr>
            </w:pPr>
            <w:r w:rsidRPr="008230B1">
              <w:rPr>
                <w:rFonts w:ascii="Verdana" w:hAnsi="Verdana" w:cs="Arial"/>
                <w:sz w:val="16"/>
                <w:szCs w:val="16"/>
              </w:rPr>
              <w:t>50</w:t>
            </w:r>
            <w:r>
              <w:rPr>
                <w:rFonts w:ascii="Verdana" w:hAnsi="Verdana" w:cs="Arial"/>
                <w:sz w:val="16"/>
                <w:szCs w:val="16"/>
              </w:rPr>
              <w:t>-</w:t>
            </w:r>
            <w:r w:rsidRPr="008230B1">
              <w:rPr>
                <w:rFonts w:ascii="Verdana" w:hAnsi="Verdana" w:cs="Arial"/>
                <w:sz w:val="16"/>
                <w:szCs w:val="16"/>
              </w:rPr>
              <w:t>58</w:t>
            </w:r>
          </w:p>
        </w:tc>
      </w:tr>
      <w:tr w:rsidR="0051730D" w:rsidRPr="009040B8" w:rsidTr="0051730D">
        <w:trPr>
          <w:jc w:val="center"/>
        </w:trPr>
        <w:tc>
          <w:tcPr>
            <w:tcW w:w="5000" w:type="pct"/>
            <w:gridSpan w:val="5"/>
            <w:vAlign w:val="center"/>
          </w:tcPr>
          <w:p w:rsidR="0051730D" w:rsidRPr="002717A9" w:rsidRDefault="0051730D" w:rsidP="0051730D">
            <w:pPr>
              <w:spacing w:before="60" w:after="60"/>
              <w:jc w:val="center"/>
              <w:rPr>
                <w:rFonts w:ascii="Verdana" w:hAnsi="Verdana" w:cs="Arial"/>
                <w:sz w:val="16"/>
                <w:szCs w:val="16"/>
              </w:rPr>
            </w:pPr>
            <w:r>
              <w:rPr>
                <w:rFonts w:ascii="Verdana" w:hAnsi="Verdana" w:cs="Arial"/>
                <w:sz w:val="16"/>
                <w:szCs w:val="16"/>
              </w:rPr>
              <w:t>Odporność na starzenie w 163</w:t>
            </w:r>
            <w:r>
              <w:rPr>
                <w:rFonts w:ascii="Verdana" w:hAnsi="Verdana" w:cs="Arial"/>
                <w:sz w:val="16"/>
                <w:szCs w:val="16"/>
                <w:vertAlign w:val="superscript"/>
              </w:rPr>
              <w:t>o</w:t>
            </w:r>
            <w:r>
              <w:rPr>
                <w:rFonts w:ascii="Verdana" w:hAnsi="Verdana" w:cs="Arial"/>
                <w:sz w:val="16"/>
                <w:szCs w:val="16"/>
              </w:rPr>
              <w:t>C PN-EN 12607-1 [31]</w:t>
            </w:r>
          </w:p>
        </w:tc>
      </w:tr>
      <w:tr w:rsidR="0051730D" w:rsidRPr="009040B8" w:rsidTr="0051730D">
        <w:trPr>
          <w:jc w:val="center"/>
        </w:trPr>
        <w:tc>
          <w:tcPr>
            <w:tcW w:w="283" w:type="pc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3</w:t>
            </w:r>
          </w:p>
        </w:tc>
        <w:tc>
          <w:tcPr>
            <w:tcW w:w="2257" w:type="pct"/>
            <w:vAlign w:val="center"/>
          </w:tcPr>
          <w:p w:rsidR="0051730D" w:rsidRPr="008230B1" w:rsidRDefault="0051730D" w:rsidP="0051730D">
            <w:pPr>
              <w:rPr>
                <w:rFonts w:ascii="Verdana" w:hAnsi="Verdana" w:cs="Arial"/>
                <w:sz w:val="16"/>
                <w:szCs w:val="16"/>
              </w:rPr>
            </w:pPr>
            <w:r w:rsidRPr="008230B1">
              <w:rPr>
                <w:rFonts w:ascii="Verdana" w:hAnsi="Verdana" w:cs="Arial"/>
                <w:sz w:val="16"/>
                <w:szCs w:val="16"/>
              </w:rPr>
              <w:t>Temperatura zapłonu, nie mniej niż</w:t>
            </w:r>
          </w:p>
        </w:tc>
        <w:tc>
          <w:tcPr>
            <w:tcW w:w="480" w:type="pct"/>
          </w:tcPr>
          <w:p w:rsidR="0051730D" w:rsidRPr="004C7C44" w:rsidRDefault="0051730D" w:rsidP="0051730D">
            <w:pPr>
              <w:spacing w:before="60" w:after="60"/>
              <w:jc w:val="center"/>
              <w:rPr>
                <w:rFonts w:ascii="Verdana" w:hAnsi="Verdana" w:cs="Arial"/>
                <w:sz w:val="16"/>
                <w:szCs w:val="16"/>
              </w:rPr>
            </w:pPr>
            <w:r>
              <w:rPr>
                <w:rFonts w:ascii="Verdana" w:hAnsi="Verdana" w:cs="Arial"/>
                <w:sz w:val="16"/>
                <w:szCs w:val="16"/>
                <w:vertAlign w:val="superscript"/>
              </w:rPr>
              <w:t xml:space="preserve">o </w:t>
            </w:r>
            <w:r>
              <w:rPr>
                <w:rFonts w:ascii="Verdana" w:hAnsi="Verdana" w:cs="Arial"/>
                <w:sz w:val="16"/>
                <w:szCs w:val="16"/>
              </w:rPr>
              <w:t>C</w:t>
            </w:r>
          </w:p>
        </w:tc>
        <w:tc>
          <w:tcPr>
            <w:tcW w:w="976" w:type="pct"/>
          </w:tcPr>
          <w:p w:rsidR="0051730D" w:rsidRPr="008230B1" w:rsidRDefault="0051730D" w:rsidP="0051730D">
            <w:pPr>
              <w:spacing w:before="60" w:after="60"/>
              <w:jc w:val="center"/>
              <w:rPr>
                <w:rFonts w:ascii="Verdana" w:hAnsi="Verdana" w:cs="Arial"/>
                <w:sz w:val="16"/>
                <w:szCs w:val="16"/>
              </w:rPr>
            </w:pPr>
            <w:r>
              <w:rPr>
                <w:rFonts w:ascii="Verdana" w:hAnsi="Verdana" w:cs="Arial"/>
                <w:sz w:val="16"/>
                <w:szCs w:val="16"/>
              </w:rPr>
              <w:t>PN-EN 22592 [62]</w:t>
            </w:r>
          </w:p>
        </w:tc>
        <w:tc>
          <w:tcPr>
            <w:tcW w:w="1004" w:type="pct"/>
          </w:tcPr>
          <w:p w:rsidR="0051730D" w:rsidRPr="008230B1" w:rsidRDefault="0051730D" w:rsidP="0051730D">
            <w:pPr>
              <w:spacing w:before="60" w:after="60"/>
              <w:jc w:val="center"/>
              <w:rPr>
                <w:rFonts w:ascii="Verdana" w:hAnsi="Verdana" w:cs="Arial"/>
                <w:sz w:val="16"/>
                <w:szCs w:val="16"/>
              </w:rPr>
            </w:pPr>
            <w:r>
              <w:rPr>
                <w:rFonts w:ascii="Verdana" w:hAnsi="Verdana" w:cs="Arial"/>
                <w:sz w:val="16"/>
                <w:szCs w:val="16"/>
              </w:rPr>
              <w:t>240</w:t>
            </w:r>
          </w:p>
        </w:tc>
      </w:tr>
      <w:tr w:rsidR="0051730D" w:rsidRPr="009040B8" w:rsidTr="0051730D">
        <w:trPr>
          <w:jc w:val="center"/>
        </w:trPr>
        <w:tc>
          <w:tcPr>
            <w:tcW w:w="283" w:type="pct"/>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4</w:t>
            </w:r>
          </w:p>
        </w:tc>
        <w:tc>
          <w:tcPr>
            <w:tcW w:w="2257" w:type="pct"/>
            <w:vAlign w:val="center"/>
          </w:tcPr>
          <w:p w:rsidR="0051730D" w:rsidRPr="008230B1" w:rsidRDefault="0051730D" w:rsidP="0051730D">
            <w:pPr>
              <w:rPr>
                <w:rFonts w:ascii="Verdana" w:hAnsi="Verdana" w:cs="Arial"/>
                <w:sz w:val="16"/>
                <w:szCs w:val="16"/>
              </w:rPr>
            </w:pPr>
            <w:r>
              <w:rPr>
                <w:rFonts w:ascii="Verdana" w:hAnsi="Verdana" w:cs="Arial"/>
                <w:sz w:val="16"/>
                <w:szCs w:val="16"/>
              </w:rPr>
              <w:t>Rozpuszczalność, nie mniej niż</w:t>
            </w:r>
          </w:p>
        </w:tc>
        <w:tc>
          <w:tcPr>
            <w:tcW w:w="480" w:type="pct"/>
          </w:tcPr>
          <w:p w:rsidR="0051730D" w:rsidRPr="004C7C44" w:rsidRDefault="0051730D" w:rsidP="0051730D">
            <w:pPr>
              <w:spacing w:before="60" w:after="60"/>
              <w:jc w:val="center"/>
              <w:rPr>
                <w:rFonts w:ascii="Verdana" w:hAnsi="Verdana" w:cs="Arial"/>
                <w:sz w:val="16"/>
                <w:szCs w:val="16"/>
              </w:rPr>
            </w:pPr>
            <w:r>
              <w:rPr>
                <w:rFonts w:ascii="Verdana" w:hAnsi="Verdana" w:cs="Arial"/>
                <w:sz w:val="16"/>
                <w:szCs w:val="16"/>
              </w:rPr>
              <w:t>% m/m</w:t>
            </w:r>
          </w:p>
        </w:tc>
        <w:tc>
          <w:tcPr>
            <w:tcW w:w="976" w:type="pct"/>
          </w:tcPr>
          <w:p w:rsidR="0051730D" w:rsidRDefault="0051730D" w:rsidP="0051730D">
            <w:pPr>
              <w:spacing w:before="60" w:after="60"/>
              <w:jc w:val="center"/>
              <w:rPr>
                <w:rFonts w:ascii="Verdana" w:hAnsi="Verdana" w:cs="Arial"/>
                <w:sz w:val="16"/>
                <w:szCs w:val="16"/>
              </w:rPr>
            </w:pPr>
            <w:r>
              <w:rPr>
                <w:rFonts w:ascii="Verdana" w:hAnsi="Verdana" w:cs="Arial"/>
                <w:sz w:val="16"/>
                <w:szCs w:val="16"/>
              </w:rPr>
              <w:t>PN-EN 12592 [28]</w:t>
            </w:r>
          </w:p>
        </w:tc>
        <w:tc>
          <w:tcPr>
            <w:tcW w:w="1004" w:type="pct"/>
          </w:tcPr>
          <w:p w:rsidR="0051730D" w:rsidRDefault="0051730D" w:rsidP="0051730D">
            <w:pPr>
              <w:spacing w:before="60" w:after="60"/>
              <w:jc w:val="center"/>
              <w:rPr>
                <w:rFonts w:ascii="Verdana" w:hAnsi="Verdana" w:cs="Arial"/>
                <w:sz w:val="16"/>
                <w:szCs w:val="16"/>
              </w:rPr>
            </w:pPr>
            <w:r>
              <w:rPr>
                <w:rFonts w:ascii="Verdana" w:hAnsi="Verdana" w:cs="Arial"/>
                <w:sz w:val="16"/>
                <w:szCs w:val="16"/>
              </w:rPr>
              <w:t>99,0</w:t>
            </w:r>
          </w:p>
        </w:tc>
      </w:tr>
      <w:tr w:rsidR="0051730D" w:rsidRPr="009040B8" w:rsidTr="0051730D">
        <w:trPr>
          <w:jc w:val="center"/>
        </w:trPr>
        <w:tc>
          <w:tcPr>
            <w:tcW w:w="283" w:type="pct"/>
            <w:vAlign w:val="center"/>
          </w:tcPr>
          <w:p w:rsidR="0051730D" w:rsidRDefault="0051730D" w:rsidP="0051730D">
            <w:pPr>
              <w:jc w:val="center"/>
              <w:rPr>
                <w:rFonts w:ascii="Verdana" w:hAnsi="Verdana" w:cs="Arial"/>
                <w:sz w:val="16"/>
                <w:szCs w:val="16"/>
              </w:rPr>
            </w:pPr>
            <w:r>
              <w:rPr>
                <w:rFonts w:ascii="Verdana" w:hAnsi="Verdana" w:cs="Arial"/>
                <w:sz w:val="16"/>
                <w:szCs w:val="16"/>
              </w:rPr>
              <w:t>5</w:t>
            </w:r>
          </w:p>
        </w:tc>
        <w:tc>
          <w:tcPr>
            <w:tcW w:w="2257" w:type="pct"/>
            <w:vAlign w:val="center"/>
          </w:tcPr>
          <w:p w:rsidR="0051730D" w:rsidRPr="004C7C44" w:rsidRDefault="0051730D" w:rsidP="0051730D">
            <w:pPr>
              <w:rPr>
                <w:rFonts w:ascii="Verdana" w:hAnsi="Verdana" w:cs="Arial"/>
                <w:sz w:val="16"/>
                <w:szCs w:val="16"/>
              </w:rPr>
            </w:pPr>
            <w:r>
              <w:rPr>
                <w:rFonts w:ascii="Verdana" w:hAnsi="Verdana" w:cs="Arial"/>
                <w:sz w:val="16"/>
                <w:szCs w:val="16"/>
              </w:rPr>
              <w:t xml:space="preserve">Zmiana masy </w:t>
            </w:r>
            <w:r>
              <w:rPr>
                <w:rFonts w:ascii="Verdana" w:hAnsi="Verdana" w:cs="Arial"/>
                <w:sz w:val="16"/>
                <w:szCs w:val="16"/>
                <w:vertAlign w:val="superscript"/>
              </w:rPr>
              <w:t>a</w:t>
            </w:r>
            <w:r>
              <w:rPr>
                <w:rFonts w:ascii="Verdana" w:hAnsi="Verdana" w:cs="Arial"/>
                <w:sz w:val="16"/>
                <w:szCs w:val="16"/>
              </w:rPr>
              <w:t xml:space="preserve"> (wartość bezwzględna),                         nie więcej niż</w:t>
            </w:r>
          </w:p>
        </w:tc>
        <w:tc>
          <w:tcPr>
            <w:tcW w:w="480" w:type="pct"/>
          </w:tcPr>
          <w:p w:rsidR="0051730D" w:rsidRDefault="0051730D" w:rsidP="0051730D">
            <w:pPr>
              <w:spacing w:before="60" w:after="60"/>
              <w:jc w:val="center"/>
              <w:rPr>
                <w:rFonts w:ascii="Verdana" w:hAnsi="Verdana" w:cs="Arial"/>
                <w:sz w:val="16"/>
                <w:szCs w:val="16"/>
              </w:rPr>
            </w:pPr>
            <w:r>
              <w:rPr>
                <w:rFonts w:ascii="Verdana" w:hAnsi="Verdana" w:cs="Arial"/>
                <w:sz w:val="16"/>
                <w:szCs w:val="16"/>
              </w:rPr>
              <w:t>%</w:t>
            </w:r>
          </w:p>
        </w:tc>
        <w:tc>
          <w:tcPr>
            <w:tcW w:w="976" w:type="pct"/>
          </w:tcPr>
          <w:p w:rsidR="0051730D" w:rsidRDefault="0051730D" w:rsidP="0051730D">
            <w:pPr>
              <w:spacing w:before="60" w:after="60"/>
              <w:jc w:val="center"/>
              <w:rPr>
                <w:rFonts w:ascii="Verdana" w:hAnsi="Verdana" w:cs="Arial"/>
                <w:sz w:val="16"/>
                <w:szCs w:val="16"/>
              </w:rPr>
            </w:pPr>
            <w:r>
              <w:rPr>
                <w:rFonts w:ascii="Verdana" w:hAnsi="Verdana" w:cs="Arial"/>
                <w:sz w:val="16"/>
                <w:szCs w:val="16"/>
              </w:rPr>
              <w:t>PN-EN 12607-1 [31]</w:t>
            </w:r>
          </w:p>
        </w:tc>
        <w:tc>
          <w:tcPr>
            <w:tcW w:w="1004" w:type="pct"/>
          </w:tcPr>
          <w:p w:rsidR="0051730D" w:rsidRPr="008230B1" w:rsidRDefault="0051730D" w:rsidP="0051730D">
            <w:pPr>
              <w:jc w:val="center"/>
              <w:rPr>
                <w:rFonts w:ascii="Verdana" w:hAnsi="Verdana" w:cs="Arial"/>
                <w:sz w:val="16"/>
                <w:szCs w:val="16"/>
              </w:rPr>
            </w:pP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0,5</w:t>
            </w:r>
          </w:p>
        </w:tc>
      </w:tr>
      <w:tr w:rsidR="0051730D" w:rsidRPr="009040B8" w:rsidTr="0051730D">
        <w:trPr>
          <w:jc w:val="center"/>
        </w:trPr>
        <w:tc>
          <w:tcPr>
            <w:tcW w:w="283" w:type="pct"/>
            <w:vAlign w:val="center"/>
          </w:tcPr>
          <w:p w:rsidR="0051730D" w:rsidRDefault="0051730D" w:rsidP="0051730D">
            <w:pPr>
              <w:jc w:val="center"/>
              <w:rPr>
                <w:rFonts w:ascii="Verdana" w:hAnsi="Verdana" w:cs="Arial"/>
                <w:sz w:val="16"/>
                <w:szCs w:val="16"/>
              </w:rPr>
            </w:pPr>
            <w:r>
              <w:rPr>
                <w:rFonts w:ascii="Verdana" w:hAnsi="Verdana" w:cs="Arial"/>
                <w:sz w:val="16"/>
                <w:szCs w:val="16"/>
              </w:rPr>
              <w:t>6</w:t>
            </w:r>
          </w:p>
        </w:tc>
        <w:tc>
          <w:tcPr>
            <w:tcW w:w="2257" w:type="pct"/>
            <w:vAlign w:val="center"/>
          </w:tcPr>
          <w:p w:rsidR="0051730D" w:rsidRDefault="0051730D" w:rsidP="0051730D">
            <w:pPr>
              <w:rPr>
                <w:rFonts w:ascii="Verdana" w:hAnsi="Verdana" w:cs="Arial"/>
                <w:sz w:val="16"/>
                <w:szCs w:val="16"/>
              </w:rPr>
            </w:pPr>
            <w:r>
              <w:rPr>
                <w:rFonts w:ascii="Verdana" w:hAnsi="Verdana" w:cs="Arial"/>
                <w:sz w:val="16"/>
                <w:szCs w:val="16"/>
              </w:rPr>
              <w:t>Pozostała penetracja, nie mniej niż</w:t>
            </w:r>
          </w:p>
        </w:tc>
        <w:tc>
          <w:tcPr>
            <w:tcW w:w="480" w:type="pct"/>
          </w:tcPr>
          <w:p w:rsidR="0051730D" w:rsidRDefault="0051730D" w:rsidP="0051730D">
            <w:pPr>
              <w:spacing w:before="60" w:after="60"/>
              <w:jc w:val="center"/>
              <w:rPr>
                <w:rFonts w:ascii="Verdana" w:hAnsi="Verdana" w:cs="Arial"/>
                <w:sz w:val="16"/>
                <w:szCs w:val="16"/>
              </w:rPr>
            </w:pPr>
            <w:r>
              <w:rPr>
                <w:rFonts w:ascii="Verdana" w:hAnsi="Verdana" w:cs="Arial"/>
                <w:sz w:val="16"/>
                <w:szCs w:val="16"/>
              </w:rPr>
              <w:t>%</w:t>
            </w:r>
          </w:p>
        </w:tc>
        <w:tc>
          <w:tcPr>
            <w:tcW w:w="976" w:type="pct"/>
          </w:tcPr>
          <w:p w:rsidR="0051730D" w:rsidRDefault="0051730D" w:rsidP="0051730D">
            <w:pPr>
              <w:spacing w:before="60" w:after="60"/>
              <w:jc w:val="center"/>
              <w:rPr>
                <w:rFonts w:ascii="Verdana" w:hAnsi="Verdana" w:cs="Arial"/>
                <w:sz w:val="16"/>
                <w:szCs w:val="16"/>
              </w:rPr>
            </w:pPr>
            <w:r>
              <w:rPr>
                <w:rFonts w:ascii="Verdana" w:hAnsi="Verdana" w:cs="Arial"/>
                <w:sz w:val="16"/>
                <w:szCs w:val="16"/>
              </w:rPr>
              <w:t>PN-EN 12607-1 [31]</w:t>
            </w:r>
          </w:p>
        </w:tc>
        <w:tc>
          <w:tcPr>
            <w:tcW w:w="1004" w:type="pct"/>
          </w:tcPr>
          <w:p w:rsidR="0051730D" w:rsidRPr="008230B1" w:rsidRDefault="0051730D" w:rsidP="0051730D">
            <w:pPr>
              <w:jc w:val="center"/>
              <w:rPr>
                <w:rFonts w:ascii="Verdana" w:hAnsi="Verdana" w:cs="Arial"/>
                <w:sz w:val="16"/>
                <w:szCs w:val="16"/>
              </w:rPr>
            </w:pPr>
          </w:p>
          <w:p w:rsidR="0051730D" w:rsidRPr="008230B1" w:rsidRDefault="0051730D" w:rsidP="0051730D">
            <w:pPr>
              <w:jc w:val="center"/>
              <w:rPr>
                <w:rFonts w:ascii="Verdana" w:hAnsi="Verdana" w:cs="Arial"/>
                <w:sz w:val="16"/>
                <w:szCs w:val="16"/>
              </w:rPr>
            </w:pPr>
            <w:r>
              <w:rPr>
                <w:rFonts w:ascii="Verdana" w:hAnsi="Verdana" w:cs="Arial"/>
                <w:sz w:val="16"/>
                <w:szCs w:val="16"/>
              </w:rPr>
              <w:t>53</w:t>
            </w:r>
          </w:p>
        </w:tc>
      </w:tr>
      <w:tr w:rsidR="0051730D" w:rsidRPr="009040B8" w:rsidTr="0051730D">
        <w:trPr>
          <w:jc w:val="center"/>
        </w:trPr>
        <w:tc>
          <w:tcPr>
            <w:tcW w:w="283" w:type="pct"/>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7</w:t>
            </w:r>
          </w:p>
        </w:tc>
        <w:tc>
          <w:tcPr>
            <w:tcW w:w="2257" w:type="pct"/>
          </w:tcPr>
          <w:p w:rsidR="0051730D" w:rsidRPr="008230B1" w:rsidRDefault="0051730D" w:rsidP="0051730D">
            <w:pPr>
              <w:rPr>
                <w:rFonts w:ascii="Verdana" w:hAnsi="Verdana" w:cs="Arial"/>
                <w:sz w:val="16"/>
                <w:szCs w:val="16"/>
              </w:rPr>
            </w:pPr>
            <w:r w:rsidRPr="008230B1">
              <w:rPr>
                <w:rFonts w:ascii="Verdana" w:hAnsi="Verdana" w:cs="Arial"/>
                <w:sz w:val="16"/>
                <w:szCs w:val="16"/>
              </w:rPr>
              <w:t xml:space="preserve">Wzrost temp. mięknienia po starzeniu, </w:t>
            </w:r>
            <w:r>
              <w:rPr>
                <w:rFonts w:ascii="Verdana" w:hAnsi="Verdana" w:cs="Arial"/>
                <w:sz w:val="16"/>
                <w:szCs w:val="16"/>
              </w:rPr>
              <w:t xml:space="preserve">                               </w:t>
            </w:r>
            <w:r w:rsidRPr="008230B1">
              <w:rPr>
                <w:rFonts w:ascii="Verdana" w:hAnsi="Verdana" w:cs="Arial"/>
                <w:sz w:val="16"/>
                <w:szCs w:val="16"/>
              </w:rPr>
              <w:t>nie więcej niż</w:t>
            </w:r>
          </w:p>
        </w:tc>
        <w:tc>
          <w:tcPr>
            <w:tcW w:w="480" w:type="pct"/>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°C</w:t>
            </w:r>
          </w:p>
        </w:tc>
        <w:tc>
          <w:tcPr>
            <w:tcW w:w="976" w:type="pct"/>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PN-EN 1427 [22]</w:t>
            </w:r>
          </w:p>
        </w:tc>
        <w:tc>
          <w:tcPr>
            <w:tcW w:w="1004" w:type="pct"/>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8</w:t>
            </w:r>
          </w:p>
        </w:tc>
      </w:tr>
      <w:tr w:rsidR="0051730D" w:rsidRPr="009040B8" w:rsidTr="0051730D">
        <w:trPr>
          <w:trHeight w:val="321"/>
          <w:jc w:val="center"/>
        </w:trPr>
        <w:tc>
          <w:tcPr>
            <w:tcW w:w="5000" w:type="pct"/>
            <w:gridSpan w:val="5"/>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Właściwości uwzględniające warunki krajowe</w:t>
            </w:r>
          </w:p>
        </w:tc>
      </w:tr>
      <w:tr w:rsidR="0051730D" w:rsidRPr="009040B8" w:rsidTr="0051730D">
        <w:trPr>
          <w:jc w:val="center"/>
        </w:trPr>
        <w:tc>
          <w:tcPr>
            <w:tcW w:w="283" w:type="pct"/>
            <w:vAlign w:val="center"/>
          </w:tcPr>
          <w:p w:rsidR="0051730D" w:rsidRDefault="0051730D" w:rsidP="0051730D">
            <w:pPr>
              <w:jc w:val="center"/>
              <w:rPr>
                <w:rFonts w:ascii="Verdana" w:hAnsi="Verdana" w:cs="Arial"/>
                <w:sz w:val="16"/>
                <w:szCs w:val="16"/>
              </w:rPr>
            </w:pPr>
            <w:r>
              <w:rPr>
                <w:rFonts w:ascii="Verdana" w:hAnsi="Verdana" w:cs="Arial"/>
                <w:sz w:val="16"/>
                <w:szCs w:val="16"/>
              </w:rPr>
              <w:lastRenderedPageBreak/>
              <w:t>8</w:t>
            </w:r>
          </w:p>
        </w:tc>
        <w:tc>
          <w:tcPr>
            <w:tcW w:w="2257" w:type="pct"/>
          </w:tcPr>
          <w:p w:rsidR="0051730D" w:rsidRPr="008230B1" w:rsidRDefault="0051730D" w:rsidP="0051730D">
            <w:pPr>
              <w:rPr>
                <w:rFonts w:ascii="Verdana" w:hAnsi="Verdana" w:cs="Arial"/>
                <w:sz w:val="16"/>
                <w:szCs w:val="16"/>
              </w:rPr>
            </w:pPr>
            <w:r w:rsidRPr="008230B1">
              <w:rPr>
                <w:rFonts w:ascii="Verdana" w:hAnsi="Verdana" w:cs="Arial"/>
                <w:sz w:val="16"/>
                <w:szCs w:val="16"/>
              </w:rPr>
              <w:t xml:space="preserve">Temperatura łamliwości </w:t>
            </w:r>
            <w:proofErr w:type="spellStart"/>
            <w:r w:rsidRPr="008230B1">
              <w:rPr>
                <w:rFonts w:ascii="Verdana" w:hAnsi="Verdana" w:cs="Arial"/>
                <w:sz w:val="16"/>
                <w:szCs w:val="16"/>
              </w:rPr>
              <w:t>Fraassa</w:t>
            </w:r>
            <w:proofErr w:type="spellEnd"/>
            <w:r w:rsidRPr="008230B1">
              <w:rPr>
                <w:rFonts w:ascii="Verdana" w:hAnsi="Verdana" w:cs="Arial"/>
                <w:sz w:val="16"/>
                <w:szCs w:val="16"/>
              </w:rPr>
              <w:t xml:space="preserve">, </w:t>
            </w:r>
            <w:r>
              <w:rPr>
                <w:rFonts w:ascii="Verdana" w:hAnsi="Verdana" w:cs="Arial"/>
                <w:sz w:val="16"/>
                <w:szCs w:val="16"/>
              </w:rPr>
              <w:t xml:space="preserve">                                             </w:t>
            </w:r>
            <w:r w:rsidRPr="008230B1">
              <w:rPr>
                <w:rFonts w:ascii="Verdana" w:hAnsi="Verdana" w:cs="Arial"/>
                <w:sz w:val="16"/>
                <w:szCs w:val="16"/>
              </w:rPr>
              <w:t>nie więcej niż</w:t>
            </w:r>
          </w:p>
        </w:tc>
        <w:tc>
          <w:tcPr>
            <w:tcW w:w="480" w:type="pct"/>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°C</w:t>
            </w:r>
          </w:p>
        </w:tc>
        <w:tc>
          <w:tcPr>
            <w:tcW w:w="976" w:type="pct"/>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2593</w:t>
            </w:r>
            <w:r w:rsidRPr="008230B1">
              <w:rPr>
                <w:rFonts w:ascii="Verdana" w:hAnsi="Verdana" w:cs="Arial"/>
                <w:sz w:val="16"/>
                <w:szCs w:val="16"/>
              </w:rPr>
              <w:t xml:space="preserve"> [2</w:t>
            </w:r>
            <w:r>
              <w:rPr>
                <w:rFonts w:ascii="Verdana" w:hAnsi="Verdana" w:cs="Arial"/>
                <w:sz w:val="16"/>
                <w:szCs w:val="16"/>
              </w:rPr>
              <w:t>9</w:t>
            </w:r>
            <w:r w:rsidRPr="008230B1">
              <w:rPr>
                <w:rFonts w:ascii="Verdana" w:hAnsi="Verdana" w:cs="Arial"/>
                <w:sz w:val="16"/>
                <w:szCs w:val="16"/>
              </w:rPr>
              <w:t>]</w:t>
            </w:r>
          </w:p>
        </w:tc>
        <w:tc>
          <w:tcPr>
            <w:tcW w:w="1004" w:type="pct"/>
          </w:tcPr>
          <w:p w:rsidR="0051730D" w:rsidRPr="008230B1" w:rsidRDefault="0051730D" w:rsidP="0051730D">
            <w:pPr>
              <w:spacing w:before="120"/>
              <w:jc w:val="center"/>
              <w:rPr>
                <w:rFonts w:ascii="Verdana" w:hAnsi="Verdana" w:cs="Arial"/>
                <w:sz w:val="16"/>
                <w:szCs w:val="16"/>
              </w:rPr>
            </w:pPr>
            <w:r>
              <w:rPr>
                <w:rFonts w:ascii="Verdana" w:hAnsi="Verdana" w:cs="Arial"/>
                <w:sz w:val="16"/>
                <w:szCs w:val="16"/>
              </w:rPr>
              <w:t>-5</w:t>
            </w:r>
          </w:p>
        </w:tc>
      </w:tr>
      <w:tr w:rsidR="0051730D" w:rsidRPr="009040B8" w:rsidTr="0051730D">
        <w:trPr>
          <w:jc w:val="center"/>
        </w:trPr>
        <w:tc>
          <w:tcPr>
            <w:tcW w:w="283" w:type="pct"/>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9</w:t>
            </w:r>
          </w:p>
        </w:tc>
        <w:tc>
          <w:tcPr>
            <w:tcW w:w="2257" w:type="pct"/>
            <w:vAlign w:val="center"/>
          </w:tcPr>
          <w:p w:rsidR="0051730D" w:rsidRPr="008230B1" w:rsidRDefault="0051730D" w:rsidP="0051730D">
            <w:pPr>
              <w:rPr>
                <w:rFonts w:ascii="Verdana" w:hAnsi="Verdana" w:cs="Arial"/>
                <w:sz w:val="16"/>
                <w:szCs w:val="16"/>
              </w:rPr>
            </w:pPr>
            <w:r>
              <w:rPr>
                <w:rFonts w:ascii="Verdana" w:hAnsi="Verdana" w:cs="Arial"/>
                <w:sz w:val="16"/>
                <w:szCs w:val="16"/>
              </w:rPr>
              <w:t>Indeks penetracji</w:t>
            </w:r>
          </w:p>
        </w:tc>
        <w:tc>
          <w:tcPr>
            <w:tcW w:w="480" w:type="pct"/>
            <w:vAlign w:val="center"/>
          </w:tcPr>
          <w:p w:rsidR="0051730D" w:rsidRPr="00640D1C" w:rsidRDefault="0051730D" w:rsidP="0051730D">
            <w:pPr>
              <w:spacing w:before="120"/>
              <w:jc w:val="center"/>
              <w:rPr>
                <w:rFonts w:ascii="Verdana" w:hAnsi="Verdana" w:cs="Arial"/>
                <w:sz w:val="16"/>
                <w:szCs w:val="16"/>
              </w:rPr>
            </w:pPr>
            <w:r>
              <w:rPr>
                <w:rFonts w:ascii="Verdana" w:hAnsi="Verdana" w:cs="Arial"/>
                <w:sz w:val="16"/>
                <w:szCs w:val="16"/>
              </w:rPr>
              <w:t>-</w:t>
            </w:r>
          </w:p>
        </w:tc>
        <w:tc>
          <w:tcPr>
            <w:tcW w:w="976" w:type="pct"/>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2591                    Zał. A</w:t>
            </w:r>
            <w:r w:rsidRPr="008230B1">
              <w:rPr>
                <w:rFonts w:ascii="Verdana" w:hAnsi="Verdana" w:cs="Arial"/>
                <w:sz w:val="16"/>
                <w:szCs w:val="16"/>
              </w:rPr>
              <w:t xml:space="preserve"> [2</w:t>
            </w:r>
            <w:r>
              <w:rPr>
                <w:rFonts w:ascii="Verdana" w:hAnsi="Verdana" w:cs="Arial"/>
                <w:sz w:val="16"/>
                <w:szCs w:val="16"/>
              </w:rPr>
              <w:t>7</w:t>
            </w:r>
            <w:r w:rsidRPr="008230B1">
              <w:rPr>
                <w:rFonts w:ascii="Verdana" w:hAnsi="Verdana" w:cs="Arial"/>
                <w:sz w:val="16"/>
                <w:szCs w:val="16"/>
              </w:rPr>
              <w:t>]</w:t>
            </w:r>
          </w:p>
        </w:tc>
        <w:tc>
          <w:tcPr>
            <w:tcW w:w="1004" w:type="pct"/>
          </w:tcPr>
          <w:p w:rsidR="0051730D" w:rsidRPr="008230B1" w:rsidRDefault="0051730D" w:rsidP="0051730D">
            <w:pPr>
              <w:spacing w:before="120"/>
              <w:jc w:val="center"/>
              <w:rPr>
                <w:rFonts w:ascii="Verdana" w:hAnsi="Verdana" w:cs="Arial"/>
                <w:sz w:val="16"/>
                <w:szCs w:val="16"/>
              </w:rPr>
            </w:pPr>
            <w:r>
              <w:rPr>
                <w:rFonts w:ascii="Verdana" w:hAnsi="Verdana" w:cs="Arial"/>
                <w:sz w:val="16"/>
                <w:szCs w:val="16"/>
              </w:rPr>
              <w:t>NR</w:t>
            </w:r>
          </w:p>
        </w:tc>
      </w:tr>
      <w:tr w:rsidR="0051730D" w:rsidRPr="009040B8" w:rsidTr="0051730D">
        <w:trPr>
          <w:jc w:val="center"/>
        </w:trPr>
        <w:tc>
          <w:tcPr>
            <w:tcW w:w="283" w:type="pct"/>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10</w:t>
            </w:r>
          </w:p>
        </w:tc>
        <w:tc>
          <w:tcPr>
            <w:tcW w:w="2257" w:type="pct"/>
            <w:vAlign w:val="center"/>
          </w:tcPr>
          <w:p w:rsidR="0051730D" w:rsidRPr="00640D1C" w:rsidRDefault="0051730D" w:rsidP="0051730D">
            <w:pPr>
              <w:rPr>
                <w:rFonts w:ascii="Verdana" w:hAnsi="Verdana" w:cs="Arial"/>
                <w:sz w:val="16"/>
                <w:szCs w:val="16"/>
              </w:rPr>
            </w:pPr>
            <w:r>
              <w:rPr>
                <w:rFonts w:ascii="Verdana" w:hAnsi="Verdana" w:cs="Arial"/>
                <w:sz w:val="16"/>
                <w:szCs w:val="16"/>
              </w:rPr>
              <w:t>Lepkość dynamiczna w 60</w:t>
            </w:r>
            <w:r>
              <w:rPr>
                <w:rFonts w:ascii="Verdana" w:hAnsi="Verdana" w:cs="Arial"/>
                <w:sz w:val="16"/>
                <w:szCs w:val="16"/>
                <w:vertAlign w:val="superscript"/>
              </w:rPr>
              <w:t>o</w:t>
            </w:r>
            <w:r>
              <w:rPr>
                <w:rFonts w:ascii="Verdana" w:hAnsi="Verdana" w:cs="Arial"/>
                <w:sz w:val="16"/>
                <w:szCs w:val="16"/>
              </w:rPr>
              <w:t>C</w:t>
            </w:r>
          </w:p>
        </w:tc>
        <w:tc>
          <w:tcPr>
            <w:tcW w:w="480" w:type="pct"/>
            <w:vAlign w:val="center"/>
          </w:tcPr>
          <w:p w:rsidR="0051730D" w:rsidRPr="00640D1C" w:rsidRDefault="0051730D" w:rsidP="0051730D">
            <w:pPr>
              <w:spacing w:before="120"/>
              <w:jc w:val="center"/>
              <w:rPr>
                <w:rFonts w:ascii="Verdana" w:hAnsi="Verdana" w:cs="Arial"/>
                <w:sz w:val="16"/>
                <w:szCs w:val="16"/>
              </w:rPr>
            </w:pPr>
            <w:r>
              <w:rPr>
                <w:rFonts w:ascii="Verdana" w:hAnsi="Verdana" w:cs="Arial"/>
                <w:sz w:val="16"/>
                <w:szCs w:val="16"/>
              </w:rPr>
              <w:t xml:space="preserve">Pa </w:t>
            </w:r>
            <w:r w:rsidRPr="00640D1C">
              <w:rPr>
                <w:rFonts w:ascii="Verdana" w:hAnsi="Verdana" w:cs="Arial"/>
                <w:b/>
                <w:sz w:val="16"/>
                <w:szCs w:val="16"/>
                <w:vertAlign w:val="superscript"/>
              </w:rPr>
              <w:t>.</w:t>
            </w:r>
            <w:r>
              <w:rPr>
                <w:rFonts w:ascii="Verdana" w:hAnsi="Verdana" w:cs="Arial"/>
                <w:b/>
                <w:sz w:val="16"/>
                <w:szCs w:val="16"/>
                <w:vertAlign w:val="superscript"/>
              </w:rPr>
              <w:t xml:space="preserve"> </w:t>
            </w:r>
            <w:r w:rsidRPr="00640D1C">
              <w:rPr>
                <w:rFonts w:ascii="Verdana" w:hAnsi="Verdana" w:cs="Arial"/>
                <w:sz w:val="16"/>
                <w:szCs w:val="16"/>
              </w:rPr>
              <w:t>s</w:t>
            </w:r>
          </w:p>
        </w:tc>
        <w:tc>
          <w:tcPr>
            <w:tcW w:w="976" w:type="pct"/>
            <w:vAlign w:val="center"/>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2596</w:t>
            </w:r>
            <w:r w:rsidRPr="008230B1">
              <w:rPr>
                <w:rFonts w:ascii="Verdana" w:hAnsi="Verdana" w:cs="Arial"/>
                <w:sz w:val="16"/>
                <w:szCs w:val="16"/>
              </w:rPr>
              <w:t xml:space="preserve"> </w:t>
            </w:r>
          </w:p>
        </w:tc>
        <w:tc>
          <w:tcPr>
            <w:tcW w:w="1004" w:type="pct"/>
            <w:vAlign w:val="center"/>
          </w:tcPr>
          <w:p w:rsidR="0051730D" w:rsidRPr="008230B1" w:rsidRDefault="0051730D" w:rsidP="0051730D">
            <w:pPr>
              <w:spacing w:before="120"/>
              <w:jc w:val="center"/>
              <w:rPr>
                <w:rFonts w:ascii="Verdana" w:hAnsi="Verdana" w:cs="Arial"/>
                <w:sz w:val="16"/>
                <w:szCs w:val="16"/>
              </w:rPr>
            </w:pPr>
            <w:r>
              <w:rPr>
                <w:rFonts w:ascii="Verdana" w:hAnsi="Verdana" w:cs="Arial"/>
                <w:sz w:val="16"/>
                <w:szCs w:val="16"/>
              </w:rPr>
              <w:t>NR</w:t>
            </w:r>
          </w:p>
        </w:tc>
      </w:tr>
      <w:tr w:rsidR="0051730D" w:rsidRPr="009040B8" w:rsidTr="0051730D">
        <w:trPr>
          <w:jc w:val="center"/>
        </w:trPr>
        <w:tc>
          <w:tcPr>
            <w:tcW w:w="283" w:type="pct"/>
            <w:vAlign w:val="center"/>
          </w:tcPr>
          <w:p w:rsidR="0051730D" w:rsidRDefault="0051730D" w:rsidP="0051730D">
            <w:pPr>
              <w:jc w:val="center"/>
              <w:rPr>
                <w:rFonts w:ascii="Verdana" w:hAnsi="Verdana" w:cs="Arial"/>
                <w:sz w:val="16"/>
                <w:szCs w:val="16"/>
              </w:rPr>
            </w:pPr>
            <w:r>
              <w:rPr>
                <w:rFonts w:ascii="Verdana" w:hAnsi="Verdana" w:cs="Arial"/>
                <w:sz w:val="16"/>
                <w:szCs w:val="16"/>
              </w:rPr>
              <w:t>11</w:t>
            </w:r>
          </w:p>
        </w:tc>
        <w:tc>
          <w:tcPr>
            <w:tcW w:w="2257" w:type="pct"/>
            <w:vAlign w:val="center"/>
          </w:tcPr>
          <w:p w:rsidR="0051730D" w:rsidRPr="00640D1C" w:rsidRDefault="0051730D" w:rsidP="0051730D">
            <w:pPr>
              <w:rPr>
                <w:rFonts w:ascii="Verdana" w:hAnsi="Verdana" w:cs="Arial"/>
                <w:sz w:val="16"/>
                <w:szCs w:val="16"/>
              </w:rPr>
            </w:pPr>
            <w:r>
              <w:rPr>
                <w:rFonts w:ascii="Verdana" w:hAnsi="Verdana" w:cs="Arial"/>
                <w:sz w:val="16"/>
                <w:szCs w:val="16"/>
              </w:rPr>
              <w:t>Lepkość kinetyczna w 135</w:t>
            </w:r>
            <w:r>
              <w:rPr>
                <w:rFonts w:ascii="Verdana" w:hAnsi="Verdana" w:cs="Arial"/>
                <w:sz w:val="16"/>
                <w:szCs w:val="16"/>
                <w:vertAlign w:val="superscript"/>
              </w:rPr>
              <w:t>o</w:t>
            </w:r>
            <w:r>
              <w:rPr>
                <w:rFonts w:ascii="Verdana" w:hAnsi="Verdana" w:cs="Arial"/>
                <w:sz w:val="16"/>
                <w:szCs w:val="16"/>
              </w:rPr>
              <w:t>C</w:t>
            </w:r>
          </w:p>
        </w:tc>
        <w:tc>
          <w:tcPr>
            <w:tcW w:w="480" w:type="pct"/>
            <w:vAlign w:val="center"/>
          </w:tcPr>
          <w:p w:rsidR="0051730D" w:rsidRPr="00640D1C" w:rsidRDefault="0051730D" w:rsidP="0051730D">
            <w:pPr>
              <w:spacing w:before="120"/>
              <w:jc w:val="center"/>
              <w:rPr>
                <w:rFonts w:ascii="Verdana" w:hAnsi="Verdana" w:cs="Arial"/>
                <w:sz w:val="16"/>
                <w:szCs w:val="16"/>
              </w:rPr>
            </w:pPr>
            <w:r>
              <w:rPr>
                <w:rFonts w:ascii="Verdana" w:hAnsi="Verdana" w:cs="Arial"/>
                <w:sz w:val="16"/>
                <w:szCs w:val="16"/>
              </w:rPr>
              <w:t>Mm</w:t>
            </w:r>
            <w:r>
              <w:rPr>
                <w:rFonts w:ascii="Verdana" w:hAnsi="Verdana" w:cs="Arial"/>
                <w:sz w:val="16"/>
                <w:szCs w:val="16"/>
                <w:vertAlign w:val="superscript"/>
              </w:rPr>
              <w:t>2</w:t>
            </w:r>
            <w:r>
              <w:rPr>
                <w:rFonts w:ascii="Verdana" w:hAnsi="Verdana" w:cs="Arial"/>
                <w:sz w:val="16"/>
                <w:szCs w:val="16"/>
              </w:rPr>
              <w:t>/s</w:t>
            </w:r>
          </w:p>
        </w:tc>
        <w:tc>
          <w:tcPr>
            <w:tcW w:w="976" w:type="pct"/>
            <w:vAlign w:val="center"/>
          </w:tcPr>
          <w:p w:rsidR="0051730D" w:rsidRPr="008230B1" w:rsidRDefault="0051730D" w:rsidP="0051730D">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2595</w:t>
            </w:r>
          </w:p>
        </w:tc>
        <w:tc>
          <w:tcPr>
            <w:tcW w:w="1004" w:type="pct"/>
            <w:vAlign w:val="center"/>
          </w:tcPr>
          <w:p w:rsidR="0051730D" w:rsidRPr="008230B1" w:rsidRDefault="0051730D" w:rsidP="0051730D">
            <w:pPr>
              <w:spacing w:before="120"/>
              <w:jc w:val="center"/>
              <w:rPr>
                <w:rFonts w:ascii="Verdana" w:hAnsi="Verdana" w:cs="Arial"/>
                <w:sz w:val="16"/>
                <w:szCs w:val="16"/>
              </w:rPr>
            </w:pPr>
            <w:r>
              <w:rPr>
                <w:rFonts w:ascii="Verdana" w:hAnsi="Verdana" w:cs="Arial"/>
                <w:sz w:val="16"/>
                <w:szCs w:val="16"/>
              </w:rPr>
              <w:t>NR</w:t>
            </w:r>
          </w:p>
        </w:tc>
      </w:tr>
      <w:tr w:rsidR="0051730D" w:rsidRPr="009040B8" w:rsidTr="0051730D">
        <w:trPr>
          <w:trHeight w:val="405"/>
          <w:jc w:val="center"/>
        </w:trPr>
        <w:tc>
          <w:tcPr>
            <w:tcW w:w="5000" w:type="pct"/>
            <w:gridSpan w:val="5"/>
            <w:vAlign w:val="center"/>
          </w:tcPr>
          <w:p w:rsidR="0051730D" w:rsidRDefault="0051730D" w:rsidP="0051730D">
            <w:pPr>
              <w:ind w:left="426" w:hanging="426"/>
              <w:rPr>
                <w:rFonts w:ascii="Verdana" w:hAnsi="Verdana" w:cs="Arial"/>
                <w:sz w:val="16"/>
                <w:szCs w:val="16"/>
              </w:rPr>
            </w:pPr>
            <w:r>
              <w:rPr>
                <w:rFonts w:ascii="Verdana" w:hAnsi="Verdana" w:cs="Arial"/>
                <w:sz w:val="16"/>
                <w:szCs w:val="16"/>
                <w:vertAlign w:val="superscript"/>
              </w:rPr>
              <w:t>a</w:t>
            </w:r>
            <w:r>
              <w:rPr>
                <w:rFonts w:ascii="Verdana" w:hAnsi="Verdana" w:cs="Arial"/>
                <w:sz w:val="16"/>
                <w:szCs w:val="16"/>
              </w:rPr>
              <w:t xml:space="preserve">       Zmiana masy może być wartością dodatnią lub ujemną,</w:t>
            </w:r>
          </w:p>
          <w:p w:rsidR="0051730D" w:rsidRPr="00640D1C" w:rsidRDefault="0051730D" w:rsidP="0051730D">
            <w:pPr>
              <w:rPr>
                <w:rFonts w:ascii="Verdana" w:hAnsi="Verdana" w:cs="Arial"/>
                <w:sz w:val="16"/>
                <w:szCs w:val="16"/>
              </w:rPr>
            </w:pPr>
            <w:r>
              <w:rPr>
                <w:rFonts w:ascii="Verdana" w:hAnsi="Verdana" w:cs="Arial"/>
                <w:sz w:val="16"/>
                <w:szCs w:val="16"/>
              </w:rPr>
              <w:t xml:space="preserve">NR – No </w:t>
            </w:r>
            <w:proofErr w:type="spellStart"/>
            <w:r>
              <w:rPr>
                <w:rFonts w:ascii="Verdana" w:hAnsi="Verdana" w:cs="Arial"/>
                <w:sz w:val="16"/>
                <w:szCs w:val="16"/>
              </w:rPr>
              <w:t>Requirement</w:t>
            </w:r>
            <w:proofErr w:type="spellEnd"/>
            <w:r>
              <w:rPr>
                <w:rFonts w:ascii="Verdana" w:hAnsi="Verdana" w:cs="Arial"/>
                <w:sz w:val="16"/>
                <w:szCs w:val="16"/>
              </w:rPr>
              <w:t xml:space="preserve"> (brak wymagań) </w:t>
            </w:r>
          </w:p>
        </w:tc>
      </w:tr>
    </w:tbl>
    <w:p w:rsidR="0051730D" w:rsidRPr="009040B8" w:rsidRDefault="0051730D" w:rsidP="0051730D">
      <w:pPr>
        <w:tabs>
          <w:tab w:val="left" w:pos="851"/>
        </w:tabs>
        <w:jc w:val="both"/>
        <w:rPr>
          <w:rFonts w:ascii="Verdana" w:hAnsi="Verdana" w:cs="Arial"/>
        </w:rPr>
      </w:pPr>
    </w:p>
    <w:p w:rsidR="0051730D" w:rsidRPr="009040B8" w:rsidRDefault="0051730D" w:rsidP="0051730D">
      <w:pPr>
        <w:tabs>
          <w:tab w:val="left" w:pos="851"/>
        </w:tabs>
        <w:jc w:val="both"/>
        <w:rPr>
          <w:rFonts w:ascii="Verdana" w:hAnsi="Verdana" w:cs="Arial"/>
        </w:rPr>
      </w:pPr>
      <w:r w:rsidRPr="009040B8">
        <w:rPr>
          <w:rFonts w:ascii="Verdana" w:hAnsi="Verdana" w:cs="Arial"/>
        </w:rPr>
        <w:t>Tablica 4. Wymagania wobec asfaltu modyfikowanego polimerami wg PN-EN 14023 [59]</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016"/>
        <w:gridCol w:w="1560"/>
        <w:gridCol w:w="1275"/>
        <w:gridCol w:w="1134"/>
        <w:gridCol w:w="1134"/>
      </w:tblGrid>
      <w:tr w:rsidR="0051730D" w:rsidRPr="009040B8" w:rsidTr="0051730D">
        <w:tc>
          <w:tcPr>
            <w:tcW w:w="2628" w:type="dxa"/>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Wymaganie</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podstawowe</w:t>
            </w:r>
          </w:p>
        </w:tc>
        <w:tc>
          <w:tcPr>
            <w:tcW w:w="2016" w:type="dxa"/>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Właściwość</w:t>
            </w:r>
          </w:p>
        </w:tc>
        <w:tc>
          <w:tcPr>
            <w:tcW w:w="1560" w:type="dxa"/>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Metoda</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badania</w:t>
            </w:r>
          </w:p>
        </w:tc>
        <w:tc>
          <w:tcPr>
            <w:tcW w:w="1275" w:type="dxa"/>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Jednostka</w:t>
            </w:r>
          </w:p>
        </w:tc>
        <w:tc>
          <w:tcPr>
            <w:tcW w:w="2268" w:type="dxa"/>
            <w:gridSpan w:val="2"/>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Asfalt modyfikowany</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polimerami</w:t>
            </w:r>
          </w:p>
        </w:tc>
      </w:tr>
      <w:tr w:rsidR="0051730D" w:rsidRPr="009040B8" w:rsidTr="0051730D">
        <w:tc>
          <w:tcPr>
            <w:tcW w:w="2628" w:type="dxa"/>
            <w:vMerge/>
          </w:tcPr>
          <w:p w:rsidR="0051730D" w:rsidRPr="008230B1" w:rsidRDefault="0051730D" w:rsidP="0051730D">
            <w:pPr>
              <w:jc w:val="center"/>
              <w:rPr>
                <w:rFonts w:ascii="Verdana" w:hAnsi="Verdana" w:cs="Arial"/>
                <w:sz w:val="16"/>
                <w:szCs w:val="16"/>
              </w:rPr>
            </w:pPr>
          </w:p>
        </w:tc>
        <w:tc>
          <w:tcPr>
            <w:tcW w:w="2016" w:type="dxa"/>
            <w:vMerge/>
          </w:tcPr>
          <w:p w:rsidR="0051730D" w:rsidRPr="008230B1" w:rsidRDefault="0051730D" w:rsidP="0051730D">
            <w:pPr>
              <w:jc w:val="center"/>
              <w:rPr>
                <w:rFonts w:ascii="Verdana" w:hAnsi="Verdana" w:cs="Arial"/>
                <w:sz w:val="16"/>
                <w:szCs w:val="16"/>
              </w:rPr>
            </w:pPr>
          </w:p>
        </w:tc>
        <w:tc>
          <w:tcPr>
            <w:tcW w:w="1560" w:type="dxa"/>
            <w:vMerge/>
          </w:tcPr>
          <w:p w:rsidR="0051730D" w:rsidRPr="008230B1" w:rsidRDefault="0051730D" w:rsidP="0051730D">
            <w:pPr>
              <w:jc w:val="center"/>
              <w:rPr>
                <w:rFonts w:ascii="Verdana" w:hAnsi="Verdana" w:cs="Arial"/>
                <w:sz w:val="16"/>
                <w:szCs w:val="16"/>
              </w:rPr>
            </w:pPr>
          </w:p>
        </w:tc>
        <w:tc>
          <w:tcPr>
            <w:tcW w:w="1275" w:type="dxa"/>
            <w:vMerge/>
          </w:tcPr>
          <w:p w:rsidR="0051730D" w:rsidRPr="008230B1" w:rsidRDefault="0051730D" w:rsidP="0051730D">
            <w:pPr>
              <w:jc w:val="center"/>
              <w:rPr>
                <w:rFonts w:ascii="Verdana" w:hAnsi="Verdana" w:cs="Arial"/>
                <w:sz w:val="16"/>
                <w:szCs w:val="16"/>
              </w:rPr>
            </w:pPr>
          </w:p>
        </w:tc>
        <w:tc>
          <w:tcPr>
            <w:tcW w:w="2268" w:type="dxa"/>
            <w:gridSpan w:val="2"/>
            <w:vAlign w:val="center"/>
          </w:tcPr>
          <w:p w:rsidR="0051730D" w:rsidRPr="008230B1" w:rsidRDefault="0051730D" w:rsidP="0051730D">
            <w:pPr>
              <w:jc w:val="center"/>
              <w:rPr>
                <w:rFonts w:ascii="Verdana" w:hAnsi="Verdana" w:cs="Arial"/>
                <w:sz w:val="16"/>
                <w:szCs w:val="16"/>
                <w:vertAlign w:val="superscript"/>
              </w:rPr>
            </w:pPr>
            <w:r w:rsidRPr="008230B1">
              <w:rPr>
                <w:rFonts w:ascii="Verdana" w:hAnsi="Verdana" w:cs="Arial"/>
                <w:sz w:val="16"/>
                <w:szCs w:val="16"/>
              </w:rPr>
              <w:t>PMB 25/55-60</w:t>
            </w:r>
            <w:r>
              <w:rPr>
                <w:rFonts w:ascii="Verdana" w:hAnsi="Verdana" w:cs="Arial"/>
                <w:sz w:val="16"/>
                <w:szCs w:val="16"/>
                <w:vertAlign w:val="superscript"/>
              </w:rPr>
              <w:t>a</w:t>
            </w:r>
          </w:p>
        </w:tc>
      </w:tr>
      <w:tr w:rsidR="0051730D" w:rsidRPr="009040B8" w:rsidTr="0051730D">
        <w:tc>
          <w:tcPr>
            <w:tcW w:w="2628" w:type="dxa"/>
            <w:vMerge/>
          </w:tcPr>
          <w:p w:rsidR="0051730D" w:rsidRPr="008230B1" w:rsidRDefault="0051730D" w:rsidP="0051730D">
            <w:pPr>
              <w:jc w:val="center"/>
              <w:rPr>
                <w:rFonts w:ascii="Verdana" w:hAnsi="Verdana" w:cs="Arial"/>
                <w:sz w:val="16"/>
                <w:szCs w:val="16"/>
              </w:rPr>
            </w:pPr>
          </w:p>
        </w:tc>
        <w:tc>
          <w:tcPr>
            <w:tcW w:w="2016" w:type="dxa"/>
            <w:vMerge/>
          </w:tcPr>
          <w:p w:rsidR="0051730D" w:rsidRPr="008230B1" w:rsidRDefault="0051730D" w:rsidP="0051730D">
            <w:pPr>
              <w:jc w:val="center"/>
              <w:rPr>
                <w:rFonts w:ascii="Verdana" w:hAnsi="Verdana" w:cs="Arial"/>
                <w:sz w:val="16"/>
                <w:szCs w:val="16"/>
              </w:rPr>
            </w:pPr>
          </w:p>
        </w:tc>
        <w:tc>
          <w:tcPr>
            <w:tcW w:w="1560" w:type="dxa"/>
            <w:vMerge/>
          </w:tcPr>
          <w:p w:rsidR="0051730D" w:rsidRPr="008230B1" w:rsidRDefault="0051730D" w:rsidP="0051730D">
            <w:pPr>
              <w:jc w:val="center"/>
              <w:rPr>
                <w:rFonts w:ascii="Verdana" w:hAnsi="Verdana" w:cs="Arial"/>
                <w:sz w:val="16"/>
                <w:szCs w:val="16"/>
              </w:rPr>
            </w:pPr>
          </w:p>
        </w:tc>
        <w:tc>
          <w:tcPr>
            <w:tcW w:w="1275" w:type="dxa"/>
            <w:vMerge/>
          </w:tcPr>
          <w:p w:rsidR="0051730D" w:rsidRPr="008230B1" w:rsidRDefault="0051730D" w:rsidP="0051730D">
            <w:pPr>
              <w:jc w:val="center"/>
              <w:rPr>
                <w:rFonts w:ascii="Verdana" w:hAnsi="Verdana" w:cs="Arial"/>
                <w:sz w:val="16"/>
                <w:szCs w:val="16"/>
              </w:rPr>
            </w:pPr>
          </w:p>
        </w:tc>
        <w:tc>
          <w:tcPr>
            <w:tcW w:w="1134" w:type="dxa"/>
            <w:vAlign w:val="center"/>
          </w:tcPr>
          <w:p w:rsidR="0051730D" w:rsidRPr="008230B1" w:rsidRDefault="0051730D" w:rsidP="0051730D">
            <w:pPr>
              <w:spacing w:after="60"/>
              <w:jc w:val="center"/>
              <w:rPr>
                <w:rFonts w:ascii="Verdana" w:hAnsi="Verdana" w:cs="Arial"/>
                <w:sz w:val="16"/>
                <w:szCs w:val="16"/>
              </w:rPr>
            </w:pPr>
            <w:r w:rsidRPr="008230B1">
              <w:rPr>
                <w:rFonts w:ascii="Verdana" w:hAnsi="Verdana" w:cs="Arial"/>
                <w:sz w:val="16"/>
                <w:szCs w:val="16"/>
              </w:rPr>
              <w:t>wymaganie</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klasa</w:t>
            </w:r>
          </w:p>
        </w:tc>
      </w:tr>
      <w:tr w:rsidR="0051730D" w:rsidRPr="009040B8" w:rsidTr="0051730D">
        <w:tc>
          <w:tcPr>
            <w:tcW w:w="2628" w:type="dxa"/>
            <w:tcBorders>
              <w:top w:val="nil"/>
            </w:tcBorders>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1</w:t>
            </w:r>
          </w:p>
        </w:tc>
        <w:tc>
          <w:tcPr>
            <w:tcW w:w="2016" w:type="dxa"/>
            <w:tcBorders>
              <w:top w:val="nil"/>
            </w:tcBorders>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2</w:t>
            </w:r>
          </w:p>
        </w:tc>
        <w:tc>
          <w:tcPr>
            <w:tcW w:w="1560" w:type="dxa"/>
            <w:tcBorders>
              <w:top w:val="nil"/>
            </w:tcBorders>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3</w:t>
            </w:r>
          </w:p>
        </w:tc>
        <w:tc>
          <w:tcPr>
            <w:tcW w:w="1275" w:type="dxa"/>
            <w:tcBorders>
              <w:top w:val="nil"/>
            </w:tcBorders>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4</w:t>
            </w:r>
          </w:p>
        </w:tc>
        <w:tc>
          <w:tcPr>
            <w:tcW w:w="1134" w:type="dxa"/>
            <w:vAlign w:val="center"/>
          </w:tcPr>
          <w:p w:rsidR="0051730D" w:rsidRPr="008230B1" w:rsidRDefault="0051730D" w:rsidP="0051730D">
            <w:pPr>
              <w:spacing w:after="60"/>
              <w:jc w:val="center"/>
              <w:rPr>
                <w:rFonts w:ascii="Verdana" w:hAnsi="Verdana" w:cs="Arial"/>
                <w:sz w:val="16"/>
                <w:szCs w:val="16"/>
              </w:rPr>
            </w:pPr>
            <w:r w:rsidRPr="008230B1">
              <w:rPr>
                <w:rFonts w:ascii="Verdana" w:hAnsi="Verdana" w:cs="Arial"/>
                <w:sz w:val="16"/>
                <w:szCs w:val="16"/>
              </w:rPr>
              <w:t>5</w:t>
            </w:r>
          </w:p>
        </w:tc>
        <w:tc>
          <w:tcPr>
            <w:tcW w:w="1134" w:type="dxa"/>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6</w:t>
            </w:r>
          </w:p>
        </w:tc>
      </w:tr>
      <w:tr w:rsidR="0051730D" w:rsidRPr="009040B8" w:rsidTr="0051730D">
        <w:trPr>
          <w:trHeight w:val="340"/>
        </w:trPr>
        <w:tc>
          <w:tcPr>
            <w:tcW w:w="2628" w:type="dxa"/>
          </w:tcPr>
          <w:p w:rsidR="0051730D" w:rsidRPr="008230B1" w:rsidRDefault="0051730D" w:rsidP="0051730D">
            <w:pPr>
              <w:rPr>
                <w:rFonts w:ascii="Verdana" w:hAnsi="Verdana" w:cs="Arial"/>
                <w:sz w:val="16"/>
                <w:szCs w:val="16"/>
              </w:rPr>
            </w:pPr>
            <w:r w:rsidRPr="008230B1">
              <w:rPr>
                <w:rFonts w:ascii="Verdana" w:hAnsi="Verdana" w:cs="Arial"/>
                <w:sz w:val="16"/>
                <w:szCs w:val="16"/>
              </w:rPr>
              <w:t>Konsystencja w pośrednich temperaturach eksploatacyjnych</w:t>
            </w: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Penetracja</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w 25°C</w:t>
            </w:r>
          </w:p>
        </w:tc>
        <w:tc>
          <w:tcPr>
            <w:tcW w:w="1560" w:type="dxa"/>
            <w:vAlign w:val="center"/>
          </w:tcPr>
          <w:p w:rsidR="0051730D" w:rsidRPr="008230B1" w:rsidRDefault="0051730D" w:rsidP="0051730D">
            <w:pPr>
              <w:tabs>
                <w:tab w:val="left" w:pos="285"/>
              </w:tabs>
              <w:jc w:val="center"/>
              <w:rPr>
                <w:rFonts w:ascii="Verdana" w:hAnsi="Verdana" w:cs="Arial"/>
                <w:sz w:val="16"/>
                <w:szCs w:val="16"/>
              </w:rPr>
            </w:pPr>
            <w:r w:rsidRPr="008230B1">
              <w:rPr>
                <w:rFonts w:ascii="Verdana" w:hAnsi="Verdana" w:cs="Arial"/>
                <w:sz w:val="16"/>
                <w:szCs w:val="16"/>
              </w:rPr>
              <w:t>PN-EN 1426 [21]</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0,1 mm</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25-55</w:t>
            </w:r>
          </w:p>
        </w:tc>
        <w:tc>
          <w:tcPr>
            <w:tcW w:w="1134" w:type="dxa"/>
            <w:tcBorders>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3</w:t>
            </w:r>
          </w:p>
        </w:tc>
      </w:tr>
      <w:tr w:rsidR="0051730D" w:rsidRPr="009040B8" w:rsidTr="0051730D">
        <w:trPr>
          <w:trHeight w:val="340"/>
        </w:trPr>
        <w:tc>
          <w:tcPr>
            <w:tcW w:w="2628" w:type="dxa"/>
          </w:tcPr>
          <w:p w:rsidR="0051730D" w:rsidRPr="008230B1" w:rsidRDefault="0051730D" w:rsidP="0051730D">
            <w:pPr>
              <w:rPr>
                <w:rFonts w:ascii="Verdana" w:hAnsi="Verdana" w:cs="Arial"/>
                <w:sz w:val="16"/>
                <w:szCs w:val="16"/>
              </w:rPr>
            </w:pPr>
            <w:r w:rsidRPr="008230B1">
              <w:rPr>
                <w:rFonts w:ascii="Verdana" w:hAnsi="Verdana" w:cs="Arial"/>
                <w:sz w:val="16"/>
                <w:szCs w:val="16"/>
              </w:rPr>
              <w:t>Konsystencja  w wysokich  temperaturach eksploatacyjnych</w:t>
            </w: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Temperatura mięknienia</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1427 [22]</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60</w:t>
            </w:r>
          </w:p>
        </w:tc>
        <w:tc>
          <w:tcPr>
            <w:tcW w:w="1134" w:type="dxa"/>
            <w:tcBorders>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6</w:t>
            </w:r>
          </w:p>
        </w:tc>
      </w:tr>
      <w:tr w:rsidR="0051730D" w:rsidRPr="009040B8" w:rsidTr="0051730D">
        <w:trPr>
          <w:trHeight w:val="340"/>
        </w:trPr>
        <w:tc>
          <w:tcPr>
            <w:tcW w:w="2628" w:type="dxa"/>
            <w:vMerge w:val="restart"/>
            <w:vAlign w:val="center"/>
          </w:tcPr>
          <w:p w:rsidR="0051730D" w:rsidRPr="008230B1" w:rsidRDefault="0051730D" w:rsidP="0051730D">
            <w:pPr>
              <w:rPr>
                <w:rFonts w:ascii="Verdana" w:hAnsi="Verdana" w:cs="Arial"/>
                <w:sz w:val="16"/>
                <w:szCs w:val="16"/>
                <w:vertAlign w:val="superscript"/>
              </w:rPr>
            </w:pPr>
            <w:proofErr w:type="spellStart"/>
            <w:r w:rsidRPr="008230B1">
              <w:rPr>
                <w:rFonts w:ascii="Verdana" w:hAnsi="Verdana" w:cs="Arial"/>
                <w:sz w:val="16"/>
                <w:szCs w:val="16"/>
              </w:rPr>
              <w:t>Kohezja</w:t>
            </w:r>
            <w:r>
              <w:rPr>
                <w:rFonts w:ascii="Verdana" w:hAnsi="Verdana" w:cs="Arial"/>
                <w:sz w:val="16"/>
                <w:szCs w:val="16"/>
                <w:vertAlign w:val="superscript"/>
              </w:rPr>
              <w:t>c</w:t>
            </w:r>
            <w:proofErr w:type="spellEnd"/>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Siła rozciągania (</w:t>
            </w:r>
            <w:r>
              <w:rPr>
                <w:rFonts w:ascii="Verdana" w:hAnsi="Verdana" w:cs="Arial"/>
                <w:sz w:val="16"/>
                <w:szCs w:val="16"/>
              </w:rPr>
              <w:t xml:space="preserve">metoda z </w:t>
            </w:r>
            <w:proofErr w:type="spellStart"/>
            <w:r>
              <w:rPr>
                <w:rFonts w:ascii="Verdana" w:hAnsi="Verdana" w:cs="Arial"/>
                <w:sz w:val="16"/>
                <w:szCs w:val="16"/>
              </w:rPr>
              <w:t>duktylometrem</w:t>
            </w:r>
            <w:proofErr w:type="spellEnd"/>
            <w:r>
              <w:rPr>
                <w:rFonts w:ascii="Verdana" w:hAnsi="Verdana" w:cs="Arial"/>
                <w:sz w:val="16"/>
                <w:szCs w:val="16"/>
              </w:rPr>
              <w:t>, rozciąganie 50mm/min</w:t>
            </w:r>
            <w:r w:rsidRPr="008230B1">
              <w:rPr>
                <w:rFonts w:ascii="Verdana" w:hAnsi="Verdana" w:cs="Arial"/>
                <w:sz w:val="16"/>
                <w:szCs w:val="16"/>
              </w:rPr>
              <w:t>)</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13589[55]</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13703[57]</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J/cm</w:t>
            </w:r>
            <w:r w:rsidRPr="008230B1">
              <w:rPr>
                <w:rFonts w:ascii="Verdana" w:hAnsi="Verdana" w:cs="Arial"/>
                <w:sz w:val="16"/>
                <w:szCs w:val="16"/>
                <w:vertAlign w:val="superscript"/>
              </w:rPr>
              <w:t>2</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2 w 10°C</w:t>
            </w:r>
          </w:p>
        </w:tc>
        <w:tc>
          <w:tcPr>
            <w:tcW w:w="1134" w:type="dxa"/>
            <w:tcBorders>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6</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Rozciąganie bezpośrednie w</w:t>
            </w:r>
            <w:r w:rsidRPr="008230B1">
              <w:rPr>
                <w:rFonts w:ascii="Verdana" w:hAnsi="Verdana" w:cs="Arial"/>
                <w:sz w:val="16"/>
                <w:szCs w:val="16"/>
              </w:rPr>
              <w:t xml:space="preserve"> 5°C (</w:t>
            </w:r>
            <w:r>
              <w:rPr>
                <w:rFonts w:ascii="Verdana" w:hAnsi="Verdana" w:cs="Arial"/>
                <w:sz w:val="16"/>
                <w:szCs w:val="16"/>
              </w:rPr>
              <w:t>rozciąganie 100mm/min</w:t>
            </w:r>
            <w:r w:rsidRPr="008230B1">
              <w:rPr>
                <w:rFonts w:ascii="Verdana" w:hAnsi="Verdana" w:cs="Arial"/>
                <w:sz w:val="16"/>
                <w:szCs w:val="16"/>
              </w:rPr>
              <w:t>)</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13587[53]      PN-EN 13703[57]</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J/cm</w:t>
            </w:r>
            <w:r w:rsidRPr="008230B1">
              <w:rPr>
                <w:rFonts w:ascii="Verdana" w:hAnsi="Verdana" w:cs="Arial"/>
                <w:sz w:val="16"/>
                <w:szCs w:val="16"/>
                <w:vertAlign w:val="superscript"/>
              </w:rPr>
              <w:t>2</w:t>
            </w:r>
          </w:p>
        </w:tc>
        <w:tc>
          <w:tcPr>
            <w:tcW w:w="1134" w:type="dxa"/>
            <w:vAlign w:val="center"/>
          </w:tcPr>
          <w:p w:rsidR="0051730D" w:rsidRPr="008230B1" w:rsidRDefault="0051730D" w:rsidP="0051730D">
            <w:pPr>
              <w:jc w:val="center"/>
              <w:rPr>
                <w:rFonts w:ascii="Verdana" w:hAnsi="Verdana" w:cs="Arial"/>
                <w:sz w:val="16"/>
                <w:szCs w:val="16"/>
                <w:vertAlign w:val="superscript"/>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tcBorders>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0</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xml:space="preserve">Wahadło </w:t>
            </w:r>
            <w:proofErr w:type="spellStart"/>
            <w:r w:rsidRPr="008230B1">
              <w:rPr>
                <w:rFonts w:ascii="Verdana" w:hAnsi="Verdana" w:cs="Arial"/>
                <w:sz w:val="16"/>
                <w:szCs w:val="16"/>
              </w:rPr>
              <w:t>Vialit</w:t>
            </w:r>
            <w:proofErr w:type="spellEnd"/>
            <w:r>
              <w:rPr>
                <w:rFonts w:ascii="Verdana" w:hAnsi="Verdana" w:cs="Arial"/>
                <w:sz w:val="16"/>
                <w:szCs w:val="16"/>
              </w:rPr>
              <w:t xml:space="preserve">     (meto</w:t>
            </w:r>
            <w:r w:rsidRPr="008230B1">
              <w:rPr>
                <w:rFonts w:ascii="Verdana" w:hAnsi="Verdana" w:cs="Arial"/>
                <w:sz w:val="16"/>
                <w:szCs w:val="16"/>
              </w:rPr>
              <w:t>da uderzenia)</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13588[54]</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J/cm</w:t>
            </w:r>
            <w:r w:rsidRPr="008230B1">
              <w:rPr>
                <w:rFonts w:ascii="Verdana" w:hAnsi="Verdana" w:cs="Arial"/>
                <w:sz w:val="16"/>
                <w:szCs w:val="16"/>
                <w:vertAlign w:val="superscript"/>
              </w:rPr>
              <w:t>2</w:t>
            </w:r>
          </w:p>
        </w:tc>
        <w:tc>
          <w:tcPr>
            <w:tcW w:w="1134" w:type="dxa"/>
            <w:vAlign w:val="center"/>
          </w:tcPr>
          <w:p w:rsidR="0051730D" w:rsidRPr="008230B1" w:rsidRDefault="0051730D" w:rsidP="0051730D">
            <w:pPr>
              <w:jc w:val="center"/>
              <w:rPr>
                <w:rFonts w:ascii="Verdana" w:hAnsi="Verdana" w:cs="Arial"/>
                <w:sz w:val="16"/>
                <w:szCs w:val="16"/>
                <w:vertAlign w:val="superscript"/>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tcBorders>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0</w:t>
            </w:r>
          </w:p>
        </w:tc>
      </w:tr>
      <w:tr w:rsidR="0051730D" w:rsidRPr="009040B8" w:rsidTr="0051730D">
        <w:trPr>
          <w:trHeight w:val="357"/>
        </w:trPr>
        <w:tc>
          <w:tcPr>
            <w:tcW w:w="2628" w:type="dxa"/>
            <w:tcBorders>
              <w:bottom w:val="nil"/>
            </w:tcBorders>
            <w:vAlign w:val="center"/>
          </w:tcPr>
          <w:p w:rsidR="0051730D" w:rsidRPr="008230B1" w:rsidRDefault="0051730D" w:rsidP="0051730D">
            <w:pPr>
              <w:rPr>
                <w:rFonts w:ascii="Verdana" w:hAnsi="Verdana" w:cs="Arial"/>
                <w:sz w:val="16"/>
                <w:szCs w:val="16"/>
              </w:rPr>
            </w:pPr>
            <w:r w:rsidRPr="009D0D56">
              <w:rPr>
                <w:rFonts w:ascii="Verdana" w:hAnsi="Verdana" w:cs="Arial"/>
                <w:sz w:val="16"/>
                <w:szCs w:val="16"/>
              </w:rPr>
              <w:t>Odporność na starzenie</w:t>
            </w: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Zmiana masy</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12607-1 [31]</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0,5</w:t>
            </w:r>
          </w:p>
        </w:tc>
        <w:tc>
          <w:tcPr>
            <w:tcW w:w="1134" w:type="dxa"/>
            <w:tcBorders>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3</w:t>
            </w:r>
          </w:p>
        </w:tc>
      </w:tr>
      <w:tr w:rsidR="0051730D" w:rsidRPr="009040B8" w:rsidTr="0051730D">
        <w:trPr>
          <w:trHeight w:val="340"/>
        </w:trPr>
        <w:tc>
          <w:tcPr>
            <w:tcW w:w="2628" w:type="dxa"/>
            <w:tcBorders>
              <w:top w:val="nil"/>
              <w:bottom w:val="nil"/>
            </w:tcBorders>
          </w:tcPr>
          <w:p w:rsidR="0051730D" w:rsidRPr="009D0D56" w:rsidRDefault="0051730D" w:rsidP="0051730D">
            <w:pPr>
              <w:rPr>
                <w:rFonts w:ascii="Verdana" w:hAnsi="Verdana" w:cs="Arial"/>
                <w:sz w:val="16"/>
                <w:szCs w:val="16"/>
              </w:rPr>
            </w:pPr>
            <w:r>
              <w:rPr>
                <w:rFonts w:ascii="Verdana" w:hAnsi="Verdana" w:cs="Arial"/>
                <w:sz w:val="16"/>
                <w:szCs w:val="16"/>
              </w:rPr>
              <w:t xml:space="preserve">wg </w:t>
            </w:r>
            <w:r w:rsidRPr="008230B1">
              <w:rPr>
                <w:rFonts w:ascii="Verdana" w:hAnsi="Verdana" w:cs="Arial"/>
                <w:sz w:val="16"/>
                <w:szCs w:val="16"/>
              </w:rPr>
              <w:t>PN-EN 12607-1 [31]</w:t>
            </w: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Pozostała penetracja</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1426 [21]</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60</w:t>
            </w:r>
          </w:p>
        </w:tc>
        <w:tc>
          <w:tcPr>
            <w:tcW w:w="1134" w:type="dxa"/>
            <w:tcBorders>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7</w:t>
            </w:r>
          </w:p>
        </w:tc>
      </w:tr>
      <w:tr w:rsidR="0051730D" w:rsidRPr="009040B8" w:rsidTr="0051730D">
        <w:trPr>
          <w:trHeight w:val="340"/>
        </w:trPr>
        <w:tc>
          <w:tcPr>
            <w:tcW w:w="2628" w:type="dxa"/>
            <w:tcBorders>
              <w:top w:val="nil"/>
            </w:tcBorders>
          </w:tcPr>
          <w:p w:rsidR="0051730D" w:rsidRPr="009D0D56" w:rsidRDefault="0051730D" w:rsidP="0051730D">
            <w:pPr>
              <w:rPr>
                <w:rFonts w:ascii="Verdana" w:hAnsi="Verdana" w:cs="Arial"/>
                <w:sz w:val="16"/>
                <w:szCs w:val="16"/>
              </w:rPr>
            </w:pPr>
          </w:p>
        </w:tc>
        <w:tc>
          <w:tcPr>
            <w:tcW w:w="2016" w:type="dxa"/>
            <w:tcBorders>
              <w:top w:val="nil"/>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Wzrost temperatury mięknienia</w:t>
            </w:r>
          </w:p>
        </w:tc>
        <w:tc>
          <w:tcPr>
            <w:tcW w:w="1560" w:type="dxa"/>
            <w:tcBorders>
              <w:top w:val="nil"/>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1427 [22]</w:t>
            </w:r>
          </w:p>
        </w:tc>
        <w:tc>
          <w:tcPr>
            <w:tcW w:w="1275" w:type="dxa"/>
            <w:tcBorders>
              <w:top w:val="nil"/>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°C</w:t>
            </w:r>
          </w:p>
        </w:tc>
        <w:tc>
          <w:tcPr>
            <w:tcW w:w="1134" w:type="dxa"/>
            <w:tcBorders>
              <w:top w:val="nil"/>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8</w:t>
            </w:r>
          </w:p>
        </w:tc>
        <w:tc>
          <w:tcPr>
            <w:tcW w:w="1134" w:type="dxa"/>
            <w:tcBorders>
              <w:top w:val="nil"/>
              <w:bottom w:val="single" w:sz="4" w:space="0" w:color="auto"/>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2</w:t>
            </w:r>
          </w:p>
        </w:tc>
      </w:tr>
      <w:tr w:rsidR="0051730D" w:rsidRPr="009040B8" w:rsidTr="0051730D">
        <w:trPr>
          <w:trHeight w:val="340"/>
        </w:trPr>
        <w:tc>
          <w:tcPr>
            <w:tcW w:w="2628" w:type="dxa"/>
            <w:tcBorders>
              <w:bottom w:val="single" w:sz="4" w:space="0" w:color="auto"/>
            </w:tcBorders>
            <w:vAlign w:val="center"/>
          </w:tcPr>
          <w:p w:rsidR="0051730D" w:rsidRPr="008230B1" w:rsidRDefault="0051730D" w:rsidP="0051730D">
            <w:pPr>
              <w:rPr>
                <w:rFonts w:ascii="Verdana" w:hAnsi="Verdana" w:cs="Arial"/>
                <w:sz w:val="16"/>
                <w:szCs w:val="16"/>
              </w:rPr>
            </w:pPr>
            <w:r w:rsidRPr="008230B1">
              <w:rPr>
                <w:rFonts w:ascii="Verdana" w:hAnsi="Verdana" w:cs="Arial"/>
                <w:sz w:val="16"/>
                <w:szCs w:val="16"/>
              </w:rPr>
              <w:t>Inne właściwości</w:t>
            </w:r>
          </w:p>
        </w:tc>
        <w:tc>
          <w:tcPr>
            <w:tcW w:w="2016"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Temperatura zapłonu</w:t>
            </w:r>
          </w:p>
        </w:tc>
        <w:tc>
          <w:tcPr>
            <w:tcW w:w="1560"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ISO 2592 [63]</w:t>
            </w:r>
          </w:p>
        </w:tc>
        <w:tc>
          <w:tcPr>
            <w:tcW w:w="1275"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°C</w:t>
            </w:r>
          </w:p>
        </w:tc>
        <w:tc>
          <w:tcPr>
            <w:tcW w:w="1134"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235</w:t>
            </w:r>
          </w:p>
        </w:tc>
        <w:tc>
          <w:tcPr>
            <w:tcW w:w="1134" w:type="dxa"/>
            <w:tcBorders>
              <w:top w:val="single" w:sz="4" w:space="0" w:color="auto"/>
              <w:bottom w:val="single" w:sz="4" w:space="0" w:color="auto"/>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3</w:t>
            </w:r>
          </w:p>
        </w:tc>
      </w:tr>
      <w:tr w:rsidR="0051730D" w:rsidRPr="009040B8" w:rsidTr="0051730D">
        <w:trPr>
          <w:trHeight w:val="340"/>
        </w:trPr>
        <w:tc>
          <w:tcPr>
            <w:tcW w:w="2628" w:type="dxa"/>
            <w:vMerge w:val="restart"/>
            <w:vAlign w:val="center"/>
          </w:tcPr>
          <w:p w:rsidR="0051730D" w:rsidRPr="008230B1" w:rsidRDefault="0051730D" w:rsidP="0051730D">
            <w:pPr>
              <w:rPr>
                <w:rFonts w:ascii="Verdana" w:hAnsi="Verdana" w:cs="Arial"/>
                <w:sz w:val="16"/>
                <w:szCs w:val="16"/>
              </w:rPr>
            </w:pPr>
            <w:r w:rsidRPr="008230B1">
              <w:rPr>
                <w:rFonts w:ascii="Verdana" w:hAnsi="Verdana" w:cs="Arial"/>
                <w:sz w:val="16"/>
                <w:szCs w:val="16"/>
              </w:rPr>
              <w:t>Wymagania dodatkowe</w:t>
            </w:r>
          </w:p>
          <w:p w:rsidR="0051730D" w:rsidRPr="008230B1" w:rsidRDefault="0051730D" w:rsidP="0051730D">
            <w:pPr>
              <w:rPr>
                <w:rFonts w:ascii="Verdana" w:hAnsi="Verdana" w:cs="Arial"/>
                <w:sz w:val="16"/>
                <w:szCs w:val="16"/>
              </w:rPr>
            </w:pPr>
          </w:p>
        </w:tc>
        <w:tc>
          <w:tcPr>
            <w:tcW w:w="2016"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Temperatura łamliwości</w:t>
            </w:r>
          </w:p>
        </w:tc>
        <w:tc>
          <w:tcPr>
            <w:tcW w:w="1560"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12593[29]</w:t>
            </w:r>
          </w:p>
        </w:tc>
        <w:tc>
          <w:tcPr>
            <w:tcW w:w="1275"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°C</w:t>
            </w:r>
          </w:p>
        </w:tc>
        <w:tc>
          <w:tcPr>
            <w:tcW w:w="1134"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-10</w:t>
            </w:r>
          </w:p>
        </w:tc>
        <w:tc>
          <w:tcPr>
            <w:tcW w:w="1134" w:type="dxa"/>
            <w:tcBorders>
              <w:bottom w:val="single" w:sz="4" w:space="0" w:color="auto"/>
              <w:right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5</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Nawrót sprężysty w 25°C</w:t>
            </w:r>
          </w:p>
        </w:tc>
        <w:tc>
          <w:tcPr>
            <w:tcW w:w="1560" w:type="dxa"/>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13398[51]</w:t>
            </w:r>
          </w:p>
        </w:tc>
        <w:tc>
          <w:tcPr>
            <w:tcW w:w="1275"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t>
            </w:r>
          </w:p>
        </w:tc>
        <w:tc>
          <w:tcPr>
            <w:tcW w:w="1134"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xml:space="preserve">≥ </w:t>
            </w:r>
            <w:r>
              <w:rPr>
                <w:rFonts w:ascii="Verdana" w:hAnsi="Verdana" w:cs="Arial"/>
                <w:sz w:val="16"/>
                <w:szCs w:val="16"/>
              </w:rPr>
              <w:t>6</w:t>
            </w:r>
            <w:r w:rsidRPr="008230B1">
              <w:rPr>
                <w:rFonts w:ascii="Verdana" w:hAnsi="Verdana" w:cs="Arial"/>
                <w:sz w:val="16"/>
                <w:szCs w:val="16"/>
              </w:rPr>
              <w:t>0</w:t>
            </w:r>
          </w:p>
        </w:tc>
        <w:tc>
          <w:tcPr>
            <w:tcW w:w="1134" w:type="dxa"/>
            <w:tcBorders>
              <w:top w:val="nil"/>
            </w:tcBorders>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4</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Nawrót sprężysty w 10°C</w:t>
            </w:r>
          </w:p>
        </w:tc>
        <w:tc>
          <w:tcPr>
            <w:tcW w:w="1560" w:type="dxa"/>
            <w:vMerge/>
            <w:vAlign w:val="center"/>
          </w:tcPr>
          <w:p w:rsidR="0051730D" w:rsidRPr="008230B1" w:rsidRDefault="0051730D" w:rsidP="0051730D">
            <w:pPr>
              <w:jc w:val="center"/>
              <w:rPr>
                <w:rFonts w:ascii="Verdana" w:hAnsi="Verdana" w:cs="Arial"/>
                <w:sz w:val="16"/>
                <w:szCs w:val="16"/>
              </w:rPr>
            </w:pPr>
          </w:p>
        </w:tc>
        <w:tc>
          <w:tcPr>
            <w:tcW w:w="1275" w:type="dxa"/>
            <w:tcBorders>
              <w:top w:val="single" w:sz="4" w:space="0" w:color="auto"/>
            </w:tcBorders>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w:t>
            </w:r>
          </w:p>
        </w:tc>
        <w:tc>
          <w:tcPr>
            <w:tcW w:w="1134" w:type="dxa"/>
            <w:tcBorders>
              <w:top w:val="single" w:sz="4" w:space="0" w:color="auto"/>
            </w:tcBorders>
            <w:vAlign w:val="center"/>
          </w:tcPr>
          <w:p w:rsidR="0051730D" w:rsidRPr="008230B1" w:rsidRDefault="0051730D" w:rsidP="0051730D">
            <w:pPr>
              <w:jc w:val="center"/>
              <w:rPr>
                <w:rFonts w:ascii="Verdana" w:hAnsi="Verdana" w:cs="Arial"/>
                <w:sz w:val="16"/>
                <w:szCs w:val="16"/>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0</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Zakres plastyczności</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14023[59] p.5.</w:t>
            </w:r>
            <w:r>
              <w:rPr>
                <w:rFonts w:ascii="Verdana" w:hAnsi="Verdana" w:cs="Arial"/>
                <w:sz w:val="16"/>
                <w:szCs w:val="16"/>
              </w:rPr>
              <w:t>2.8.4</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51730D" w:rsidRPr="008230B1" w:rsidRDefault="0051730D" w:rsidP="0051730D">
            <w:pPr>
              <w:jc w:val="center"/>
              <w:rPr>
                <w:rFonts w:ascii="Verdana" w:hAnsi="Verdana" w:cs="Arial"/>
                <w:sz w:val="16"/>
                <w:szCs w:val="16"/>
                <w:vertAlign w:val="superscript"/>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51730D" w:rsidRPr="008230B1" w:rsidRDefault="0051730D" w:rsidP="0051730D">
            <w:pPr>
              <w:jc w:val="center"/>
              <w:rPr>
                <w:rFonts w:ascii="Verdana" w:hAnsi="Verdana" w:cs="Arial"/>
                <w:sz w:val="16"/>
                <w:szCs w:val="16"/>
              </w:rPr>
            </w:pPr>
            <w:r>
              <w:rPr>
                <w:rFonts w:ascii="Verdana" w:hAnsi="Verdana" w:cs="Arial"/>
                <w:sz w:val="16"/>
                <w:szCs w:val="16"/>
              </w:rPr>
              <w:t>0</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Stabilność magazynowania. Różnica temperatur mięknienia</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13399[52]</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1427 [22]</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5</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2</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Stabilność magazynowania. Różnica penetracji</w:t>
            </w:r>
          </w:p>
        </w:tc>
        <w:tc>
          <w:tcPr>
            <w:tcW w:w="1560"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13399[52]</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1426 [21]</w:t>
            </w:r>
          </w:p>
        </w:tc>
        <w:tc>
          <w:tcPr>
            <w:tcW w:w="1275"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0,1 mm</w:t>
            </w:r>
          </w:p>
        </w:tc>
        <w:tc>
          <w:tcPr>
            <w:tcW w:w="1134" w:type="dxa"/>
            <w:vAlign w:val="center"/>
          </w:tcPr>
          <w:p w:rsidR="0051730D" w:rsidRPr="008230B1" w:rsidRDefault="0051730D" w:rsidP="0051730D">
            <w:pPr>
              <w:jc w:val="center"/>
              <w:rPr>
                <w:rFonts w:ascii="Verdana" w:hAnsi="Verdana" w:cs="Arial"/>
                <w:sz w:val="16"/>
                <w:szCs w:val="16"/>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0</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Spadek temperatury mięknienia po starzeniu wg PN-EN 12607</w:t>
            </w:r>
            <w:r>
              <w:rPr>
                <w:rFonts w:ascii="Verdana" w:hAnsi="Verdana" w:cs="Arial"/>
                <w:sz w:val="16"/>
                <w:szCs w:val="16"/>
              </w:rPr>
              <w:t>-1 [31]</w:t>
            </w:r>
          </w:p>
        </w:tc>
        <w:tc>
          <w:tcPr>
            <w:tcW w:w="1560"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12607-1 [31]</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1427 [22]</w:t>
            </w:r>
          </w:p>
        </w:tc>
        <w:tc>
          <w:tcPr>
            <w:tcW w:w="1275" w:type="dxa"/>
            <w:tcBorders>
              <w:bottom w:val="single" w:sz="4" w:space="0" w:color="auto"/>
            </w:tcBorders>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51730D" w:rsidRPr="008230B1" w:rsidRDefault="0051730D" w:rsidP="0051730D">
            <w:pPr>
              <w:jc w:val="center"/>
              <w:rPr>
                <w:rFonts w:ascii="Verdana" w:hAnsi="Verdana" w:cs="Arial"/>
                <w:sz w:val="16"/>
                <w:szCs w:val="16"/>
              </w:rPr>
            </w:pPr>
            <w:proofErr w:type="spellStart"/>
            <w:r w:rsidRPr="008230B1">
              <w:rPr>
                <w:rFonts w:ascii="Verdana" w:hAnsi="Verdana" w:cs="Arial"/>
                <w:sz w:val="16"/>
                <w:szCs w:val="16"/>
              </w:rPr>
              <w:t>TBR</w:t>
            </w:r>
            <w:r>
              <w:rPr>
                <w:rFonts w:ascii="Verdana" w:hAnsi="Verdana" w:cs="Arial"/>
                <w:sz w:val="16"/>
                <w:szCs w:val="16"/>
                <w:vertAlign w:val="superscript"/>
              </w:rPr>
              <w:t>d</w:t>
            </w:r>
            <w:proofErr w:type="spellEnd"/>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1</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Nawrót sprężysty w 25°C po starzeniu wg PN-EN 12607-1 [31]</w:t>
            </w:r>
          </w:p>
        </w:tc>
        <w:tc>
          <w:tcPr>
            <w:tcW w:w="1560" w:type="dxa"/>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12607-1 [31]</w:t>
            </w:r>
          </w:p>
          <w:p w:rsidR="0051730D" w:rsidRPr="008230B1" w:rsidRDefault="0051730D" w:rsidP="0051730D">
            <w:pPr>
              <w:jc w:val="center"/>
              <w:rPr>
                <w:rFonts w:ascii="Verdana" w:hAnsi="Verdana" w:cs="Arial"/>
                <w:sz w:val="16"/>
                <w:szCs w:val="16"/>
              </w:rPr>
            </w:pPr>
            <w:r w:rsidRPr="008230B1">
              <w:rPr>
                <w:rFonts w:ascii="Verdana" w:hAnsi="Verdana" w:cs="Arial"/>
                <w:sz w:val="16"/>
                <w:szCs w:val="16"/>
              </w:rPr>
              <w:t>PN-EN 13398 [51]</w:t>
            </w:r>
          </w:p>
        </w:tc>
        <w:tc>
          <w:tcPr>
            <w:tcW w:w="1275" w:type="dxa"/>
            <w:vMerge w:val="restart"/>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 50</w:t>
            </w:r>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4</w:t>
            </w:r>
          </w:p>
        </w:tc>
      </w:tr>
      <w:tr w:rsidR="0051730D" w:rsidRPr="009040B8" w:rsidTr="0051730D">
        <w:trPr>
          <w:trHeight w:val="340"/>
        </w:trPr>
        <w:tc>
          <w:tcPr>
            <w:tcW w:w="2628" w:type="dxa"/>
            <w:vMerge/>
          </w:tcPr>
          <w:p w:rsidR="0051730D" w:rsidRPr="008230B1" w:rsidRDefault="0051730D" w:rsidP="0051730D">
            <w:pPr>
              <w:jc w:val="center"/>
              <w:rPr>
                <w:rFonts w:ascii="Verdana" w:hAnsi="Verdana" w:cs="Arial"/>
                <w:sz w:val="16"/>
                <w:szCs w:val="16"/>
              </w:rPr>
            </w:pPr>
          </w:p>
        </w:tc>
        <w:tc>
          <w:tcPr>
            <w:tcW w:w="2016"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Nawrót sprężysty w 10°C po starzeniu wg PN-EN 12607-</w:t>
            </w:r>
            <w:r>
              <w:rPr>
                <w:rFonts w:ascii="Verdana" w:hAnsi="Verdana" w:cs="Arial"/>
                <w:sz w:val="16"/>
                <w:szCs w:val="16"/>
              </w:rPr>
              <w:t>1</w:t>
            </w:r>
            <w:r w:rsidRPr="008230B1">
              <w:rPr>
                <w:rFonts w:ascii="Verdana" w:hAnsi="Verdana" w:cs="Arial"/>
                <w:sz w:val="16"/>
                <w:szCs w:val="16"/>
              </w:rPr>
              <w:t xml:space="preserve"> [31]</w:t>
            </w:r>
          </w:p>
        </w:tc>
        <w:tc>
          <w:tcPr>
            <w:tcW w:w="1560" w:type="dxa"/>
            <w:vMerge/>
            <w:vAlign w:val="center"/>
          </w:tcPr>
          <w:p w:rsidR="0051730D" w:rsidRPr="008230B1" w:rsidRDefault="0051730D" w:rsidP="0051730D">
            <w:pPr>
              <w:jc w:val="center"/>
              <w:rPr>
                <w:rFonts w:ascii="Verdana" w:hAnsi="Verdana" w:cs="Arial"/>
                <w:sz w:val="16"/>
                <w:szCs w:val="16"/>
              </w:rPr>
            </w:pPr>
          </w:p>
        </w:tc>
        <w:tc>
          <w:tcPr>
            <w:tcW w:w="1275" w:type="dxa"/>
            <w:vMerge/>
            <w:vAlign w:val="center"/>
          </w:tcPr>
          <w:p w:rsidR="0051730D" w:rsidRPr="008230B1" w:rsidRDefault="0051730D" w:rsidP="0051730D">
            <w:pPr>
              <w:jc w:val="center"/>
              <w:rPr>
                <w:rFonts w:ascii="Verdana" w:hAnsi="Verdana" w:cs="Arial"/>
                <w:sz w:val="16"/>
                <w:szCs w:val="16"/>
              </w:rPr>
            </w:pPr>
          </w:p>
        </w:tc>
        <w:tc>
          <w:tcPr>
            <w:tcW w:w="1134" w:type="dxa"/>
            <w:vAlign w:val="center"/>
          </w:tcPr>
          <w:p w:rsidR="0051730D" w:rsidRPr="008230B1" w:rsidRDefault="0051730D" w:rsidP="0051730D">
            <w:pPr>
              <w:jc w:val="center"/>
              <w:rPr>
                <w:rFonts w:ascii="Verdana" w:hAnsi="Verdana" w:cs="Arial"/>
                <w:sz w:val="16"/>
                <w:szCs w:val="16"/>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51730D" w:rsidRPr="008230B1" w:rsidRDefault="0051730D" w:rsidP="0051730D">
            <w:pPr>
              <w:jc w:val="center"/>
              <w:rPr>
                <w:rFonts w:ascii="Verdana" w:hAnsi="Verdana" w:cs="Arial"/>
                <w:sz w:val="16"/>
                <w:szCs w:val="16"/>
              </w:rPr>
            </w:pPr>
            <w:r w:rsidRPr="008230B1">
              <w:rPr>
                <w:rFonts w:ascii="Verdana" w:hAnsi="Verdana" w:cs="Arial"/>
                <w:sz w:val="16"/>
                <w:szCs w:val="16"/>
              </w:rPr>
              <w:t>0</w:t>
            </w:r>
          </w:p>
        </w:tc>
      </w:tr>
      <w:tr w:rsidR="0051730D" w:rsidRPr="009040B8" w:rsidTr="0051730D">
        <w:trPr>
          <w:trHeight w:val="340"/>
        </w:trPr>
        <w:tc>
          <w:tcPr>
            <w:tcW w:w="9747" w:type="dxa"/>
            <w:gridSpan w:val="6"/>
            <w:tcBorders>
              <w:top w:val="nil"/>
            </w:tcBorders>
          </w:tcPr>
          <w:p w:rsidR="0051730D" w:rsidRDefault="0051730D" w:rsidP="0051730D">
            <w:pPr>
              <w:rPr>
                <w:rFonts w:ascii="Verdana" w:hAnsi="Verdana" w:cs="Arial"/>
                <w:sz w:val="16"/>
                <w:szCs w:val="16"/>
              </w:rPr>
            </w:pPr>
            <w:r w:rsidRPr="009D0D56">
              <w:rPr>
                <w:rFonts w:ascii="Verdana" w:hAnsi="Verdana" w:cs="Arial"/>
                <w:sz w:val="16"/>
                <w:szCs w:val="16"/>
                <w:vertAlign w:val="superscript"/>
              </w:rPr>
              <w:lastRenderedPageBreak/>
              <w:t>a</w:t>
            </w:r>
            <w:r w:rsidRPr="009D0D56">
              <w:rPr>
                <w:rFonts w:ascii="Verdana" w:hAnsi="Verdana" w:cs="Arial"/>
                <w:sz w:val="16"/>
                <w:szCs w:val="16"/>
              </w:rPr>
              <w:t xml:space="preserve"> </w:t>
            </w:r>
            <w:r>
              <w:rPr>
                <w:rFonts w:ascii="Verdana" w:hAnsi="Verdana" w:cs="Arial"/>
                <w:sz w:val="16"/>
                <w:szCs w:val="16"/>
              </w:rPr>
              <w:t>Dolna granica penetracji w 25</w:t>
            </w:r>
            <w:r>
              <w:rPr>
                <w:rFonts w:ascii="Verdana" w:hAnsi="Verdana" w:cs="Arial"/>
                <w:sz w:val="16"/>
                <w:szCs w:val="16"/>
                <w:vertAlign w:val="superscript"/>
              </w:rPr>
              <w:t>o</w:t>
            </w:r>
            <w:r>
              <w:rPr>
                <w:rFonts w:ascii="Verdana" w:hAnsi="Verdana" w:cs="Arial"/>
                <w:sz w:val="16"/>
                <w:szCs w:val="16"/>
              </w:rPr>
              <w:t>C/górna granica penetracji w 25</w:t>
            </w:r>
            <w:r>
              <w:rPr>
                <w:rFonts w:ascii="Verdana" w:hAnsi="Verdana" w:cs="Arial"/>
                <w:sz w:val="16"/>
                <w:szCs w:val="16"/>
                <w:vertAlign w:val="superscript"/>
              </w:rPr>
              <w:t>o</w:t>
            </w:r>
            <w:r>
              <w:rPr>
                <w:rFonts w:ascii="Verdana" w:hAnsi="Verdana" w:cs="Arial"/>
                <w:sz w:val="16"/>
                <w:szCs w:val="16"/>
              </w:rPr>
              <w:t>C – dolna granica temperatury mięknienia.</w:t>
            </w:r>
          </w:p>
          <w:p w:rsidR="0051730D" w:rsidRDefault="0051730D" w:rsidP="0051730D">
            <w:pPr>
              <w:rPr>
                <w:rFonts w:ascii="Verdana" w:hAnsi="Verdana" w:cs="Arial"/>
                <w:sz w:val="16"/>
                <w:szCs w:val="16"/>
              </w:rPr>
            </w:pPr>
            <w:r>
              <w:rPr>
                <w:rFonts w:ascii="Verdana" w:hAnsi="Verdana" w:cs="Arial"/>
                <w:sz w:val="16"/>
                <w:szCs w:val="16"/>
                <w:vertAlign w:val="superscript"/>
              </w:rPr>
              <w:t xml:space="preserve">b </w:t>
            </w:r>
            <w:r w:rsidRPr="009D0D56">
              <w:rPr>
                <w:rFonts w:ascii="Verdana" w:hAnsi="Verdana" w:cs="Arial"/>
                <w:sz w:val="16"/>
                <w:szCs w:val="16"/>
              </w:rPr>
              <w:t>N</w:t>
            </w:r>
            <w:r>
              <w:rPr>
                <w:rFonts w:ascii="Verdana" w:hAnsi="Verdana" w:cs="Arial"/>
                <w:sz w:val="16"/>
                <w:szCs w:val="16"/>
              </w:rPr>
              <w:t>R</w:t>
            </w:r>
            <w:r w:rsidRPr="009D0D56">
              <w:rPr>
                <w:rFonts w:ascii="Verdana" w:hAnsi="Verdana" w:cs="Arial"/>
                <w:sz w:val="16"/>
                <w:szCs w:val="16"/>
              </w:rPr>
              <w:t xml:space="preserve"> – No </w:t>
            </w:r>
            <w:proofErr w:type="spellStart"/>
            <w:r>
              <w:rPr>
                <w:rFonts w:ascii="Verdana" w:hAnsi="Verdana" w:cs="Arial"/>
                <w:sz w:val="16"/>
                <w:szCs w:val="16"/>
              </w:rPr>
              <w:t>Requirement</w:t>
            </w:r>
            <w:proofErr w:type="spellEnd"/>
            <w:r w:rsidRPr="009D0D56">
              <w:rPr>
                <w:rFonts w:ascii="Verdana" w:hAnsi="Verdana" w:cs="Arial"/>
                <w:sz w:val="16"/>
                <w:szCs w:val="16"/>
              </w:rPr>
              <w:t xml:space="preserve"> (</w:t>
            </w:r>
            <w:r>
              <w:rPr>
                <w:rFonts w:ascii="Verdana" w:hAnsi="Verdana" w:cs="Arial"/>
                <w:sz w:val="16"/>
                <w:szCs w:val="16"/>
              </w:rPr>
              <w:t>brak wymagań</w:t>
            </w:r>
            <w:r w:rsidRPr="009D0D56">
              <w:rPr>
                <w:rFonts w:ascii="Verdana" w:hAnsi="Verdana" w:cs="Arial"/>
                <w:sz w:val="16"/>
                <w:szCs w:val="16"/>
              </w:rPr>
              <w:t>)</w:t>
            </w:r>
            <w:r>
              <w:rPr>
                <w:rFonts w:ascii="Verdana" w:hAnsi="Verdana" w:cs="Arial"/>
                <w:sz w:val="16"/>
                <w:szCs w:val="16"/>
              </w:rPr>
              <w:t>.</w:t>
            </w:r>
          </w:p>
          <w:p w:rsidR="0051730D" w:rsidRPr="00887391" w:rsidRDefault="0051730D" w:rsidP="0051730D">
            <w:pPr>
              <w:ind w:left="142" w:hanging="142"/>
              <w:rPr>
                <w:rFonts w:ascii="Verdana" w:hAnsi="Verdana" w:cs="Arial"/>
                <w:sz w:val="16"/>
                <w:szCs w:val="16"/>
              </w:rPr>
            </w:pPr>
            <w:r>
              <w:rPr>
                <w:rFonts w:ascii="Verdana" w:hAnsi="Verdana" w:cs="Arial"/>
                <w:sz w:val="16"/>
                <w:szCs w:val="16"/>
                <w:vertAlign w:val="superscript"/>
              </w:rPr>
              <w:t>c</w:t>
            </w:r>
            <w:r>
              <w:rPr>
                <w:rFonts w:ascii="Verdana" w:hAnsi="Verdana" w:cs="Arial"/>
                <w:sz w:val="16"/>
                <w:szCs w:val="16"/>
              </w:rPr>
              <w:t xml:space="preserve"> W zależności od końcowego zastosowania powinna zostać wybrana tylko jedna metoda oznaczenia kohezji. Oznaczanie kohezji metodą </w:t>
            </w:r>
            <w:proofErr w:type="spellStart"/>
            <w:r>
              <w:rPr>
                <w:rFonts w:ascii="Verdana" w:hAnsi="Verdana" w:cs="Arial"/>
                <w:sz w:val="16"/>
                <w:szCs w:val="16"/>
              </w:rPr>
              <w:t>Vialit</w:t>
            </w:r>
            <w:proofErr w:type="spellEnd"/>
            <w:r>
              <w:rPr>
                <w:rFonts w:ascii="Verdana" w:hAnsi="Verdana" w:cs="Arial"/>
                <w:sz w:val="16"/>
                <w:szCs w:val="16"/>
              </w:rPr>
              <w:t xml:space="preserve"> (PN-EN 13588) należy wybrać tylko w przypadku asfaltów przeznaczonych do powierzchniowego utrwalania.</w:t>
            </w:r>
          </w:p>
          <w:p w:rsidR="0051730D" w:rsidRPr="009D0D56" w:rsidRDefault="0051730D" w:rsidP="0051730D">
            <w:pPr>
              <w:rPr>
                <w:rFonts w:ascii="Verdana" w:hAnsi="Verdana" w:cs="Arial"/>
                <w:sz w:val="16"/>
                <w:szCs w:val="16"/>
              </w:rPr>
            </w:pPr>
            <w:r>
              <w:rPr>
                <w:rFonts w:ascii="Verdana" w:hAnsi="Verdana" w:cs="Arial"/>
                <w:sz w:val="16"/>
                <w:szCs w:val="16"/>
                <w:vertAlign w:val="superscript"/>
              </w:rPr>
              <w:t>d</w:t>
            </w:r>
            <w:r w:rsidRPr="009D0D56">
              <w:rPr>
                <w:rFonts w:ascii="Verdana" w:hAnsi="Verdana" w:cs="Arial"/>
                <w:sz w:val="16"/>
                <w:szCs w:val="16"/>
              </w:rPr>
              <w:t xml:space="preserve"> TBR – To Be </w:t>
            </w:r>
            <w:proofErr w:type="spellStart"/>
            <w:r w:rsidRPr="009D0D56">
              <w:rPr>
                <w:rFonts w:ascii="Verdana" w:hAnsi="Verdana" w:cs="Arial"/>
                <w:sz w:val="16"/>
                <w:szCs w:val="16"/>
              </w:rPr>
              <w:t>Reported</w:t>
            </w:r>
            <w:proofErr w:type="spellEnd"/>
            <w:r w:rsidRPr="009D0D56">
              <w:rPr>
                <w:rFonts w:ascii="Verdana" w:hAnsi="Verdana" w:cs="Arial"/>
                <w:sz w:val="16"/>
                <w:szCs w:val="16"/>
              </w:rPr>
              <w:t xml:space="preserve"> (do zadeklarowania)</w:t>
            </w:r>
            <w:r>
              <w:rPr>
                <w:rFonts w:ascii="Verdana" w:hAnsi="Verdana" w:cs="Arial"/>
                <w:sz w:val="16"/>
                <w:szCs w:val="16"/>
              </w:rPr>
              <w:t>.</w:t>
            </w:r>
          </w:p>
        </w:tc>
      </w:tr>
    </w:tbl>
    <w:p w:rsidR="0051730D" w:rsidRPr="009040B8" w:rsidRDefault="0051730D" w:rsidP="0051730D">
      <w:pPr>
        <w:ind w:left="993" w:hanging="993"/>
        <w:jc w:val="both"/>
        <w:rPr>
          <w:rFonts w:ascii="Verdana" w:hAnsi="Verdana" w:cs="Arial"/>
        </w:rPr>
      </w:pPr>
    </w:p>
    <w:p w:rsidR="0051730D" w:rsidRPr="009040B8" w:rsidRDefault="0051730D" w:rsidP="0051730D">
      <w:pPr>
        <w:jc w:val="both"/>
        <w:rPr>
          <w:rFonts w:ascii="Verdana" w:hAnsi="Verdana" w:cs="Arial"/>
        </w:rPr>
      </w:pPr>
      <w:r w:rsidRPr="009040B8">
        <w:rPr>
          <w:rFonts w:ascii="Verdana" w:hAnsi="Verdana" w:cs="Aria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51730D" w:rsidRPr="009040B8" w:rsidRDefault="0051730D" w:rsidP="0051730D">
      <w:pPr>
        <w:jc w:val="both"/>
        <w:rPr>
          <w:rFonts w:ascii="Verdana" w:hAnsi="Verdana" w:cs="Arial"/>
        </w:rPr>
      </w:pPr>
      <w:r w:rsidRPr="009040B8">
        <w:rPr>
          <w:rFonts w:ascii="Verdana" w:hAnsi="Verdana" w:cs="Arial"/>
        </w:rPr>
        <w:t>Asfalt modyfikowany polimerami powinien być magazynowany w</w:t>
      </w:r>
      <w:r>
        <w:rPr>
          <w:rFonts w:ascii="Verdana" w:hAnsi="Verdana" w:cs="Arial"/>
        </w:rPr>
        <w:t xml:space="preserve"> zbiorniku wyposażonym w system </w:t>
      </w:r>
      <w:r w:rsidRPr="009040B8">
        <w:rPr>
          <w:rFonts w:ascii="Verdana" w:hAnsi="Verdana" w:cs="Arial"/>
        </w:rPr>
        <w:t>grzewczy pośredni z termostatem kontrolującym tem</w:t>
      </w:r>
      <w:r>
        <w:rPr>
          <w:rFonts w:ascii="Verdana" w:hAnsi="Verdana" w:cs="Arial"/>
        </w:rPr>
        <w:t xml:space="preserve">peraturę z dokładnością  ± 5°C. </w:t>
      </w:r>
      <w:r w:rsidRPr="009040B8">
        <w:rPr>
          <w:rFonts w:ascii="Verdana" w:hAnsi="Verdana" w:cs="Arial"/>
        </w:rPr>
        <w:t>Zaleca się wyposażenie zbiornika w mieszadło. Zaleca się bezpośrednie zużycie asfaltu modyfikowanego polimerami po dostarczeniu. Należy unikać wielokrotnego rozgrzewania i chłodzenia w okresie jego stosowania oraz unikać niekontrolowanego mieszania asfaltów modyfikowanych polimerami różnego rodzaju i klasy oraz z asfaltem drogowym.</w:t>
      </w:r>
    </w:p>
    <w:p w:rsidR="0051730D" w:rsidRPr="009040B8" w:rsidRDefault="0051730D" w:rsidP="0051730D">
      <w:pPr>
        <w:jc w:val="both"/>
        <w:rPr>
          <w:rFonts w:ascii="Verdana" w:hAnsi="Verdana" w:cs="Arial"/>
        </w:rPr>
      </w:pPr>
    </w:p>
    <w:p w:rsidR="0051730D" w:rsidRPr="009040B8" w:rsidRDefault="0051730D" w:rsidP="0051730D">
      <w:pPr>
        <w:keepNext/>
        <w:jc w:val="both"/>
        <w:outlineLvl w:val="1"/>
        <w:rPr>
          <w:rFonts w:ascii="Verdana" w:hAnsi="Verdana" w:cs="Arial"/>
          <w:b/>
          <w:bCs/>
          <w:iCs/>
        </w:rPr>
      </w:pPr>
      <w:bookmarkStart w:id="225" w:name="_Toc316558775"/>
      <w:r w:rsidRPr="009040B8">
        <w:rPr>
          <w:rFonts w:ascii="Verdana" w:hAnsi="Verdana" w:cs="Arial"/>
          <w:b/>
          <w:bCs/>
          <w:iCs/>
        </w:rPr>
        <w:t>2.3. Kruszywo</w:t>
      </w:r>
      <w:bookmarkEnd w:id="225"/>
      <w:r w:rsidRPr="009040B8">
        <w:rPr>
          <w:rFonts w:ascii="Verdana" w:hAnsi="Verdana" w:cs="Arial"/>
          <w:b/>
          <w:bCs/>
          <w:iCs/>
        </w:rPr>
        <w:t xml:space="preserve"> </w:t>
      </w:r>
    </w:p>
    <w:p w:rsidR="0051730D" w:rsidRPr="009040B8" w:rsidRDefault="0051730D" w:rsidP="0051730D">
      <w:pPr>
        <w:jc w:val="both"/>
        <w:rPr>
          <w:rFonts w:ascii="Verdana" w:hAnsi="Verdana" w:cs="Arial"/>
        </w:rPr>
      </w:pPr>
      <w:r>
        <w:rPr>
          <w:rFonts w:ascii="Verdana" w:hAnsi="Verdana" w:cs="Arial"/>
        </w:rPr>
        <w:t>Do warstwy podbudowy</w:t>
      </w:r>
      <w:r w:rsidRPr="009040B8">
        <w:rPr>
          <w:rFonts w:ascii="Verdana" w:hAnsi="Verdana" w:cs="Arial"/>
        </w:rPr>
        <w:t xml:space="preserve"> z betonu asfaltowego należy stosować kruszywo według </w:t>
      </w:r>
      <w:r>
        <w:rPr>
          <w:rFonts w:ascii="Verdana" w:hAnsi="Verdana" w:cs="Arial"/>
        </w:rPr>
        <w:t xml:space="preserve">                  </w:t>
      </w:r>
      <w:r w:rsidRPr="009040B8">
        <w:rPr>
          <w:rFonts w:ascii="Verdana" w:hAnsi="Verdana" w:cs="Arial"/>
        </w:rPr>
        <w:t>PN-EN 13043 [44] i WT-1 Kruszywa do mieszanek mineralno-asfaltowych i powierzchniowych utrwaleń na drogach krajowych 201</w:t>
      </w:r>
      <w:r>
        <w:rPr>
          <w:rFonts w:ascii="Verdana" w:hAnsi="Verdana" w:cs="Arial"/>
        </w:rPr>
        <w:t>4</w:t>
      </w:r>
      <w:r w:rsidRPr="009040B8">
        <w:rPr>
          <w:rFonts w:ascii="Verdana" w:hAnsi="Verdana" w:cs="Arial"/>
        </w:rPr>
        <w:t xml:space="preserve"> [64], obejmujące kruszywo grube, kruszywo drobne  i wypełniacz. Kruszywa powinny spełniać wymagania podane w tab</w:t>
      </w:r>
      <w:r>
        <w:rPr>
          <w:rFonts w:ascii="Verdana" w:hAnsi="Verdana" w:cs="Arial"/>
        </w:rPr>
        <w:t>elach</w:t>
      </w:r>
      <w:r w:rsidRPr="009040B8">
        <w:rPr>
          <w:rFonts w:ascii="Verdana" w:hAnsi="Verdana" w:cs="Arial"/>
        </w:rPr>
        <w:t xml:space="preserve"> 5÷8 (według WT-1 Kruszywa 201</w:t>
      </w:r>
      <w:r>
        <w:rPr>
          <w:rFonts w:ascii="Verdana" w:hAnsi="Verdana" w:cs="Arial"/>
        </w:rPr>
        <w:t>4</w:t>
      </w:r>
      <w:r w:rsidRPr="009040B8">
        <w:rPr>
          <w:rFonts w:ascii="Verdana" w:hAnsi="Verdana" w:cs="Arial"/>
        </w:rPr>
        <w:t xml:space="preserve"> [64] punkt </w:t>
      </w:r>
      <w:r>
        <w:rPr>
          <w:rFonts w:ascii="Verdana" w:hAnsi="Verdana" w:cs="Arial"/>
        </w:rPr>
        <w:t>5</w:t>
      </w:r>
      <w:r w:rsidRPr="009040B8">
        <w:rPr>
          <w:rFonts w:ascii="Verdana" w:hAnsi="Verdana" w:cs="Arial"/>
        </w:rPr>
        <w:t>.</w:t>
      </w:r>
      <w:r>
        <w:rPr>
          <w:rFonts w:ascii="Verdana" w:hAnsi="Verdana" w:cs="Arial"/>
        </w:rPr>
        <w:t>1</w:t>
      </w:r>
      <w:r w:rsidRPr="009040B8">
        <w:rPr>
          <w:rFonts w:ascii="Verdana" w:hAnsi="Verdana" w:cs="Arial"/>
        </w:rPr>
        <w:t xml:space="preserve">, tablice </w:t>
      </w:r>
      <w:r>
        <w:rPr>
          <w:rFonts w:ascii="Verdana" w:hAnsi="Verdana" w:cs="Arial"/>
        </w:rPr>
        <w:t>4</w:t>
      </w:r>
      <w:r w:rsidRPr="009040B8">
        <w:rPr>
          <w:rFonts w:ascii="Verdana" w:hAnsi="Verdana" w:cs="Arial"/>
        </w:rPr>
        <w:t xml:space="preserve">, </w:t>
      </w:r>
      <w:r>
        <w:rPr>
          <w:rFonts w:ascii="Verdana" w:hAnsi="Verdana" w:cs="Arial"/>
        </w:rPr>
        <w:t>5</w:t>
      </w:r>
      <w:r w:rsidRPr="009040B8">
        <w:rPr>
          <w:rFonts w:ascii="Verdana" w:hAnsi="Verdana" w:cs="Arial"/>
        </w:rPr>
        <w:t xml:space="preserve">, </w:t>
      </w:r>
      <w:r>
        <w:rPr>
          <w:rFonts w:ascii="Verdana" w:hAnsi="Verdana" w:cs="Arial"/>
        </w:rPr>
        <w:t>6</w:t>
      </w:r>
      <w:r w:rsidRPr="009040B8">
        <w:rPr>
          <w:rFonts w:ascii="Verdana" w:hAnsi="Verdana" w:cs="Arial"/>
        </w:rPr>
        <w:t>,</w:t>
      </w:r>
      <w:r>
        <w:rPr>
          <w:rFonts w:ascii="Verdana" w:hAnsi="Verdana" w:cs="Arial"/>
        </w:rPr>
        <w:t xml:space="preserve"> 6a, 7</w:t>
      </w:r>
      <w:r w:rsidRPr="009040B8">
        <w:rPr>
          <w:rFonts w:ascii="Verdana" w:hAnsi="Verdana" w:cs="Arial"/>
        </w:rPr>
        <w:t>):</w:t>
      </w:r>
    </w:p>
    <w:p w:rsidR="0051730D" w:rsidRPr="009040B8" w:rsidRDefault="0051730D" w:rsidP="0051730D">
      <w:pPr>
        <w:widowControl w:val="0"/>
        <w:autoSpaceDE w:val="0"/>
        <w:autoSpaceDN w:val="0"/>
        <w:spacing w:before="180" w:after="36"/>
        <w:ind w:left="851" w:hanging="851"/>
        <w:jc w:val="both"/>
        <w:rPr>
          <w:rFonts w:ascii="Verdana" w:hAnsi="Verdana" w:cs="Arial"/>
          <w:b/>
          <w:bCs/>
        </w:rPr>
      </w:pPr>
      <w:r w:rsidRPr="009040B8">
        <w:rPr>
          <w:rFonts w:ascii="Verdana" w:hAnsi="Verdana" w:cs="Arial"/>
        </w:rPr>
        <w:t>Tab</w:t>
      </w:r>
      <w:r>
        <w:rPr>
          <w:rFonts w:ascii="Verdana" w:hAnsi="Verdana" w:cs="Arial"/>
        </w:rPr>
        <w:t>ela</w:t>
      </w:r>
      <w:r w:rsidRPr="009040B8">
        <w:rPr>
          <w:rFonts w:ascii="Verdana" w:hAnsi="Verdana" w:cs="Arial"/>
        </w:rPr>
        <w:t xml:space="preserve"> 5. Wymagane właściwości kruszywa grubego do warstwy </w:t>
      </w:r>
      <w:r>
        <w:rPr>
          <w:rFonts w:ascii="Verdana" w:hAnsi="Verdana" w:cs="Arial"/>
        </w:rPr>
        <w:t>podbudowy</w:t>
      </w:r>
      <w:r w:rsidRPr="009040B8">
        <w:rPr>
          <w:rFonts w:ascii="Verdana" w:hAnsi="Verdana" w:cs="Arial"/>
        </w:rPr>
        <w:t xml:space="preserve"> z betonu asfaltowego</w:t>
      </w:r>
    </w:p>
    <w:tbl>
      <w:tblPr>
        <w:tblW w:w="9639" w:type="dxa"/>
        <w:tblInd w:w="6" w:type="dxa"/>
        <w:tblLayout w:type="fixed"/>
        <w:tblCellMar>
          <w:left w:w="0" w:type="dxa"/>
          <w:right w:w="0" w:type="dxa"/>
        </w:tblCellMar>
        <w:tblLook w:val="0000" w:firstRow="0" w:lastRow="0" w:firstColumn="0" w:lastColumn="0" w:noHBand="0" w:noVBand="0"/>
      </w:tblPr>
      <w:tblGrid>
        <w:gridCol w:w="6663"/>
        <w:gridCol w:w="2976"/>
      </w:tblGrid>
      <w:tr w:rsidR="0051730D" w:rsidRPr="009040B8" w:rsidTr="0051730D">
        <w:trPr>
          <w:trHeight w:val="937"/>
        </w:trPr>
        <w:tc>
          <w:tcPr>
            <w:tcW w:w="6663" w:type="dxa"/>
            <w:vMerge w:val="restart"/>
            <w:tcBorders>
              <w:top w:val="single" w:sz="5" w:space="0" w:color="auto"/>
              <w:left w:val="single" w:sz="5" w:space="0" w:color="auto"/>
              <w:bottom w:val="nil"/>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Właściwości kruszywa</w:t>
            </w:r>
          </w:p>
        </w:tc>
        <w:tc>
          <w:tcPr>
            <w:tcW w:w="2976"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spacing w:before="252" w:line="324" w:lineRule="auto"/>
              <w:jc w:val="center"/>
              <w:rPr>
                <w:rFonts w:ascii="Verdana" w:hAnsi="Verdana" w:cs="Arial"/>
              </w:rPr>
            </w:pPr>
            <w:r w:rsidRPr="009040B8">
              <w:rPr>
                <w:rFonts w:ascii="Verdana" w:hAnsi="Verdana" w:cs="Arial"/>
              </w:rPr>
              <w:t>Wymagania w zależności                       od kategorii ruchu</w:t>
            </w:r>
          </w:p>
        </w:tc>
      </w:tr>
      <w:tr w:rsidR="0051730D" w:rsidRPr="009040B8" w:rsidTr="0051730D">
        <w:trPr>
          <w:trHeight w:val="284"/>
        </w:trPr>
        <w:tc>
          <w:tcPr>
            <w:tcW w:w="6663" w:type="dxa"/>
            <w:vMerge/>
            <w:tcBorders>
              <w:top w:val="nil"/>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p>
        </w:tc>
        <w:tc>
          <w:tcPr>
            <w:tcW w:w="2976"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r>
      <w:tr w:rsidR="0051730D" w:rsidRPr="009040B8" w:rsidTr="0051730D">
        <w:trPr>
          <w:trHeight w:val="340"/>
        </w:trPr>
        <w:tc>
          <w:tcPr>
            <w:tcW w:w="666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85"/>
              <w:rPr>
                <w:rFonts w:ascii="Verdana" w:hAnsi="Verdana" w:cs="Arial"/>
              </w:rPr>
            </w:pPr>
            <w:r w:rsidRPr="009040B8">
              <w:rPr>
                <w:rFonts w:ascii="Verdana" w:hAnsi="Verdana" w:cs="Arial"/>
              </w:rPr>
              <w:t>Uziarnienie według PN-EN 933-1; kategoria nie niższa niż:</w:t>
            </w:r>
          </w:p>
        </w:tc>
        <w:tc>
          <w:tcPr>
            <w:tcW w:w="2976"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105084">
              <w:rPr>
                <w:rFonts w:ascii="Verdana" w:hAnsi="Verdana" w:cs="Arial"/>
                <w:i/>
              </w:rPr>
              <w:t>G</w:t>
            </w:r>
            <w:r w:rsidRPr="009040B8">
              <w:rPr>
                <w:rFonts w:ascii="Verdana" w:hAnsi="Verdana" w:cs="Arial"/>
                <w:vertAlign w:val="subscript"/>
              </w:rPr>
              <w:t>C</w:t>
            </w:r>
            <w:r w:rsidRPr="009040B8">
              <w:rPr>
                <w:rFonts w:ascii="Verdana" w:hAnsi="Verdana" w:cs="Arial"/>
              </w:rPr>
              <w:t>85/20</w:t>
            </w:r>
          </w:p>
        </w:tc>
      </w:tr>
      <w:tr w:rsidR="0051730D" w:rsidRPr="009040B8" w:rsidTr="0051730D">
        <w:trPr>
          <w:trHeight w:val="340"/>
        </w:trPr>
        <w:tc>
          <w:tcPr>
            <w:tcW w:w="666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85"/>
              <w:rPr>
                <w:rFonts w:ascii="Verdana" w:hAnsi="Verdana" w:cs="Arial"/>
              </w:rPr>
            </w:pPr>
            <w:r w:rsidRPr="009040B8">
              <w:rPr>
                <w:rFonts w:ascii="Verdana" w:hAnsi="Verdana" w:cs="Arial"/>
              </w:rPr>
              <w:t xml:space="preserve">Tolerancja uziarnienia; </w:t>
            </w:r>
            <w:r>
              <w:rPr>
                <w:rFonts w:ascii="Verdana" w:hAnsi="Verdana" w:cs="Arial"/>
              </w:rPr>
              <w:t>wymagane</w:t>
            </w:r>
            <w:r w:rsidRPr="009040B8">
              <w:rPr>
                <w:rFonts w:ascii="Verdana" w:hAnsi="Verdana" w:cs="Arial"/>
              </w:rPr>
              <w:t xml:space="preserve"> kategori</w:t>
            </w:r>
            <w:r>
              <w:rPr>
                <w:rFonts w:ascii="Verdana" w:hAnsi="Verdana" w:cs="Arial"/>
              </w:rPr>
              <w:t>e</w:t>
            </w:r>
            <w:r w:rsidRPr="009040B8">
              <w:rPr>
                <w:rFonts w:ascii="Verdana" w:hAnsi="Verdana" w:cs="Arial"/>
              </w:rPr>
              <w:t>:</w:t>
            </w:r>
          </w:p>
        </w:tc>
        <w:tc>
          <w:tcPr>
            <w:tcW w:w="2976" w:type="dxa"/>
            <w:tcBorders>
              <w:top w:val="single" w:sz="5" w:space="0" w:color="auto"/>
              <w:left w:val="single" w:sz="5" w:space="0" w:color="auto"/>
              <w:bottom w:val="single" w:sz="5" w:space="0" w:color="auto"/>
              <w:right w:val="single" w:sz="5" w:space="0" w:color="auto"/>
            </w:tcBorders>
            <w:vAlign w:val="center"/>
          </w:tcPr>
          <w:p w:rsidR="0051730D" w:rsidRPr="002A62C4" w:rsidRDefault="0051730D" w:rsidP="0051730D">
            <w:pPr>
              <w:widowControl w:val="0"/>
              <w:autoSpaceDE w:val="0"/>
              <w:autoSpaceDN w:val="0"/>
              <w:jc w:val="center"/>
              <w:rPr>
                <w:rFonts w:ascii="Verdana" w:hAnsi="Verdana" w:cs="Arial"/>
                <w:spacing w:val="2"/>
              </w:rPr>
            </w:pPr>
            <w:r w:rsidRPr="009040B8">
              <w:rPr>
                <w:rFonts w:ascii="Verdana" w:hAnsi="Verdana" w:cs="Arial"/>
                <w:spacing w:val="2"/>
              </w:rPr>
              <w:t>G</w:t>
            </w:r>
            <w:r w:rsidRPr="009040B8">
              <w:rPr>
                <w:rFonts w:ascii="Verdana" w:hAnsi="Verdana" w:cs="Arial"/>
                <w:spacing w:val="2"/>
                <w:vertAlign w:val="subscript"/>
              </w:rPr>
              <w:t>2</w:t>
            </w:r>
            <w:r>
              <w:rPr>
                <w:rFonts w:ascii="Verdana" w:hAnsi="Verdana" w:cs="Arial"/>
                <w:spacing w:val="2"/>
                <w:vertAlign w:val="subscript"/>
              </w:rPr>
              <w:t>5</w:t>
            </w:r>
            <w:r w:rsidRPr="009040B8">
              <w:rPr>
                <w:rFonts w:ascii="Verdana" w:hAnsi="Verdana" w:cs="Arial"/>
                <w:spacing w:val="2"/>
                <w:vertAlign w:val="subscript"/>
              </w:rPr>
              <w:t>/15</w:t>
            </w:r>
            <w:r>
              <w:rPr>
                <w:rFonts w:ascii="Verdana" w:hAnsi="Verdana" w:cs="Arial"/>
                <w:spacing w:val="2"/>
              </w:rPr>
              <w:t>,</w:t>
            </w:r>
            <w:r w:rsidRPr="009040B8">
              <w:rPr>
                <w:rFonts w:ascii="Verdana" w:hAnsi="Verdana" w:cs="Arial"/>
                <w:spacing w:val="2"/>
              </w:rPr>
              <w:t xml:space="preserve"> </w:t>
            </w:r>
            <w:r>
              <w:rPr>
                <w:rFonts w:ascii="Verdana" w:hAnsi="Verdana" w:cs="Arial"/>
                <w:spacing w:val="2"/>
              </w:rPr>
              <w:t xml:space="preserve">                                      </w:t>
            </w:r>
            <w:r w:rsidRPr="009040B8">
              <w:rPr>
                <w:rFonts w:ascii="Verdana" w:hAnsi="Verdana" w:cs="Arial"/>
                <w:spacing w:val="2"/>
              </w:rPr>
              <w:t>G</w:t>
            </w:r>
            <w:r w:rsidRPr="009040B8">
              <w:rPr>
                <w:rFonts w:ascii="Verdana" w:hAnsi="Verdana" w:cs="Arial"/>
                <w:spacing w:val="2"/>
                <w:vertAlign w:val="subscript"/>
              </w:rPr>
              <w:t>20/15</w:t>
            </w:r>
            <w:r>
              <w:rPr>
                <w:rFonts w:ascii="Verdana" w:hAnsi="Verdana" w:cs="Arial"/>
                <w:spacing w:val="2"/>
              </w:rPr>
              <w:t>,</w:t>
            </w:r>
            <w:r w:rsidRPr="009040B8">
              <w:rPr>
                <w:rFonts w:ascii="Verdana" w:hAnsi="Verdana" w:cs="Arial"/>
                <w:spacing w:val="2"/>
              </w:rPr>
              <w:t xml:space="preserve"> </w:t>
            </w:r>
            <w:r>
              <w:rPr>
                <w:rFonts w:ascii="Verdana" w:hAnsi="Verdana" w:cs="Arial"/>
                <w:spacing w:val="2"/>
              </w:rPr>
              <w:t xml:space="preserve">                                     </w:t>
            </w:r>
            <w:r w:rsidRPr="009040B8">
              <w:rPr>
                <w:rFonts w:ascii="Verdana" w:hAnsi="Verdana" w:cs="Arial"/>
                <w:spacing w:val="2"/>
              </w:rPr>
              <w:t>G</w:t>
            </w:r>
            <w:r w:rsidRPr="009040B8">
              <w:rPr>
                <w:rFonts w:ascii="Verdana" w:hAnsi="Verdana" w:cs="Arial"/>
                <w:spacing w:val="2"/>
                <w:vertAlign w:val="subscript"/>
              </w:rPr>
              <w:t>20/1</w:t>
            </w:r>
            <w:r>
              <w:rPr>
                <w:rFonts w:ascii="Verdana" w:hAnsi="Verdana" w:cs="Arial"/>
                <w:spacing w:val="2"/>
                <w:vertAlign w:val="subscript"/>
              </w:rPr>
              <w:t>7,5</w:t>
            </w:r>
          </w:p>
        </w:tc>
      </w:tr>
      <w:tr w:rsidR="0051730D" w:rsidRPr="009040B8" w:rsidTr="0051730D">
        <w:trPr>
          <w:trHeight w:val="340"/>
        </w:trPr>
        <w:tc>
          <w:tcPr>
            <w:tcW w:w="666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85"/>
              <w:rPr>
                <w:rFonts w:ascii="Verdana" w:hAnsi="Verdana" w:cs="Arial"/>
              </w:rPr>
            </w:pPr>
            <w:r w:rsidRPr="009040B8">
              <w:rPr>
                <w:rFonts w:ascii="Verdana" w:hAnsi="Verdana" w:cs="Arial"/>
              </w:rPr>
              <w:t>Zawartość pyłów według PN-EN 933-1; kategoria nie wyższa niż:</w:t>
            </w:r>
          </w:p>
        </w:tc>
        <w:tc>
          <w:tcPr>
            <w:tcW w:w="2976"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spacing w:val="2"/>
              </w:rPr>
            </w:pPr>
            <w:r w:rsidRPr="009040B8">
              <w:rPr>
                <w:rFonts w:ascii="Verdana" w:hAnsi="Verdana" w:cs="Arial"/>
                <w:i/>
                <w:spacing w:val="17"/>
              </w:rPr>
              <w:t>f</w:t>
            </w:r>
            <w:r w:rsidRPr="009040B8">
              <w:rPr>
                <w:rFonts w:ascii="Verdana" w:hAnsi="Verdana" w:cs="Arial"/>
                <w:spacing w:val="17"/>
                <w:vertAlign w:val="subscript"/>
              </w:rPr>
              <w:t>2</w:t>
            </w:r>
          </w:p>
        </w:tc>
      </w:tr>
      <w:tr w:rsidR="0051730D" w:rsidRPr="009040B8" w:rsidTr="0051730D">
        <w:trPr>
          <w:trHeight w:val="340"/>
        </w:trPr>
        <w:tc>
          <w:tcPr>
            <w:tcW w:w="6663" w:type="dxa"/>
            <w:tcBorders>
              <w:top w:val="nil"/>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Kształt kruszywa według PN-EN 933-3 lub według PN-EN 933-4;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i/>
                <w:spacing w:val="2"/>
                <w:vertAlign w:val="subscript"/>
              </w:rPr>
            </w:pPr>
            <w:r w:rsidRPr="009040B8">
              <w:rPr>
                <w:rFonts w:ascii="Verdana" w:hAnsi="Verdana" w:cs="Arial"/>
                <w:i/>
                <w:spacing w:val="2"/>
              </w:rPr>
              <w:t>F</w:t>
            </w:r>
            <w:r w:rsidRPr="002F0B1E">
              <w:rPr>
                <w:rFonts w:ascii="Verdana" w:hAnsi="Verdana" w:cs="Arial"/>
                <w:spacing w:val="2"/>
                <w:vertAlign w:val="subscript"/>
              </w:rPr>
              <w:t>30</w:t>
            </w:r>
          </w:p>
          <w:p w:rsidR="0051730D" w:rsidRPr="009040B8" w:rsidRDefault="0051730D" w:rsidP="0051730D">
            <w:pPr>
              <w:widowControl w:val="0"/>
              <w:autoSpaceDE w:val="0"/>
              <w:autoSpaceDN w:val="0"/>
              <w:jc w:val="center"/>
              <w:rPr>
                <w:rFonts w:ascii="Verdana" w:hAnsi="Verdana" w:cs="Arial"/>
                <w:vertAlign w:val="subscript"/>
              </w:rPr>
            </w:pPr>
            <w:r w:rsidRPr="009040B8">
              <w:rPr>
                <w:rFonts w:ascii="Verdana" w:hAnsi="Verdana" w:cs="Arial"/>
              </w:rPr>
              <w:t xml:space="preserve">lub </w:t>
            </w:r>
            <w:r w:rsidRPr="009040B8">
              <w:rPr>
                <w:rFonts w:ascii="Verdana" w:hAnsi="Verdana" w:cs="Arial"/>
                <w:i/>
              </w:rPr>
              <w:t>SI</w:t>
            </w:r>
            <w:r>
              <w:rPr>
                <w:rFonts w:ascii="Verdana" w:hAnsi="Verdana" w:cs="Arial"/>
                <w:vertAlign w:val="subscript"/>
              </w:rPr>
              <w:t>30</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Procentowa zawa</w:t>
            </w:r>
            <w:r>
              <w:rPr>
                <w:rFonts w:ascii="Verdana" w:hAnsi="Verdana" w:cs="Arial"/>
              </w:rPr>
              <w:t xml:space="preserve">rtość ziaren o powierzchni </w:t>
            </w:r>
            <w:proofErr w:type="spellStart"/>
            <w:r>
              <w:rPr>
                <w:rFonts w:ascii="Verdana" w:hAnsi="Verdana" w:cs="Arial"/>
              </w:rPr>
              <w:t>prze</w:t>
            </w:r>
            <w:r w:rsidRPr="009040B8">
              <w:rPr>
                <w:rFonts w:ascii="Verdana" w:hAnsi="Verdana" w:cs="Arial"/>
              </w:rPr>
              <w:t>kruszonej</w:t>
            </w:r>
            <w:proofErr w:type="spellEnd"/>
            <w:r w:rsidRPr="009040B8">
              <w:rPr>
                <w:rFonts w:ascii="Verdana" w:hAnsi="Verdana" w:cs="Arial"/>
              </w:rPr>
              <w:t xml:space="preserve"> i łamanej </w:t>
            </w:r>
            <w:r w:rsidRPr="00105084">
              <w:rPr>
                <w:rFonts w:ascii="Verdana" w:hAnsi="Verdana" w:cs="Arial"/>
                <w:iCs/>
                <w:spacing w:val="4"/>
              </w:rPr>
              <w:t>w</w:t>
            </w:r>
            <w:r w:rsidRPr="009040B8">
              <w:rPr>
                <w:rFonts w:ascii="Verdana" w:hAnsi="Verdana" w:cs="Arial"/>
                <w:i/>
                <w:iCs/>
                <w:spacing w:val="4"/>
              </w:rPr>
              <w:t xml:space="preserve"> </w:t>
            </w:r>
            <w:r w:rsidRPr="009040B8">
              <w:rPr>
                <w:rFonts w:ascii="Verdana" w:hAnsi="Verdana" w:cs="Arial"/>
              </w:rPr>
              <w:t>kruszywie grubym według PN-EN 933-5; kategoria nie niższa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2"/>
              </w:rPr>
            </w:pPr>
            <w:r w:rsidRPr="00105084">
              <w:rPr>
                <w:rFonts w:ascii="Verdana" w:hAnsi="Verdana" w:cs="Arial"/>
                <w:i/>
                <w:spacing w:val="2"/>
              </w:rPr>
              <w:t>C</w:t>
            </w:r>
            <w:r w:rsidRPr="009040B8">
              <w:rPr>
                <w:rFonts w:ascii="Verdana" w:hAnsi="Verdana" w:cs="Arial"/>
                <w:spacing w:val="2"/>
                <w:vertAlign w:val="subscript"/>
              </w:rPr>
              <w:t>50/</w:t>
            </w:r>
            <w:r>
              <w:rPr>
                <w:rFonts w:ascii="Verdana" w:hAnsi="Verdana" w:cs="Arial"/>
                <w:spacing w:val="2"/>
                <w:vertAlign w:val="subscript"/>
              </w:rPr>
              <w:t>3</w:t>
            </w:r>
            <w:r w:rsidRPr="009040B8">
              <w:rPr>
                <w:rFonts w:ascii="Verdana" w:hAnsi="Verdana" w:cs="Arial"/>
                <w:spacing w:val="2"/>
                <w:vertAlign w:val="subscript"/>
              </w:rPr>
              <w:t>0</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Odporność kruszywa na rozdrabnianie według normy PN-EN 1097-2, rozdział 5</w:t>
            </w:r>
            <w:r>
              <w:rPr>
                <w:rFonts w:ascii="Verdana" w:hAnsi="Verdana" w:cs="Arial"/>
              </w:rPr>
              <w:t xml:space="preserve">, </w:t>
            </w:r>
            <w:r w:rsidRPr="009040B8">
              <w:rPr>
                <w:rFonts w:ascii="Verdana" w:hAnsi="Verdana" w:cs="Arial"/>
              </w:rPr>
              <w:t>badana na</w:t>
            </w:r>
            <w:r>
              <w:rPr>
                <w:rFonts w:ascii="Verdana" w:hAnsi="Verdana" w:cs="Arial"/>
              </w:rPr>
              <w:t xml:space="preserve"> kruszywie o wymiarze 10/14</w:t>
            </w:r>
            <w:r w:rsidRPr="009040B8">
              <w:rPr>
                <w:rFonts w:ascii="Verdana" w:hAnsi="Verdana" w:cs="Arial"/>
              </w:rPr>
              <w:t>;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2"/>
              </w:rPr>
            </w:pPr>
            <w:r w:rsidRPr="009040B8">
              <w:rPr>
                <w:rFonts w:ascii="Verdana" w:hAnsi="Verdana" w:cs="Arial"/>
                <w:i/>
                <w:iCs/>
                <w:spacing w:val="4"/>
              </w:rPr>
              <w:t>LA</w:t>
            </w:r>
            <w:r>
              <w:rPr>
                <w:rFonts w:ascii="Verdana" w:hAnsi="Verdana" w:cs="Arial"/>
                <w:iCs/>
                <w:spacing w:val="4"/>
                <w:vertAlign w:val="subscript"/>
              </w:rPr>
              <w:t>4</w:t>
            </w:r>
            <w:r w:rsidRPr="009040B8">
              <w:rPr>
                <w:rFonts w:ascii="Verdana" w:hAnsi="Verdana" w:cs="Arial"/>
                <w:iCs/>
                <w:spacing w:val="4"/>
                <w:vertAlign w:val="subscript"/>
              </w:rPr>
              <w:t>0</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Gęstość ziaren według PN-EN 1097-6, rozdz. 7, 8 lub 9:</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deklarowana przez producenta</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Nasiąkliwość według PN-EN 1097-6, rozdz. 7, 8 lub 9</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2"/>
                <w:vertAlign w:val="subscript"/>
              </w:rPr>
            </w:pPr>
            <w:r w:rsidRPr="009040B8">
              <w:rPr>
                <w:rFonts w:ascii="Verdana" w:hAnsi="Verdana" w:cs="Arial"/>
              </w:rPr>
              <w:t>deklarowana przez producenta</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Gęstość nasypowa według normy PN-EN 1097-3:</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deklarowana przez producenta</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Mrozoodporność według PN-EN 1367-1 badana na kruszywie o wymiarze 8/11, 11/16 lub 8/16;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2"/>
              </w:rPr>
            </w:pPr>
            <w:r w:rsidRPr="009040B8">
              <w:rPr>
                <w:rFonts w:ascii="Verdana" w:hAnsi="Verdana" w:cs="Arial"/>
                <w:i/>
                <w:spacing w:val="2"/>
              </w:rPr>
              <w:t>F</w:t>
            </w:r>
            <w:r>
              <w:rPr>
                <w:rFonts w:ascii="Verdana" w:hAnsi="Verdana" w:cs="Arial"/>
                <w:spacing w:val="2"/>
                <w:vertAlign w:val="subscript"/>
              </w:rPr>
              <w:t>4</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„Zgorzel słoneczna" bazaltu według PN-EN 1367-3, wymagana kategoria:</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i/>
              </w:rPr>
              <w:t>SB</w:t>
            </w:r>
            <w:r w:rsidRPr="009040B8">
              <w:rPr>
                <w:rFonts w:ascii="Verdana" w:hAnsi="Verdana" w:cs="Arial"/>
                <w:vertAlign w:val="subscript"/>
              </w:rPr>
              <w:t>LA</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 xml:space="preserve">Skład chemiczny - uproszczony opis petrograficzny według </w:t>
            </w:r>
            <w:r>
              <w:rPr>
                <w:rFonts w:ascii="Verdana" w:hAnsi="Verdana" w:cs="Arial"/>
              </w:rPr>
              <w:t xml:space="preserve">                     </w:t>
            </w:r>
            <w:r w:rsidRPr="009040B8">
              <w:rPr>
                <w:rFonts w:ascii="Verdana" w:hAnsi="Verdana" w:cs="Arial"/>
              </w:rPr>
              <w:t>PN-EN 932-3:</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deklarowany przez producenta</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lastRenderedPageBreak/>
              <w:t>Grube zanieczyszczenia lekkie według PN-EN 1744-1 p. 14.2,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2"/>
              </w:rPr>
            </w:pPr>
            <w:r w:rsidRPr="00105084">
              <w:rPr>
                <w:rFonts w:ascii="Verdana" w:hAnsi="Verdana" w:cs="Arial"/>
                <w:i/>
                <w:spacing w:val="2"/>
              </w:rPr>
              <w:t>m</w:t>
            </w:r>
            <w:r w:rsidRPr="009040B8">
              <w:rPr>
                <w:rFonts w:ascii="Verdana" w:hAnsi="Verdana" w:cs="Arial"/>
                <w:spacing w:val="2"/>
                <w:vertAlign w:val="subscript"/>
              </w:rPr>
              <w:t>LPC</w:t>
            </w:r>
            <w:r w:rsidRPr="009040B8">
              <w:rPr>
                <w:rFonts w:ascii="Verdana" w:hAnsi="Verdana" w:cs="Arial"/>
                <w:spacing w:val="2"/>
              </w:rPr>
              <w:t>0,1</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 xml:space="preserve">Rozpad krzemianu dwuwapniowego w kruszywie z żużla wielkopiecowego chłodzonego powietrzem według </w:t>
            </w:r>
            <w:r>
              <w:rPr>
                <w:rFonts w:ascii="Verdana" w:hAnsi="Verdana" w:cs="Arial"/>
              </w:rPr>
              <w:t xml:space="preserve">                                    </w:t>
            </w:r>
            <w:r w:rsidRPr="009040B8">
              <w:rPr>
                <w:rFonts w:ascii="Verdana" w:hAnsi="Verdana" w:cs="Arial"/>
              </w:rPr>
              <w:t>PN-EN 1744-1,p.19.1:</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wymagana odporność</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Rozpad związków żelaza w kruszywie z żużla wielkopiecowego chłodzonego powietrzem według PN-EN 1744-1, p. 19.2:</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wymagana odporność</w:t>
            </w:r>
          </w:p>
        </w:tc>
      </w:tr>
      <w:tr w:rsidR="0051730D" w:rsidRPr="009040B8" w:rsidTr="0051730D">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 xml:space="preserve">Stałość objętości kruszywa z żużla stalowniczego według </w:t>
            </w:r>
            <w:r>
              <w:rPr>
                <w:rFonts w:ascii="Verdana" w:hAnsi="Verdana" w:cs="Arial"/>
              </w:rPr>
              <w:t xml:space="preserve">         </w:t>
            </w:r>
            <w:r w:rsidRPr="009040B8">
              <w:rPr>
                <w:rFonts w:ascii="Verdana" w:hAnsi="Verdana" w:cs="Arial"/>
              </w:rPr>
              <w:t>PN-EN 1744-1, p. 19.3;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2"/>
              </w:rPr>
            </w:pPr>
            <w:r w:rsidRPr="00105084">
              <w:rPr>
                <w:rFonts w:ascii="Verdana" w:hAnsi="Verdana" w:cs="Arial"/>
                <w:i/>
                <w:spacing w:val="2"/>
              </w:rPr>
              <w:t>V</w:t>
            </w:r>
            <w:r>
              <w:rPr>
                <w:rFonts w:ascii="Verdana" w:hAnsi="Verdana" w:cs="Arial"/>
                <w:spacing w:val="2"/>
                <w:vertAlign w:val="subscript"/>
              </w:rPr>
              <w:t>6</w:t>
            </w:r>
            <w:r w:rsidRPr="009040B8">
              <w:rPr>
                <w:rFonts w:ascii="Verdana" w:hAnsi="Verdana" w:cs="Arial"/>
                <w:spacing w:val="2"/>
                <w:vertAlign w:val="subscript"/>
              </w:rPr>
              <w:t>,5</w:t>
            </w:r>
          </w:p>
        </w:tc>
      </w:tr>
    </w:tbl>
    <w:p w:rsidR="0051730D" w:rsidRPr="009040B8" w:rsidRDefault="0051730D" w:rsidP="0051730D">
      <w:pPr>
        <w:jc w:val="both"/>
        <w:rPr>
          <w:rFonts w:ascii="Verdana" w:hAnsi="Verdana" w:cs="Arial"/>
        </w:rPr>
      </w:pPr>
    </w:p>
    <w:p w:rsidR="0051730D" w:rsidRPr="009040B8" w:rsidRDefault="0051730D" w:rsidP="0051730D">
      <w:pPr>
        <w:ind w:left="993" w:hanging="993"/>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6. Wymagane właściwości kruszywa niełamanego drobnego</w:t>
      </w:r>
      <w:r>
        <w:rPr>
          <w:rFonts w:ascii="Verdana" w:hAnsi="Verdana" w:cs="Arial"/>
        </w:rPr>
        <w:t xml:space="preserve"> lub o ciągłym uziarnieniu do D ≤ 8 mm </w:t>
      </w:r>
      <w:r w:rsidRPr="009040B8">
        <w:rPr>
          <w:rFonts w:ascii="Verdana" w:hAnsi="Verdana" w:cs="Arial"/>
        </w:rPr>
        <w:t xml:space="preserve">do warstwy </w:t>
      </w:r>
      <w:r>
        <w:rPr>
          <w:rFonts w:ascii="Verdana" w:hAnsi="Verdana" w:cs="Arial"/>
        </w:rPr>
        <w:t xml:space="preserve">podbudowy </w:t>
      </w:r>
      <w:r w:rsidRPr="009040B8">
        <w:rPr>
          <w:rFonts w:ascii="Verdana" w:hAnsi="Verdana" w:cs="Arial"/>
        </w:rPr>
        <w:t>z betonu asfaltowego</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17"/>
        <w:gridCol w:w="3222"/>
      </w:tblGrid>
      <w:tr w:rsidR="0051730D" w:rsidRPr="009040B8" w:rsidTr="0051730D">
        <w:trPr>
          <w:cantSplit/>
          <w:trHeight w:hRule="exact" w:val="722"/>
        </w:trPr>
        <w:tc>
          <w:tcPr>
            <w:tcW w:w="6417" w:type="dxa"/>
            <w:vMerge w:val="restart"/>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Właściwości kruszywa</w:t>
            </w:r>
          </w:p>
        </w:tc>
        <w:tc>
          <w:tcPr>
            <w:tcW w:w="3222" w:type="dxa"/>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Wymagania w zależności                           od kategorii ruchu</w:t>
            </w:r>
          </w:p>
        </w:tc>
      </w:tr>
      <w:tr w:rsidR="0051730D" w:rsidRPr="009040B8" w:rsidTr="0051730D">
        <w:trPr>
          <w:cantSplit/>
          <w:trHeight w:hRule="exact" w:val="434"/>
        </w:trPr>
        <w:tc>
          <w:tcPr>
            <w:tcW w:w="6417" w:type="dxa"/>
            <w:vMerge/>
            <w:vAlign w:val="center"/>
          </w:tcPr>
          <w:p w:rsidR="0051730D" w:rsidRPr="009040B8" w:rsidRDefault="0051730D" w:rsidP="0051730D">
            <w:pPr>
              <w:widowControl w:val="0"/>
              <w:autoSpaceDE w:val="0"/>
              <w:autoSpaceDN w:val="0"/>
              <w:jc w:val="center"/>
              <w:rPr>
                <w:rFonts w:ascii="Verdana" w:hAnsi="Verdana" w:cs="Arial"/>
              </w:rPr>
            </w:pPr>
          </w:p>
        </w:tc>
        <w:tc>
          <w:tcPr>
            <w:tcW w:w="3222" w:type="dxa"/>
            <w:vAlign w:val="center"/>
          </w:tcPr>
          <w:p w:rsidR="0051730D" w:rsidRPr="009040B8" w:rsidRDefault="0051730D" w:rsidP="0051730D">
            <w:pPr>
              <w:widowControl w:val="0"/>
              <w:autoSpaceDE w:val="0"/>
              <w:autoSpaceDN w:val="0"/>
              <w:jc w:val="center"/>
              <w:rPr>
                <w:rFonts w:ascii="Verdana" w:hAnsi="Verdana" w:cs="Arial"/>
                <w:spacing w:val="20"/>
              </w:rPr>
            </w:pPr>
            <w:r w:rsidRPr="009040B8">
              <w:rPr>
                <w:rFonts w:ascii="Verdana" w:hAnsi="Verdana" w:cs="Arial"/>
              </w:rPr>
              <w:t>KR 3</w:t>
            </w:r>
            <w:r>
              <w:rPr>
                <w:rFonts w:ascii="Verdana" w:hAnsi="Verdana" w:cs="Arial"/>
              </w:rPr>
              <w:t>÷</w:t>
            </w:r>
            <w:r w:rsidRPr="009040B8">
              <w:rPr>
                <w:rFonts w:ascii="Verdana" w:hAnsi="Verdana" w:cs="Arial"/>
              </w:rPr>
              <w:t>4</w:t>
            </w:r>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Uziarnienie według PN-EN 933-1, wymagana kategoria:</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spacing w:val="14"/>
              </w:rPr>
            </w:pPr>
            <w:r w:rsidRPr="00732552">
              <w:rPr>
                <w:rFonts w:ascii="Verdana" w:hAnsi="Verdana" w:cs="Arial"/>
                <w:i/>
                <w:spacing w:val="14"/>
              </w:rPr>
              <w:t>G</w:t>
            </w:r>
            <w:r w:rsidRPr="009040B8">
              <w:rPr>
                <w:rFonts w:ascii="Verdana" w:hAnsi="Verdana" w:cs="Arial"/>
                <w:spacing w:val="14"/>
                <w:vertAlign w:val="subscript"/>
              </w:rPr>
              <w:t>F</w:t>
            </w:r>
            <w:r w:rsidRPr="009040B8">
              <w:rPr>
                <w:rFonts w:ascii="Verdana" w:hAnsi="Verdana" w:cs="Arial"/>
                <w:spacing w:val="14"/>
              </w:rPr>
              <w:t>85</w:t>
            </w:r>
            <w:r>
              <w:rPr>
                <w:rFonts w:ascii="Verdana" w:hAnsi="Verdana" w:cs="Arial"/>
                <w:spacing w:val="14"/>
              </w:rPr>
              <w:t xml:space="preserve"> lub</w:t>
            </w:r>
            <w:r w:rsidRPr="00732552">
              <w:rPr>
                <w:rFonts w:ascii="Verdana" w:hAnsi="Verdana" w:cs="Arial"/>
                <w:i/>
                <w:spacing w:val="14"/>
              </w:rPr>
              <w:t xml:space="preserve"> G</w:t>
            </w:r>
            <w:r>
              <w:rPr>
                <w:rFonts w:ascii="Verdana" w:hAnsi="Verdana" w:cs="Arial"/>
                <w:spacing w:val="14"/>
                <w:vertAlign w:val="subscript"/>
              </w:rPr>
              <w:t>A</w:t>
            </w:r>
            <w:r w:rsidRPr="009040B8">
              <w:rPr>
                <w:rFonts w:ascii="Verdana" w:hAnsi="Verdana" w:cs="Arial"/>
                <w:spacing w:val="14"/>
              </w:rPr>
              <w:t>85</w:t>
            </w:r>
            <w:r>
              <w:rPr>
                <w:rFonts w:ascii="Verdana" w:hAnsi="Verdana" w:cs="Arial"/>
                <w:spacing w:val="14"/>
              </w:rPr>
              <w:t xml:space="preserve">  </w:t>
            </w:r>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Tolerancja uziarnienia; odchylenie nie większe niż według kategorii:</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rPr>
            </w:pPr>
            <w:r w:rsidRPr="00732552">
              <w:rPr>
                <w:rFonts w:ascii="Verdana" w:hAnsi="Verdana" w:cs="Arial"/>
                <w:i/>
              </w:rPr>
              <w:t>G</w:t>
            </w:r>
            <w:r w:rsidRPr="009040B8">
              <w:rPr>
                <w:rFonts w:ascii="Verdana" w:hAnsi="Verdana" w:cs="Arial"/>
                <w:vertAlign w:val="subscript"/>
              </w:rPr>
              <w:t>TC</w:t>
            </w:r>
            <w:r w:rsidRPr="009040B8">
              <w:rPr>
                <w:rFonts w:ascii="Verdana" w:hAnsi="Verdana" w:cs="Arial"/>
              </w:rPr>
              <w:t>20</w:t>
            </w:r>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 xml:space="preserve">Zawartość pyłów według PN-EN 933-1, </w:t>
            </w:r>
            <w:r>
              <w:rPr>
                <w:rFonts w:ascii="Verdana" w:hAnsi="Verdana" w:cs="Arial"/>
              </w:rPr>
              <w:t xml:space="preserve">                                        </w:t>
            </w:r>
            <w:r w:rsidRPr="009040B8">
              <w:rPr>
                <w:rFonts w:ascii="Verdana" w:hAnsi="Verdana" w:cs="Arial"/>
              </w:rPr>
              <w:t>kategoria nie wyższa niż:</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spacing w:val="-6"/>
              </w:rPr>
            </w:pPr>
            <w:r>
              <w:rPr>
                <w:rFonts w:ascii="Verdana" w:hAnsi="Verdana" w:cs="Arial"/>
                <w:i/>
                <w:spacing w:val="17"/>
              </w:rPr>
              <w:t>f</w:t>
            </w:r>
            <w:r>
              <w:rPr>
                <w:rFonts w:ascii="Verdana" w:hAnsi="Verdana" w:cs="Arial"/>
                <w:spacing w:val="17"/>
                <w:vertAlign w:val="subscript"/>
              </w:rPr>
              <w:t>3</w:t>
            </w:r>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Jakość pyłów według PN-EN 933-9; kategoria nie wyższa niż:</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rPr>
            </w:pPr>
            <w:r w:rsidRPr="00732552">
              <w:rPr>
                <w:rFonts w:ascii="Verdana" w:hAnsi="Verdana" w:cs="Arial"/>
                <w:i/>
              </w:rPr>
              <w:t>MB</w:t>
            </w:r>
            <w:r w:rsidRPr="009040B8">
              <w:rPr>
                <w:rFonts w:ascii="Verdana" w:hAnsi="Verdana" w:cs="Arial"/>
                <w:vertAlign w:val="subscript"/>
              </w:rPr>
              <w:t>F</w:t>
            </w:r>
            <w:r w:rsidRPr="009040B8">
              <w:rPr>
                <w:rFonts w:ascii="Verdana" w:hAnsi="Verdana" w:cs="Arial"/>
              </w:rPr>
              <w:t>10</w:t>
            </w:r>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 xml:space="preserve">Kanciastość kruszywa drobnego lub kruszywa 0/2 wydzielonego z kruszywa o ciągłym uziarnieniu według </w:t>
            </w:r>
            <w:r>
              <w:rPr>
                <w:rFonts w:ascii="Verdana" w:hAnsi="Verdana" w:cs="Arial"/>
              </w:rPr>
              <w:t xml:space="preserve">                       </w:t>
            </w:r>
            <w:r w:rsidRPr="009040B8">
              <w:rPr>
                <w:rFonts w:ascii="Verdana" w:hAnsi="Verdana" w:cs="Arial"/>
              </w:rPr>
              <w:t xml:space="preserve">PN-EN 933-6, rozdz. 8, </w:t>
            </w:r>
            <w:r>
              <w:rPr>
                <w:rFonts w:ascii="Verdana" w:hAnsi="Verdana" w:cs="Arial"/>
              </w:rPr>
              <w:t xml:space="preserve">wymagana </w:t>
            </w:r>
            <w:r w:rsidRPr="009040B8">
              <w:rPr>
                <w:rFonts w:ascii="Verdana" w:hAnsi="Verdana" w:cs="Arial"/>
              </w:rPr>
              <w:t>kategoria:</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spacing w:val="-2"/>
              </w:rPr>
            </w:pPr>
            <w:proofErr w:type="spellStart"/>
            <w:r w:rsidRPr="00732552">
              <w:rPr>
                <w:rFonts w:ascii="Verdana" w:hAnsi="Verdana" w:cs="Arial"/>
                <w:i/>
                <w:spacing w:val="-2"/>
              </w:rPr>
              <w:t>E</w:t>
            </w:r>
            <w:r w:rsidRPr="009040B8">
              <w:rPr>
                <w:rFonts w:ascii="Verdana" w:hAnsi="Verdana" w:cs="Arial"/>
                <w:spacing w:val="-2"/>
                <w:vertAlign w:val="subscript"/>
              </w:rPr>
              <w:t>cs</w:t>
            </w:r>
            <w:r w:rsidRPr="005E29E2">
              <w:rPr>
                <w:rFonts w:ascii="Verdana" w:hAnsi="Verdana" w:cs="Arial"/>
                <w:spacing w:val="-2"/>
                <w:vertAlign w:val="subscript"/>
              </w:rPr>
              <w:t>Deklarowana</w:t>
            </w:r>
            <w:proofErr w:type="spellEnd"/>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Gęstość ziaren według PN-EN 1097-6, rozdz. 7, 8 lub 9</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rPr>
            </w:pPr>
            <w:r w:rsidRPr="009040B8">
              <w:rPr>
                <w:rFonts w:ascii="Verdana" w:hAnsi="Verdana" w:cs="Arial"/>
              </w:rPr>
              <w:t>deklarowana przez producenta</w:t>
            </w:r>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ind w:left="90"/>
              <w:rPr>
                <w:rFonts w:ascii="Verdana" w:hAnsi="Verdana" w:cs="Arial"/>
              </w:rPr>
            </w:pPr>
            <w:r w:rsidRPr="009040B8">
              <w:rPr>
                <w:rFonts w:ascii="Verdana" w:hAnsi="Verdana" w:cs="Arial"/>
              </w:rPr>
              <w:t>Nasiąkliwość według PN-EN 1097-6, rozdz. 7, 8 lub 9</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spacing w:val="-2"/>
              </w:rPr>
            </w:pPr>
            <w:r w:rsidRPr="009040B8">
              <w:rPr>
                <w:rFonts w:ascii="Verdana" w:hAnsi="Verdana" w:cs="Arial"/>
              </w:rPr>
              <w:t>deklarowana przez producenta</w:t>
            </w:r>
          </w:p>
        </w:tc>
      </w:tr>
      <w:tr w:rsidR="0051730D" w:rsidRPr="009040B8" w:rsidTr="0051730D">
        <w:trPr>
          <w:trHeight w:val="397"/>
        </w:trPr>
        <w:tc>
          <w:tcPr>
            <w:tcW w:w="6417" w:type="dxa"/>
            <w:vAlign w:val="center"/>
          </w:tcPr>
          <w:p w:rsidR="0051730D" w:rsidRPr="009040B8" w:rsidRDefault="0051730D" w:rsidP="0051730D">
            <w:pPr>
              <w:widowControl w:val="0"/>
              <w:autoSpaceDE w:val="0"/>
              <w:autoSpaceDN w:val="0"/>
              <w:spacing w:before="72"/>
              <w:ind w:left="90"/>
              <w:rPr>
                <w:rFonts w:ascii="Verdana" w:hAnsi="Verdana" w:cs="Arial"/>
              </w:rPr>
            </w:pPr>
            <w:r w:rsidRPr="009040B8">
              <w:rPr>
                <w:rFonts w:ascii="Verdana" w:hAnsi="Verdana" w:cs="Arial"/>
              </w:rPr>
              <w:t>Grube zanieczyszczenia lekkie, według PN-EN 1744-1 p. 14.2, kategoria nie wyższa niż:</w:t>
            </w:r>
          </w:p>
        </w:tc>
        <w:tc>
          <w:tcPr>
            <w:tcW w:w="3222" w:type="dxa"/>
            <w:vAlign w:val="center"/>
          </w:tcPr>
          <w:p w:rsidR="0051730D" w:rsidRPr="009040B8" w:rsidRDefault="0051730D" w:rsidP="0051730D">
            <w:pPr>
              <w:widowControl w:val="0"/>
              <w:tabs>
                <w:tab w:val="left" w:pos="3222"/>
              </w:tabs>
              <w:autoSpaceDE w:val="0"/>
              <w:autoSpaceDN w:val="0"/>
              <w:jc w:val="center"/>
              <w:rPr>
                <w:rFonts w:ascii="Verdana" w:hAnsi="Verdana" w:cs="Arial"/>
              </w:rPr>
            </w:pPr>
            <w:r w:rsidRPr="00732552">
              <w:rPr>
                <w:rFonts w:ascii="Verdana" w:hAnsi="Verdana" w:cs="Arial"/>
                <w:i/>
              </w:rPr>
              <w:t>m</w:t>
            </w:r>
            <w:r w:rsidRPr="009040B8">
              <w:rPr>
                <w:rFonts w:ascii="Verdana" w:hAnsi="Verdana" w:cs="Arial"/>
                <w:vertAlign w:val="subscript"/>
              </w:rPr>
              <w:t>LPC</w:t>
            </w:r>
            <w:r w:rsidRPr="009040B8">
              <w:rPr>
                <w:rFonts w:ascii="Verdana" w:hAnsi="Verdana" w:cs="Arial"/>
              </w:rPr>
              <w:t>0,1</w:t>
            </w:r>
          </w:p>
        </w:tc>
      </w:tr>
    </w:tbl>
    <w:p w:rsidR="0051730D" w:rsidRPr="00105084" w:rsidRDefault="0051730D" w:rsidP="0051730D">
      <w:pPr>
        <w:autoSpaceDE w:val="0"/>
        <w:autoSpaceDN w:val="0"/>
        <w:adjustRightInd w:val="0"/>
        <w:jc w:val="both"/>
        <w:rPr>
          <w:rFonts w:ascii="Verdana" w:hAnsi="Verdana"/>
        </w:rPr>
      </w:pPr>
      <w:r w:rsidRPr="00105084">
        <w:rPr>
          <w:rFonts w:ascii="Verdana" w:hAnsi="Verdana"/>
        </w:rPr>
        <w:t>Jeżeli stosowana jest mieszanka kruszywa drobnego niełamanego i łamanego, to należy przyjąć proporcję kruszywa łamanego do niełamanego co najmniej 50/50.</w:t>
      </w:r>
    </w:p>
    <w:p w:rsidR="0051730D" w:rsidRPr="009040B8" w:rsidRDefault="0051730D" w:rsidP="0051730D">
      <w:pPr>
        <w:jc w:val="both"/>
        <w:rPr>
          <w:rFonts w:ascii="Verdana" w:hAnsi="Verdana" w:cs="Arial"/>
        </w:rPr>
      </w:pPr>
    </w:p>
    <w:p w:rsidR="0051730D" w:rsidRPr="009040B8" w:rsidRDefault="0051730D" w:rsidP="0051730D">
      <w:pPr>
        <w:ind w:left="993" w:hanging="993"/>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7. Wymagane właściwości kruszywa łamanego drobnego lub o ciągłym uziarnieniu </w:t>
      </w:r>
      <w:r w:rsidRPr="009040B8">
        <w:rPr>
          <w:rFonts w:ascii="Verdana" w:hAnsi="Verdana" w:cs="Arial"/>
        </w:rPr>
        <w:br/>
        <w:t xml:space="preserve">do D ≤ 8 mm do </w:t>
      </w:r>
      <w:r>
        <w:rPr>
          <w:rFonts w:ascii="Verdana" w:hAnsi="Verdana" w:cs="Arial"/>
        </w:rPr>
        <w:t>podbudowy</w:t>
      </w:r>
      <w:r w:rsidRPr="009040B8">
        <w:rPr>
          <w:rFonts w:ascii="Verdana" w:hAnsi="Verdana" w:cs="Arial"/>
        </w:rPr>
        <w:t xml:space="preserve"> z betonu asfaltowego</w:t>
      </w:r>
    </w:p>
    <w:tbl>
      <w:tblPr>
        <w:tblW w:w="9640" w:type="dxa"/>
        <w:tblInd w:w="5" w:type="dxa"/>
        <w:tblLayout w:type="fixed"/>
        <w:tblCellMar>
          <w:left w:w="0" w:type="dxa"/>
          <w:right w:w="0" w:type="dxa"/>
        </w:tblCellMar>
        <w:tblLook w:val="0000" w:firstRow="0" w:lastRow="0" w:firstColumn="0" w:lastColumn="0" w:noHBand="0" w:noVBand="0"/>
      </w:tblPr>
      <w:tblGrid>
        <w:gridCol w:w="6443"/>
        <w:gridCol w:w="3197"/>
      </w:tblGrid>
      <w:tr w:rsidR="0051730D" w:rsidRPr="009040B8" w:rsidTr="0051730D">
        <w:trPr>
          <w:cantSplit/>
          <w:trHeight w:hRule="exact" w:val="706"/>
        </w:trPr>
        <w:tc>
          <w:tcPr>
            <w:tcW w:w="6443" w:type="dxa"/>
            <w:vMerge w:val="restart"/>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Właściwości kruszywa</w:t>
            </w:r>
          </w:p>
        </w:tc>
        <w:tc>
          <w:tcPr>
            <w:tcW w:w="3197"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Wymagania w zależności                        od kategorii ruchu</w:t>
            </w:r>
          </w:p>
        </w:tc>
      </w:tr>
      <w:tr w:rsidR="0051730D" w:rsidRPr="009040B8" w:rsidTr="0051730D">
        <w:trPr>
          <w:cantSplit/>
          <w:trHeight w:hRule="exact" w:val="472"/>
        </w:trPr>
        <w:tc>
          <w:tcPr>
            <w:tcW w:w="6443" w:type="dxa"/>
            <w:vMerge/>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p>
        </w:tc>
        <w:tc>
          <w:tcPr>
            <w:tcW w:w="3197"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12"/>
              </w:rPr>
            </w:pPr>
            <w:r w:rsidRPr="009040B8">
              <w:rPr>
                <w:rFonts w:ascii="Verdana" w:hAnsi="Verdana" w:cs="Arial"/>
              </w:rPr>
              <w:t>KR 3</w:t>
            </w:r>
            <w:r>
              <w:rPr>
                <w:rFonts w:ascii="Verdana" w:hAnsi="Verdana" w:cs="Arial"/>
              </w:rPr>
              <w:t>÷</w:t>
            </w:r>
            <w:r w:rsidRPr="009040B8">
              <w:rPr>
                <w:rFonts w:ascii="Verdana" w:hAnsi="Verdana" w:cs="Arial"/>
              </w:rPr>
              <w:t>4</w:t>
            </w:r>
          </w:p>
        </w:tc>
      </w:tr>
      <w:tr w:rsidR="0051730D" w:rsidRPr="009040B8" w:rsidTr="0051730D">
        <w:trPr>
          <w:trHeight w:val="340"/>
        </w:trPr>
        <w:tc>
          <w:tcPr>
            <w:tcW w:w="6443"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rPr>
                <w:rFonts w:ascii="Verdana" w:hAnsi="Verdana" w:cs="Arial"/>
              </w:rPr>
            </w:pPr>
            <w:r w:rsidRPr="009040B8">
              <w:rPr>
                <w:rFonts w:ascii="Verdana" w:hAnsi="Verdana" w:cs="Arial"/>
              </w:rPr>
              <w:t xml:space="preserve">  Uziarnienie według PN-EN 933-1, wymagana kategoria:</w:t>
            </w:r>
          </w:p>
        </w:tc>
        <w:tc>
          <w:tcPr>
            <w:tcW w:w="3197"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spacing w:val="14"/>
              </w:rPr>
            </w:pPr>
            <w:r w:rsidRPr="00732552">
              <w:rPr>
                <w:rFonts w:ascii="Verdana" w:hAnsi="Verdana" w:cs="Arial"/>
                <w:i/>
                <w:spacing w:val="14"/>
              </w:rPr>
              <w:t>G</w:t>
            </w:r>
            <w:r w:rsidRPr="009040B8">
              <w:rPr>
                <w:rFonts w:ascii="Verdana" w:hAnsi="Verdana" w:cs="Arial"/>
                <w:spacing w:val="14"/>
                <w:vertAlign w:val="subscript"/>
              </w:rPr>
              <w:t>F</w:t>
            </w:r>
            <w:r w:rsidRPr="009040B8">
              <w:rPr>
                <w:rFonts w:ascii="Verdana" w:hAnsi="Verdana" w:cs="Arial"/>
                <w:spacing w:val="14"/>
              </w:rPr>
              <w:t xml:space="preserve">85 </w:t>
            </w:r>
            <w:r w:rsidRPr="009040B8">
              <w:rPr>
                <w:rFonts w:ascii="Verdana" w:hAnsi="Verdana" w:cs="Arial"/>
              </w:rPr>
              <w:t xml:space="preserve">lub </w:t>
            </w:r>
            <w:r w:rsidRPr="00732552">
              <w:rPr>
                <w:rFonts w:ascii="Verdana" w:hAnsi="Verdana" w:cs="Arial"/>
                <w:i/>
                <w:spacing w:val="14"/>
              </w:rPr>
              <w:t>G</w:t>
            </w:r>
            <w:r w:rsidRPr="009040B8">
              <w:rPr>
                <w:rFonts w:ascii="Verdana" w:hAnsi="Verdana" w:cs="Arial"/>
                <w:spacing w:val="14"/>
                <w:vertAlign w:val="subscript"/>
              </w:rPr>
              <w:t>A</w:t>
            </w:r>
            <w:r w:rsidRPr="009040B8">
              <w:rPr>
                <w:rFonts w:ascii="Verdana" w:hAnsi="Verdana" w:cs="Arial"/>
                <w:spacing w:val="14"/>
              </w:rPr>
              <w:t>85</w:t>
            </w:r>
          </w:p>
        </w:tc>
      </w:tr>
      <w:tr w:rsidR="0051730D" w:rsidRPr="009040B8" w:rsidTr="0051730D">
        <w:trPr>
          <w:trHeight w:val="340"/>
        </w:trPr>
        <w:tc>
          <w:tcPr>
            <w:tcW w:w="6443" w:type="dxa"/>
            <w:tcBorders>
              <w:top w:val="single" w:sz="4"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42" w:hanging="142"/>
              <w:rPr>
                <w:rFonts w:ascii="Verdana" w:hAnsi="Verdana" w:cs="Arial"/>
              </w:rPr>
            </w:pPr>
            <w:r w:rsidRPr="009040B8">
              <w:rPr>
                <w:rFonts w:ascii="Verdana" w:hAnsi="Verdana" w:cs="Arial"/>
              </w:rPr>
              <w:t xml:space="preserve">  Tolerancja uziarnienia; odchylenie nie większe niż według kategorii:</w:t>
            </w:r>
          </w:p>
        </w:tc>
        <w:tc>
          <w:tcPr>
            <w:tcW w:w="3197" w:type="dxa"/>
            <w:tcBorders>
              <w:top w:val="single" w:sz="4" w:space="0" w:color="auto"/>
              <w:left w:val="single" w:sz="5" w:space="0" w:color="auto"/>
              <w:bottom w:val="single" w:sz="5"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732552">
              <w:rPr>
                <w:rFonts w:ascii="Verdana" w:hAnsi="Verdana" w:cs="Arial"/>
                <w:i/>
              </w:rPr>
              <w:t>G</w:t>
            </w:r>
            <w:r w:rsidRPr="009040B8">
              <w:rPr>
                <w:rFonts w:ascii="Verdana" w:hAnsi="Verdana" w:cs="Arial"/>
                <w:vertAlign w:val="subscript"/>
              </w:rPr>
              <w:t>TC</w:t>
            </w:r>
            <w:r w:rsidRPr="009040B8">
              <w:rPr>
                <w:rFonts w:ascii="Verdana" w:hAnsi="Verdana" w:cs="Arial"/>
              </w:rPr>
              <w:t xml:space="preserve"> 20</w:t>
            </w:r>
          </w:p>
        </w:tc>
      </w:tr>
      <w:tr w:rsidR="0051730D" w:rsidRPr="009040B8" w:rsidTr="0051730D">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42" w:hanging="142"/>
              <w:rPr>
                <w:rFonts w:ascii="Verdana" w:hAnsi="Verdana" w:cs="Arial"/>
              </w:rPr>
            </w:pPr>
            <w:r w:rsidRPr="009040B8">
              <w:rPr>
                <w:rFonts w:ascii="Verdana" w:hAnsi="Verdana" w:cs="Arial"/>
              </w:rPr>
              <w:t xml:space="preserve">  Zawartość pyłów według PN-EN 933-1, </w:t>
            </w:r>
            <w:r>
              <w:rPr>
                <w:rFonts w:ascii="Verdana" w:hAnsi="Verdana" w:cs="Arial"/>
              </w:rPr>
              <w:t xml:space="preserve">                                         </w:t>
            </w:r>
            <w:r w:rsidRPr="009040B8">
              <w:rPr>
                <w:rFonts w:ascii="Verdana" w:hAnsi="Verdana" w:cs="Arial"/>
              </w:rPr>
              <w:t>kategoria nie wyższa niż:</w:t>
            </w:r>
          </w:p>
        </w:tc>
        <w:tc>
          <w:tcPr>
            <w:tcW w:w="3197"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i/>
                <w:spacing w:val="17"/>
              </w:rPr>
              <w:t>f</w:t>
            </w:r>
            <w:r w:rsidRPr="009040B8">
              <w:rPr>
                <w:rFonts w:ascii="Verdana" w:hAnsi="Verdana" w:cs="Arial"/>
                <w:vertAlign w:val="subscript"/>
              </w:rPr>
              <w:t>16</w:t>
            </w:r>
          </w:p>
        </w:tc>
      </w:tr>
      <w:tr w:rsidR="0051730D" w:rsidRPr="009040B8" w:rsidTr="0051730D">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rPr>
                <w:rFonts w:ascii="Verdana" w:hAnsi="Verdana" w:cs="Arial"/>
              </w:rPr>
            </w:pPr>
            <w:r w:rsidRPr="009040B8">
              <w:rPr>
                <w:rFonts w:ascii="Verdana" w:hAnsi="Verdana" w:cs="Arial"/>
              </w:rPr>
              <w:t xml:space="preserve">  Jakość pyłów według PN-EN 933-9; kategoria nie wyższa niż:</w:t>
            </w:r>
          </w:p>
        </w:tc>
        <w:tc>
          <w:tcPr>
            <w:tcW w:w="3197"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732552">
              <w:rPr>
                <w:rFonts w:ascii="Verdana" w:hAnsi="Verdana" w:cs="Arial"/>
                <w:i/>
              </w:rPr>
              <w:t>MB</w:t>
            </w:r>
            <w:r w:rsidRPr="009040B8">
              <w:rPr>
                <w:rFonts w:ascii="Verdana" w:hAnsi="Verdana" w:cs="Arial"/>
                <w:vertAlign w:val="subscript"/>
              </w:rPr>
              <w:t>F</w:t>
            </w:r>
            <w:r w:rsidRPr="009040B8">
              <w:rPr>
                <w:rFonts w:ascii="Verdana" w:hAnsi="Verdana" w:cs="Arial"/>
              </w:rPr>
              <w:t>10</w:t>
            </w:r>
          </w:p>
        </w:tc>
      </w:tr>
      <w:tr w:rsidR="0051730D" w:rsidRPr="009040B8" w:rsidTr="0051730D">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42" w:hanging="142"/>
              <w:rPr>
                <w:rFonts w:ascii="Verdana" w:hAnsi="Verdana" w:cs="Arial"/>
              </w:rPr>
            </w:pPr>
            <w:r w:rsidRPr="009040B8">
              <w:rPr>
                <w:rFonts w:ascii="Verdana" w:hAnsi="Verdana" w:cs="Arial"/>
              </w:rPr>
              <w:t xml:space="preserve">  Kanciastość kruszywa drobnego lub kruszywa 0/2 wydzielonego z kruszywa o ciągłym uziarnieniu według </w:t>
            </w:r>
            <w:r>
              <w:rPr>
                <w:rFonts w:ascii="Verdana" w:hAnsi="Verdana" w:cs="Arial"/>
              </w:rPr>
              <w:t xml:space="preserve">                           </w:t>
            </w:r>
            <w:r w:rsidRPr="009040B8">
              <w:rPr>
                <w:rFonts w:ascii="Verdana" w:hAnsi="Verdana" w:cs="Arial"/>
              </w:rPr>
              <w:t>PN-EN 933-6, rozdz. 8, kategoria nie niższa niż:</w:t>
            </w:r>
          </w:p>
        </w:tc>
        <w:tc>
          <w:tcPr>
            <w:tcW w:w="3197"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i/>
              </w:rPr>
              <w:t>E</w:t>
            </w:r>
            <w:r w:rsidRPr="009040B8">
              <w:rPr>
                <w:rFonts w:ascii="Verdana" w:hAnsi="Verdana" w:cs="Arial"/>
                <w:vertAlign w:val="subscript"/>
              </w:rPr>
              <w:t>CS</w:t>
            </w:r>
            <w:r w:rsidRPr="009040B8">
              <w:rPr>
                <w:rFonts w:ascii="Verdana" w:hAnsi="Verdana" w:cs="Arial"/>
              </w:rPr>
              <w:t>30</w:t>
            </w:r>
          </w:p>
        </w:tc>
      </w:tr>
      <w:tr w:rsidR="0051730D" w:rsidRPr="009040B8" w:rsidTr="0051730D">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rPr>
                <w:rFonts w:ascii="Verdana" w:hAnsi="Verdana" w:cs="Arial"/>
              </w:rPr>
            </w:pPr>
            <w:r w:rsidRPr="009040B8">
              <w:rPr>
                <w:rFonts w:ascii="Verdana" w:hAnsi="Verdana" w:cs="Arial"/>
              </w:rPr>
              <w:t xml:space="preserve">  Gęstość ziaren według PN-EN 1097-6, rozdz. 7, 8 lub 9</w:t>
            </w:r>
          </w:p>
        </w:tc>
        <w:tc>
          <w:tcPr>
            <w:tcW w:w="3197"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deklarowana przez producenta</w:t>
            </w:r>
          </w:p>
        </w:tc>
      </w:tr>
      <w:tr w:rsidR="0051730D" w:rsidRPr="009040B8" w:rsidTr="0051730D">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rPr>
                <w:rFonts w:ascii="Verdana" w:hAnsi="Verdana" w:cs="Arial"/>
              </w:rPr>
            </w:pPr>
            <w:r w:rsidRPr="009040B8">
              <w:rPr>
                <w:rFonts w:ascii="Verdana" w:hAnsi="Verdana" w:cs="Arial"/>
              </w:rPr>
              <w:t xml:space="preserve">  Nasiąkliwość według PN-EN 1097-6, rozdz. 7, 8 lub 9</w:t>
            </w:r>
          </w:p>
        </w:tc>
        <w:tc>
          <w:tcPr>
            <w:tcW w:w="3197"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spacing w:val="-2"/>
              </w:rPr>
            </w:pPr>
            <w:r w:rsidRPr="009040B8">
              <w:rPr>
                <w:rFonts w:ascii="Verdana" w:hAnsi="Verdana" w:cs="Arial"/>
              </w:rPr>
              <w:t>deklarowana przez producenta</w:t>
            </w:r>
          </w:p>
        </w:tc>
      </w:tr>
      <w:tr w:rsidR="0051730D" w:rsidRPr="009040B8" w:rsidTr="0051730D">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spacing w:before="36"/>
              <w:ind w:left="142" w:hanging="142"/>
              <w:rPr>
                <w:rFonts w:ascii="Verdana" w:hAnsi="Verdana" w:cs="Arial"/>
              </w:rPr>
            </w:pPr>
            <w:r w:rsidRPr="009040B8">
              <w:rPr>
                <w:rFonts w:ascii="Verdana" w:hAnsi="Verdana" w:cs="Arial"/>
              </w:rPr>
              <w:t xml:space="preserve">  Grube zanieczyszczenia lekkie, według PN-EN 1744-1 p. 14.2, kategoria nie wyższa niż:</w:t>
            </w:r>
          </w:p>
        </w:tc>
        <w:tc>
          <w:tcPr>
            <w:tcW w:w="3197"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732552">
              <w:rPr>
                <w:rFonts w:ascii="Verdana" w:hAnsi="Verdana" w:cs="Arial"/>
                <w:i/>
              </w:rPr>
              <w:t>m</w:t>
            </w:r>
            <w:r w:rsidRPr="009040B8">
              <w:rPr>
                <w:rFonts w:ascii="Verdana" w:hAnsi="Verdana" w:cs="Arial"/>
                <w:vertAlign w:val="subscript"/>
              </w:rPr>
              <w:t>LPC</w:t>
            </w:r>
            <w:r w:rsidRPr="009040B8">
              <w:rPr>
                <w:rFonts w:ascii="Verdana" w:hAnsi="Verdana" w:cs="Arial"/>
              </w:rPr>
              <w:t>0,1</w:t>
            </w:r>
          </w:p>
        </w:tc>
      </w:tr>
    </w:tbl>
    <w:p w:rsidR="0051730D" w:rsidRDefault="0051730D" w:rsidP="0051730D">
      <w:pPr>
        <w:jc w:val="both"/>
        <w:rPr>
          <w:rFonts w:ascii="Verdana" w:hAnsi="Verdana"/>
          <w:b/>
          <w:spacing w:val="-3"/>
          <w:u w:val="single"/>
        </w:rPr>
      </w:pPr>
    </w:p>
    <w:p w:rsidR="0051730D" w:rsidRPr="005E29E2" w:rsidRDefault="0051730D" w:rsidP="0051730D">
      <w:pPr>
        <w:pStyle w:val="Tekstpodstawowy"/>
        <w:spacing w:after="0"/>
        <w:ind w:left="1134" w:hanging="1134"/>
        <w:jc w:val="both"/>
        <w:rPr>
          <w:rFonts w:ascii="Verdana" w:hAnsi="Verdana" w:cs="Arial"/>
        </w:rPr>
      </w:pPr>
      <w:r w:rsidRPr="005E29E2">
        <w:rPr>
          <w:rFonts w:ascii="Verdana" w:hAnsi="Verdana" w:cs="Arial"/>
        </w:rPr>
        <w:t>Tablica 7a. Wymagane właściwości kruszywa o ciągłym uziarnieniu do warstwy podbudowy z betonu asfaltowego</w:t>
      </w:r>
    </w:p>
    <w:tbl>
      <w:tblPr>
        <w:tblW w:w="9639" w:type="dxa"/>
        <w:tblInd w:w="108" w:type="dxa"/>
        <w:tblLayout w:type="fixed"/>
        <w:tblLook w:val="01E0" w:firstRow="1" w:lastRow="1" w:firstColumn="1" w:lastColumn="1" w:noHBand="0" w:noVBand="0"/>
      </w:tblPr>
      <w:tblGrid>
        <w:gridCol w:w="6663"/>
        <w:gridCol w:w="2976"/>
      </w:tblGrid>
      <w:tr w:rsidR="0051730D" w:rsidRPr="005E29E2" w:rsidTr="0051730D">
        <w:trPr>
          <w:cantSplit/>
          <w:trHeight w:val="594"/>
        </w:trPr>
        <w:tc>
          <w:tcPr>
            <w:tcW w:w="6663" w:type="dxa"/>
            <w:vMerge w:val="restart"/>
            <w:tcBorders>
              <w:top w:val="single" w:sz="4" w:space="0" w:color="auto"/>
              <w:left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Właściwości kruszywa</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Wymagania w zależności od kategorii ruchu</w:t>
            </w:r>
          </w:p>
        </w:tc>
      </w:tr>
      <w:tr w:rsidR="0051730D" w:rsidRPr="005E29E2" w:rsidTr="0051730D">
        <w:trPr>
          <w:cantSplit/>
          <w:trHeight w:val="418"/>
        </w:trPr>
        <w:tc>
          <w:tcPr>
            <w:tcW w:w="6663" w:type="dxa"/>
            <w:vMerge/>
            <w:tcBorders>
              <w:left w:val="single" w:sz="4" w:space="0" w:color="auto"/>
              <w:bottom w:val="single" w:sz="4" w:space="0" w:color="auto"/>
              <w:right w:val="single" w:sz="4" w:space="0" w:color="auto"/>
            </w:tcBorders>
          </w:tcPr>
          <w:p w:rsidR="0051730D" w:rsidRPr="005E29E2" w:rsidRDefault="0051730D" w:rsidP="0051730D">
            <w:pPr>
              <w:spacing w:after="40"/>
              <w:rPr>
                <w:rFonts w:ascii="Verdana" w:hAnsi="Verdana" w:cs="Arial"/>
              </w:rPr>
            </w:pP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KR 3÷4</w:t>
            </w:r>
          </w:p>
        </w:tc>
      </w:tr>
      <w:tr w:rsidR="0051730D" w:rsidRPr="005E29E2" w:rsidTr="0051730D">
        <w:trPr>
          <w:trHeight w:val="44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Uziarnienie według PN-EN 933-1, kategoria nie niższa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G</w:t>
            </w:r>
            <w:r w:rsidRPr="005E29E2">
              <w:rPr>
                <w:rFonts w:ascii="Verdana" w:hAnsi="Verdana" w:cs="Arial"/>
                <w:vertAlign w:val="subscript"/>
              </w:rPr>
              <w:t>A</w:t>
            </w:r>
            <w:r w:rsidRPr="005E29E2">
              <w:rPr>
                <w:rFonts w:ascii="Verdana" w:hAnsi="Verdana" w:cs="Arial"/>
              </w:rPr>
              <w:t>85</w:t>
            </w:r>
          </w:p>
        </w:tc>
      </w:tr>
      <w:tr w:rsidR="0051730D" w:rsidRPr="005E29E2" w:rsidTr="0051730D">
        <w:trPr>
          <w:trHeight w:val="417"/>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Zawartość pyłów według PN-EN 933-1,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f</w:t>
            </w:r>
            <w:r w:rsidRPr="005E29E2">
              <w:rPr>
                <w:rFonts w:ascii="Verdana" w:hAnsi="Verdana" w:cs="Arial"/>
                <w:vertAlign w:val="subscript"/>
              </w:rPr>
              <w:t>16</w:t>
            </w:r>
          </w:p>
        </w:tc>
      </w:tr>
      <w:tr w:rsidR="0051730D" w:rsidRPr="005E29E2" w:rsidTr="0051730D">
        <w:trPr>
          <w:trHeight w:val="424"/>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Jakość pyłów według PN-EN 933-9;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MB</w:t>
            </w:r>
            <w:r w:rsidRPr="005E29E2">
              <w:rPr>
                <w:rFonts w:ascii="Verdana" w:hAnsi="Verdana" w:cs="Arial"/>
                <w:vertAlign w:val="subscript"/>
              </w:rPr>
              <w:t>F</w:t>
            </w:r>
            <w:r w:rsidRPr="005E29E2">
              <w:rPr>
                <w:rFonts w:ascii="Verdana" w:hAnsi="Verdana" w:cs="Arial"/>
              </w:rPr>
              <w:t>10</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Kształt kruszywa według PN-EN 933-3 lub wg PN-EN 933-4,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FI</w:t>
            </w:r>
            <w:r w:rsidRPr="005E29E2">
              <w:rPr>
                <w:rFonts w:ascii="Verdana" w:hAnsi="Verdana" w:cs="Arial"/>
                <w:vertAlign w:val="subscript"/>
              </w:rPr>
              <w:t xml:space="preserve">30                                                                </w:t>
            </w:r>
            <w:r w:rsidRPr="005E29E2">
              <w:rPr>
                <w:rFonts w:ascii="Verdana" w:hAnsi="Verdana" w:cs="Arial"/>
              </w:rPr>
              <w:t>lub</w:t>
            </w:r>
            <w:r w:rsidRPr="005E29E2">
              <w:rPr>
                <w:rFonts w:ascii="Verdana" w:hAnsi="Verdana" w:cs="Arial"/>
                <w:i/>
              </w:rPr>
              <w:t xml:space="preserve"> SI</w:t>
            </w:r>
            <w:r w:rsidRPr="005E29E2">
              <w:rPr>
                <w:rFonts w:ascii="Verdana" w:hAnsi="Verdana" w:cs="Arial"/>
                <w:vertAlign w:val="subscript"/>
              </w:rPr>
              <w:t>30</w:t>
            </w:r>
          </w:p>
        </w:tc>
      </w:tr>
      <w:tr w:rsidR="0051730D" w:rsidRPr="005E29E2" w:rsidTr="0051730D">
        <w:trPr>
          <w:trHeight w:val="466"/>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 xml:space="preserve">Procentowa zawartość ziaren o powierzchni </w:t>
            </w:r>
            <w:proofErr w:type="spellStart"/>
            <w:r w:rsidRPr="005E29E2">
              <w:rPr>
                <w:rFonts w:ascii="Verdana" w:hAnsi="Verdana" w:cs="Arial"/>
              </w:rPr>
              <w:t>przekruszonej</w:t>
            </w:r>
            <w:proofErr w:type="spellEnd"/>
            <w:r w:rsidRPr="005E29E2">
              <w:rPr>
                <w:rFonts w:ascii="Verdana" w:hAnsi="Verdana" w:cs="Arial"/>
              </w:rPr>
              <w:t xml:space="preserve"> i łamanej według PN-EN 933-5; kategoria nie niższa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C</w:t>
            </w:r>
            <w:r w:rsidRPr="005E29E2">
              <w:rPr>
                <w:rFonts w:ascii="Verdana" w:hAnsi="Verdana" w:cs="Arial"/>
                <w:vertAlign w:val="subscript"/>
              </w:rPr>
              <w:t>50/30</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Odporność kruszywa na rozdrabnianie według PN-EN 1097-2, rozdział 5; badana na kruszywie o wymiarze 10/14,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LA</w:t>
            </w:r>
            <w:r w:rsidRPr="005E29E2">
              <w:rPr>
                <w:rFonts w:ascii="Verdana" w:hAnsi="Verdana" w:cs="Arial"/>
                <w:vertAlign w:val="subscript"/>
              </w:rPr>
              <w:t>40</w:t>
            </w:r>
          </w:p>
        </w:tc>
      </w:tr>
      <w:tr w:rsidR="0051730D" w:rsidRPr="005E29E2" w:rsidTr="0051730D">
        <w:trPr>
          <w:trHeight w:val="45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Gęstość ziaren według PN-EN 1097-6, rozdz. 7, 8 lub 9:</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deklarowana przez producenta</w:t>
            </w:r>
          </w:p>
        </w:tc>
      </w:tr>
      <w:tr w:rsidR="0051730D" w:rsidRPr="005E29E2" w:rsidTr="0051730D">
        <w:trPr>
          <w:trHeight w:val="428"/>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Nasiąkliwość według PN-EN 1097-6, rozdz. 7, 8 lub 9:</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rPr>
              <w:t>deklarowana przez producenta</w:t>
            </w:r>
          </w:p>
        </w:tc>
      </w:tr>
      <w:tr w:rsidR="0051730D" w:rsidRPr="005E29E2" w:rsidTr="0051730D">
        <w:trPr>
          <w:trHeight w:val="42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Gęstość nasypowa według PN-EN 1097-3:</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deklarowana przez producenta</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Mrozoodporność według PN-EN 1367-1 badana na kruszywie o wymiarze 8/11, 11/16 lub 8/16,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F</w:t>
            </w:r>
            <w:r w:rsidRPr="005E29E2">
              <w:rPr>
                <w:rFonts w:ascii="Verdana" w:hAnsi="Verdana" w:cs="Arial"/>
                <w:vertAlign w:val="subscript"/>
              </w:rPr>
              <w:t>4</w:t>
            </w:r>
          </w:p>
        </w:tc>
      </w:tr>
      <w:tr w:rsidR="0051730D" w:rsidRPr="005E29E2" w:rsidTr="0051730D">
        <w:trPr>
          <w:trHeight w:val="462"/>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„Zgorzel słoneczna” bazaltu według PN-EN 1367-3, kategoria:</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SB</w:t>
            </w:r>
            <w:r w:rsidRPr="005E29E2">
              <w:rPr>
                <w:rFonts w:ascii="Verdana" w:hAnsi="Verdana" w:cs="Arial"/>
                <w:vertAlign w:val="subscript"/>
              </w:rPr>
              <w:t>LA</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Kanciastość kruszywa drobnego lub kruszywa 0/2 wydzielonego z kruszywa o ciągłym uziarnieniu według PN-EN 933-6, rozdz. 8; kategoria nie niższa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E</w:t>
            </w:r>
            <w:r w:rsidRPr="005E29E2">
              <w:rPr>
                <w:rFonts w:ascii="Verdana" w:hAnsi="Verdana" w:cs="Arial"/>
                <w:vertAlign w:val="subscript"/>
              </w:rPr>
              <w:t>cs</w:t>
            </w:r>
            <w:r w:rsidRPr="005E29E2">
              <w:rPr>
                <w:rFonts w:ascii="Verdana" w:hAnsi="Verdana" w:cs="Arial"/>
              </w:rPr>
              <w:t>30</w:t>
            </w:r>
          </w:p>
        </w:tc>
      </w:tr>
      <w:tr w:rsidR="0051730D" w:rsidRPr="005E29E2" w:rsidTr="0051730D">
        <w:trPr>
          <w:trHeight w:val="380"/>
        </w:trPr>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Skład chemiczny - uproszczony opis petrograficzny według PN-EN 932-3:</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deklarowany przez producenta</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Grube zanieczyszczenia lekkie, według PN-EN 1744-1 p.14.2;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m</w:t>
            </w:r>
            <w:r w:rsidRPr="005E29E2">
              <w:rPr>
                <w:rFonts w:ascii="Verdana" w:hAnsi="Verdana" w:cs="Arial"/>
                <w:vertAlign w:val="subscript"/>
              </w:rPr>
              <w:t>LPC</w:t>
            </w:r>
            <w:r w:rsidRPr="005E29E2">
              <w:rPr>
                <w:rFonts w:ascii="Verdana" w:hAnsi="Verdana" w:cs="Arial"/>
              </w:rPr>
              <w:t>0,1</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Rozpad krzemianu dwuwapniowego w kruszywie z żużla wielkopiecowego chłodzonego powietrzem według PN-EN 1744-1 p.19.1:</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wymagana odporność</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Rozpad związków żelaza w kruszywie z żużla wielkopiecowego chłodzonego powietrzem według PN-EN 1744-1 p. 19.2:</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rPr>
            </w:pPr>
            <w:r w:rsidRPr="005E29E2">
              <w:rPr>
                <w:rFonts w:ascii="Verdana" w:hAnsi="Verdana" w:cs="Arial"/>
              </w:rPr>
              <w:t>wymagana odporność</w:t>
            </w:r>
          </w:p>
        </w:tc>
      </w:tr>
      <w:tr w:rsidR="0051730D" w:rsidRPr="005E29E2" w:rsidTr="0051730D">
        <w:tc>
          <w:tcPr>
            <w:tcW w:w="6663"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rPr>
                <w:rFonts w:ascii="Verdana" w:hAnsi="Verdana" w:cs="Arial"/>
              </w:rPr>
            </w:pPr>
            <w:r w:rsidRPr="005E29E2">
              <w:rPr>
                <w:rFonts w:ascii="Verdana" w:hAnsi="Verdana" w:cs="Arial"/>
              </w:rPr>
              <w:t>Stałość objętości kruszywa z żużla stalowniczego według PN-EN 1744-1 p. 19.3;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51730D" w:rsidRPr="005E29E2" w:rsidRDefault="0051730D" w:rsidP="0051730D">
            <w:pPr>
              <w:spacing w:after="40"/>
              <w:jc w:val="center"/>
              <w:rPr>
                <w:rFonts w:ascii="Verdana" w:hAnsi="Verdana" w:cs="Arial"/>
                <w:i/>
              </w:rPr>
            </w:pPr>
            <w:r w:rsidRPr="005E29E2">
              <w:rPr>
                <w:rFonts w:ascii="Verdana" w:hAnsi="Verdana" w:cs="Arial"/>
                <w:i/>
              </w:rPr>
              <w:t>V</w:t>
            </w:r>
            <w:r w:rsidRPr="005E29E2">
              <w:rPr>
                <w:rFonts w:ascii="Verdana" w:hAnsi="Verdana" w:cs="Arial"/>
                <w:vertAlign w:val="subscript"/>
              </w:rPr>
              <w:t>6,5</w:t>
            </w:r>
          </w:p>
        </w:tc>
      </w:tr>
    </w:tbl>
    <w:p w:rsidR="0051730D" w:rsidRDefault="0051730D" w:rsidP="0051730D">
      <w:pPr>
        <w:jc w:val="both"/>
        <w:rPr>
          <w:rFonts w:ascii="Verdana" w:hAnsi="Verdana"/>
          <w:b/>
          <w:spacing w:val="-3"/>
          <w:u w:val="single"/>
        </w:rPr>
      </w:pPr>
    </w:p>
    <w:p w:rsidR="0051730D" w:rsidRPr="00C30900" w:rsidRDefault="0051730D" w:rsidP="0051730D">
      <w:pPr>
        <w:jc w:val="both"/>
        <w:rPr>
          <w:rStyle w:val="FontStyle43"/>
        </w:rPr>
      </w:pPr>
      <w:r w:rsidRPr="00C30900">
        <w:rPr>
          <w:rFonts w:ascii="Verdana" w:hAnsi="Verdana"/>
          <w:spacing w:val="-3"/>
          <w:u w:val="single"/>
        </w:rPr>
        <w:t>Uwaga!</w:t>
      </w:r>
      <w:r w:rsidRPr="00C30900">
        <w:rPr>
          <w:rFonts w:ascii="Verdana" w:hAnsi="Verdana"/>
          <w:spacing w:val="-3"/>
        </w:rPr>
        <w:t xml:space="preserve"> </w:t>
      </w:r>
      <w:r w:rsidRPr="00C30900">
        <w:rPr>
          <w:rStyle w:val="FontStyle43"/>
        </w:rPr>
        <w:t xml:space="preserve">Jeżeli będą stosowane kruszywa z osadowych skał węglanowych, to należy ograniczyć ich udział do 20% w mieszance, za pisemną zgodą Zamawiającego. </w:t>
      </w:r>
    </w:p>
    <w:p w:rsidR="0051730D" w:rsidRDefault="0051730D" w:rsidP="0051730D">
      <w:pPr>
        <w:jc w:val="both"/>
        <w:rPr>
          <w:rFonts w:ascii="Verdana" w:hAnsi="Verdana" w:cs="Arial"/>
        </w:rPr>
      </w:pPr>
    </w:p>
    <w:p w:rsidR="0051730D" w:rsidRPr="00FC5B0B" w:rsidRDefault="0051730D" w:rsidP="0051730D">
      <w:pPr>
        <w:ind w:left="993" w:hanging="993"/>
        <w:jc w:val="both"/>
        <w:rPr>
          <w:rFonts w:ascii="Verdana" w:hAnsi="Verdana" w:cs="Arial"/>
        </w:rPr>
      </w:pPr>
      <w:r w:rsidRPr="00FC5B0B">
        <w:rPr>
          <w:rFonts w:ascii="Verdana" w:hAnsi="Verdana" w:cs="Arial"/>
        </w:rPr>
        <w:t>Tabela 8. Wymagane właściwości wypełniacza</w:t>
      </w:r>
      <w:r w:rsidRPr="00FC5B0B">
        <w:rPr>
          <w:rFonts w:ascii="Verdana" w:hAnsi="Verdana" w:cs="Arial"/>
          <w:vertAlign w:val="superscript"/>
        </w:rPr>
        <w:t>*)</w:t>
      </w:r>
      <w:r w:rsidRPr="00FC5B0B">
        <w:rPr>
          <w:rFonts w:ascii="Verdana" w:hAnsi="Verdana" w:cs="Arial"/>
        </w:rPr>
        <w:t xml:space="preserve"> do warstwy </w:t>
      </w:r>
      <w:r>
        <w:rPr>
          <w:rFonts w:ascii="Verdana" w:hAnsi="Verdana" w:cs="Arial"/>
        </w:rPr>
        <w:t>podbudowy</w:t>
      </w:r>
      <w:r w:rsidRPr="00FC5B0B">
        <w:rPr>
          <w:rFonts w:ascii="Verdana" w:hAnsi="Verdana" w:cs="Arial"/>
        </w:rPr>
        <w:t xml:space="preserve"> z betonu asfaltowego </w:t>
      </w:r>
    </w:p>
    <w:tbl>
      <w:tblPr>
        <w:tblW w:w="9639" w:type="dxa"/>
        <w:tblInd w:w="6" w:type="dxa"/>
        <w:tblLayout w:type="fixed"/>
        <w:tblCellMar>
          <w:left w:w="0" w:type="dxa"/>
          <w:right w:w="0" w:type="dxa"/>
        </w:tblCellMar>
        <w:tblLook w:val="0000" w:firstRow="0" w:lastRow="0" w:firstColumn="0" w:lastColumn="0" w:noHBand="0" w:noVBand="0"/>
      </w:tblPr>
      <w:tblGrid>
        <w:gridCol w:w="6520"/>
        <w:gridCol w:w="3119"/>
      </w:tblGrid>
      <w:tr w:rsidR="0051730D" w:rsidRPr="009040B8" w:rsidTr="0051730D">
        <w:trPr>
          <w:trHeight w:val="340"/>
        </w:trPr>
        <w:tc>
          <w:tcPr>
            <w:tcW w:w="6520" w:type="dxa"/>
            <w:vMerge w:val="restart"/>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Właściwości wypełniacza</w:t>
            </w:r>
          </w:p>
        </w:tc>
        <w:tc>
          <w:tcPr>
            <w:tcW w:w="3119"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Wymagania w zależności                          od kategorii ruchu</w:t>
            </w:r>
          </w:p>
        </w:tc>
      </w:tr>
      <w:tr w:rsidR="0051730D" w:rsidRPr="009040B8" w:rsidTr="0051730D">
        <w:trPr>
          <w:trHeight w:val="340"/>
        </w:trPr>
        <w:tc>
          <w:tcPr>
            <w:tcW w:w="6520" w:type="dxa"/>
            <w:vMerge/>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p>
        </w:tc>
        <w:tc>
          <w:tcPr>
            <w:tcW w:w="3119"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r>
      <w:tr w:rsidR="0051730D" w:rsidRPr="009040B8" w:rsidTr="0051730D">
        <w:trPr>
          <w:trHeight w:val="340"/>
        </w:trPr>
        <w:tc>
          <w:tcPr>
            <w:tcW w:w="6520"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Uziarnienie według PN-EN 933-10:</w:t>
            </w:r>
          </w:p>
        </w:tc>
        <w:tc>
          <w:tcPr>
            <w:tcW w:w="3119" w:type="dxa"/>
            <w:tcBorders>
              <w:top w:val="single" w:sz="4" w:space="0" w:color="auto"/>
              <w:left w:val="single" w:sz="4" w:space="0" w:color="auto"/>
              <w:bottom w:val="single" w:sz="4" w:space="0" w:color="auto"/>
              <w:right w:val="single" w:sz="4" w:space="0" w:color="auto"/>
            </w:tcBorders>
            <w:vAlign w:val="center"/>
          </w:tcPr>
          <w:p w:rsidR="0051730D" w:rsidRPr="009040B8" w:rsidRDefault="0051730D" w:rsidP="0051730D">
            <w:pPr>
              <w:widowControl w:val="0"/>
              <w:tabs>
                <w:tab w:val="left" w:pos="2976"/>
              </w:tabs>
              <w:autoSpaceDE w:val="0"/>
              <w:autoSpaceDN w:val="0"/>
              <w:jc w:val="center"/>
              <w:rPr>
                <w:rFonts w:ascii="Verdana" w:hAnsi="Verdana" w:cs="Arial"/>
              </w:rPr>
            </w:pPr>
            <w:r w:rsidRPr="009040B8">
              <w:rPr>
                <w:rFonts w:ascii="Verdana" w:hAnsi="Verdana" w:cs="Arial"/>
              </w:rPr>
              <w:t xml:space="preserve">zgodne z tablicą 24 </w:t>
            </w:r>
            <w:r w:rsidRPr="009040B8">
              <w:rPr>
                <w:rFonts w:ascii="Verdana" w:hAnsi="Verdana" w:cs="Arial"/>
              </w:rPr>
              <w:br/>
              <w:t>w PN-EN 13043</w:t>
            </w:r>
          </w:p>
        </w:tc>
      </w:tr>
      <w:tr w:rsidR="0051730D" w:rsidRPr="009040B8" w:rsidTr="0051730D">
        <w:trPr>
          <w:trHeight w:val="340"/>
        </w:trPr>
        <w:tc>
          <w:tcPr>
            <w:tcW w:w="6520" w:type="dxa"/>
            <w:tcBorders>
              <w:top w:val="single" w:sz="4"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lastRenderedPageBreak/>
              <w:t>Jakość pyłów według PN-EN 933-9, kategoria nie wyższa niż:</w:t>
            </w:r>
          </w:p>
        </w:tc>
        <w:tc>
          <w:tcPr>
            <w:tcW w:w="3119" w:type="dxa"/>
            <w:tcBorders>
              <w:top w:val="single" w:sz="4"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i/>
                <w:iCs/>
                <w:spacing w:val="2"/>
              </w:rPr>
            </w:pPr>
            <w:r w:rsidRPr="009040B8">
              <w:rPr>
                <w:rFonts w:ascii="Verdana" w:hAnsi="Verdana" w:cs="Arial"/>
                <w:i/>
                <w:iCs/>
                <w:spacing w:val="2"/>
              </w:rPr>
              <w:t>MB</w:t>
            </w:r>
            <w:r w:rsidRPr="00FC5B0B">
              <w:rPr>
                <w:rFonts w:ascii="Verdana" w:hAnsi="Verdana" w:cs="Arial"/>
                <w:iCs/>
                <w:spacing w:val="2"/>
                <w:vertAlign w:val="subscript"/>
              </w:rPr>
              <w:t>F</w:t>
            </w:r>
            <w:r w:rsidRPr="00FC5B0B">
              <w:rPr>
                <w:rFonts w:ascii="Verdana" w:hAnsi="Verdana" w:cs="Arial"/>
                <w:iCs/>
                <w:spacing w:val="2"/>
              </w:rPr>
              <w:t>10</w:t>
            </w:r>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Zawartość wody według PN-EN 1097-5, nie wyższa niż</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9040B8">
              <w:rPr>
                <w:rFonts w:ascii="Verdana" w:hAnsi="Verdana" w:cs="Arial"/>
              </w:rPr>
              <w:t>1 % (m/m)</w:t>
            </w:r>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Gęstość ziaren według PN-EN 1097-7</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Pr>
                <w:rFonts w:ascii="Verdana" w:hAnsi="Verdana" w:cs="Arial"/>
              </w:rPr>
              <w:t xml:space="preserve">deklarowana prze </w:t>
            </w:r>
            <w:r w:rsidRPr="009040B8">
              <w:rPr>
                <w:rFonts w:ascii="Verdana" w:hAnsi="Verdana" w:cs="Arial"/>
              </w:rPr>
              <w:t>producenta</w:t>
            </w:r>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 xml:space="preserve">Wolne przestrzenie w suchym </w:t>
            </w:r>
            <w:r>
              <w:rPr>
                <w:rFonts w:ascii="Verdana" w:hAnsi="Verdana" w:cs="Arial"/>
              </w:rPr>
              <w:t xml:space="preserve">zagęszczonym wypełniaczu według </w:t>
            </w:r>
            <w:r w:rsidRPr="009040B8">
              <w:rPr>
                <w:rFonts w:ascii="Verdana" w:hAnsi="Verdana" w:cs="Arial"/>
              </w:rPr>
              <w:t>PN-EN 1097-4, 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spacing w:val="4"/>
              </w:rPr>
            </w:pPr>
            <w:r w:rsidRPr="00FC5B0B">
              <w:rPr>
                <w:rFonts w:ascii="Verdana" w:hAnsi="Verdana" w:cs="Arial"/>
                <w:i/>
                <w:spacing w:val="4"/>
              </w:rPr>
              <w:t>V</w:t>
            </w:r>
            <w:r w:rsidRPr="009040B8">
              <w:rPr>
                <w:rFonts w:ascii="Verdana" w:hAnsi="Verdana" w:cs="Arial"/>
                <w:spacing w:val="4"/>
                <w:vertAlign w:val="subscript"/>
              </w:rPr>
              <w:t>28/45</w:t>
            </w:r>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Przyrost temperatury mięknienia według PN-EN 13179-1, 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FC5B0B">
              <w:rPr>
                <w:rFonts w:ascii="Verdana" w:hAnsi="Verdana" w:cs="Arial"/>
                <w:i/>
              </w:rPr>
              <w:t>Δ</w:t>
            </w:r>
            <w:r w:rsidRPr="00FC5B0B">
              <w:rPr>
                <w:rFonts w:ascii="Verdana" w:hAnsi="Verdana" w:cs="Arial"/>
                <w:vertAlign w:val="subscript"/>
              </w:rPr>
              <w:t>R&amp;B</w:t>
            </w:r>
            <w:r w:rsidRPr="009040B8">
              <w:rPr>
                <w:rFonts w:ascii="Verdana" w:hAnsi="Verdana" w:cs="Arial"/>
              </w:rPr>
              <w:t>8/25</w:t>
            </w:r>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 xml:space="preserve">Rozpuszczalność w wodzie według PN-EN 1744-1, </w:t>
            </w:r>
            <w:r>
              <w:rPr>
                <w:rFonts w:ascii="Verdana" w:hAnsi="Verdana" w:cs="Arial"/>
              </w:rPr>
              <w:t xml:space="preserve">                       </w:t>
            </w:r>
            <w:r w:rsidRPr="009040B8">
              <w:rPr>
                <w:rFonts w:ascii="Verdana" w:hAnsi="Verdana" w:cs="Arial"/>
              </w:rPr>
              <w:t>kategoria nie wyższa niż:</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rPr>
            </w:pPr>
            <w:r w:rsidRPr="00FC5B0B">
              <w:rPr>
                <w:rFonts w:ascii="Verdana" w:hAnsi="Verdana" w:cs="Arial"/>
                <w:i/>
              </w:rPr>
              <w:t>WS</w:t>
            </w:r>
            <w:r w:rsidRPr="009040B8">
              <w:rPr>
                <w:rFonts w:ascii="Verdana" w:hAnsi="Verdana" w:cs="Arial"/>
                <w:vertAlign w:val="subscript"/>
              </w:rPr>
              <w:t>10</w:t>
            </w:r>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Zawartość CaCO</w:t>
            </w:r>
            <w:r w:rsidRPr="009040B8">
              <w:rPr>
                <w:rFonts w:ascii="Verdana" w:hAnsi="Verdana" w:cs="Arial"/>
                <w:vertAlign w:val="subscript"/>
              </w:rPr>
              <w:t>3</w:t>
            </w:r>
            <w:r w:rsidRPr="009040B8">
              <w:rPr>
                <w:rFonts w:ascii="Verdana" w:hAnsi="Verdana" w:cs="Arial"/>
              </w:rPr>
              <w:t xml:space="preserve"> w wypełniaczu wapiennym według PN-EN 196-2, kategoria nie niższa niż:</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spacing w:val="4"/>
              </w:rPr>
            </w:pPr>
            <w:r w:rsidRPr="009040B8">
              <w:rPr>
                <w:rFonts w:ascii="Verdana" w:hAnsi="Verdana" w:cs="Arial"/>
                <w:i/>
                <w:iCs/>
                <w:spacing w:val="2"/>
              </w:rPr>
              <w:t>CC</w:t>
            </w:r>
            <w:r w:rsidRPr="009040B8">
              <w:rPr>
                <w:rFonts w:ascii="Verdana" w:hAnsi="Verdana" w:cs="Arial"/>
                <w:iCs/>
                <w:spacing w:val="2"/>
                <w:vertAlign w:val="subscript"/>
              </w:rPr>
              <w:t>70</w:t>
            </w:r>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Zawartość wodorotlenku wapnia w wypełniaczu mieszanym, 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spacing w:val="4"/>
              </w:rPr>
            </w:pPr>
            <w:proofErr w:type="spellStart"/>
            <w:r w:rsidRPr="009040B8">
              <w:rPr>
                <w:rFonts w:ascii="Verdana" w:hAnsi="Verdana" w:cs="Arial"/>
                <w:i/>
                <w:iCs/>
                <w:spacing w:val="2"/>
              </w:rPr>
              <w:t>K</w:t>
            </w:r>
            <w:r w:rsidRPr="00FC5B0B">
              <w:rPr>
                <w:rFonts w:ascii="Verdana" w:hAnsi="Verdana" w:cs="Arial"/>
                <w:spacing w:val="4"/>
              </w:rPr>
              <w:t>a</w:t>
            </w:r>
            <w:r w:rsidRPr="005E29E2">
              <w:rPr>
                <w:rFonts w:ascii="Verdana" w:hAnsi="Verdana" w:cs="Arial"/>
                <w:spacing w:val="4"/>
                <w:vertAlign w:val="subscript"/>
              </w:rPr>
              <w:t>Deklarowana</w:t>
            </w:r>
            <w:proofErr w:type="spellEnd"/>
          </w:p>
        </w:tc>
      </w:tr>
      <w:tr w:rsidR="0051730D" w:rsidRPr="009040B8" w:rsidTr="0051730D">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ind w:left="119"/>
              <w:rPr>
                <w:rFonts w:ascii="Verdana" w:hAnsi="Verdana" w:cs="Arial"/>
              </w:rPr>
            </w:pPr>
            <w:r w:rsidRPr="009040B8">
              <w:rPr>
                <w:rFonts w:ascii="Verdana" w:hAnsi="Verdana" w:cs="Arial"/>
              </w:rPr>
              <w:t xml:space="preserve">„Liczba asfaltowa" według PN-EN 13179-2, </w:t>
            </w:r>
            <w:r>
              <w:rPr>
                <w:rFonts w:ascii="Verdana" w:hAnsi="Verdana" w:cs="Arial"/>
              </w:rPr>
              <w:t xml:space="preserve">                              </w:t>
            </w:r>
            <w:r w:rsidRPr="009040B8">
              <w:rPr>
                <w:rFonts w:ascii="Verdana" w:hAnsi="Verdana" w:cs="Arial"/>
              </w:rPr>
              <w:t>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51730D" w:rsidRPr="009040B8" w:rsidRDefault="0051730D" w:rsidP="0051730D">
            <w:pPr>
              <w:widowControl w:val="0"/>
              <w:autoSpaceDE w:val="0"/>
              <w:autoSpaceDN w:val="0"/>
              <w:jc w:val="center"/>
              <w:rPr>
                <w:rFonts w:ascii="Verdana" w:hAnsi="Verdana" w:cs="Arial"/>
                <w:spacing w:val="4"/>
              </w:rPr>
            </w:pPr>
            <w:proofErr w:type="spellStart"/>
            <w:r w:rsidRPr="00FC5B0B">
              <w:rPr>
                <w:rFonts w:ascii="Verdana" w:hAnsi="Verdana" w:cs="Arial"/>
                <w:i/>
                <w:spacing w:val="4"/>
              </w:rPr>
              <w:t>BN</w:t>
            </w:r>
            <w:r w:rsidRPr="009040B8">
              <w:rPr>
                <w:rFonts w:ascii="Verdana" w:hAnsi="Verdana" w:cs="Arial"/>
                <w:spacing w:val="4"/>
                <w:vertAlign w:val="subscript"/>
              </w:rPr>
              <w:t>Deklarowana</w:t>
            </w:r>
            <w:proofErr w:type="spellEnd"/>
          </w:p>
        </w:tc>
      </w:tr>
      <w:tr w:rsidR="0051730D" w:rsidRPr="009040B8" w:rsidTr="0051730D">
        <w:trPr>
          <w:trHeight w:val="340"/>
        </w:trPr>
        <w:tc>
          <w:tcPr>
            <w:tcW w:w="9639" w:type="dxa"/>
            <w:gridSpan w:val="2"/>
            <w:tcBorders>
              <w:top w:val="single" w:sz="5" w:space="0" w:color="auto"/>
              <w:left w:val="single" w:sz="5" w:space="0" w:color="auto"/>
              <w:bottom w:val="single" w:sz="5" w:space="0" w:color="auto"/>
              <w:right w:val="single" w:sz="5" w:space="0" w:color="auto"/>
            </w:tcBorders>
            <w:vAlign w:val="center"/>
          </w:tcPr>
          <w:p w:rsidR="0051730D" w:rsidRPr="00FC5B0B" w:rsidRDefault="0051730D" w:rsidP="0051730D">
            <w:pPr>
              <w:widowControl w:val="0"/>
              <w:autoSpaceDE w:val="0"/>
              <w:autoSpaceDN w:val="0"/>
              <w:ind w:left="425" w:hanging="284"/>
              <w:rPr>
                <w:rFonts w:ascii="Verdana" w:hAnsi="Verdana" w:cs="Arial"/>
                <w:spacing w:val="4"/>
              </w:rPr>
            </w:pPr>
            <w:r>
              <w:rPr>
                <w:rFonts w:ascii="Verdana" w:hAnsi="Verdana" w:cs="Arial"/>
                <w:spacing w:val="4"/>
                <w:vertAlign w:val="superscript"/>
              </w:rPr>
              <w:t>*)</w:t>
            </w:r>
            <w:r>
              <w:rPr>
                <w:rFonts w:ascii="Verdana" w:hAnsi="Verdana" w:cs="Arial"/>
                <w:spacing w:val="4"/>
              </w:rPr>
              <w:t xml:space="preserve">  Można stosować pyły z odpylania, pod warunkiem spełnienia wymagań jak dla wypełniacza zgodnie z p. 5 PN-EN 13043. Proporcja pyłów i wypełniacza wapiennego powinna być tak dobrana, aby kategoria zawartości CaCO</w:t>
            </w:r>
            <w:r>
              <w:rPr>
                <w:rFonts w:ascii="Verdana" w:hAnsi="Verdana" w:cs="Arial"/>
                <w:spacing w:val="4"/>
                <w:vertAlign w:val="subscript"/>
              </w:rPr>
              <w:t>3</w:t>
            </w:r>
            <w:r>
              <w:rPr>
                <w:rFonts w:ascii="Verdana" w:hAnsi="Verdana" w:cs="Arial"/>
                <w:spacing w:val="4"/>
              </w:rPr>
              <w:t xml:space="preserve"> w mieszance pyłów i wypełniacza wapiennego była nie niższa niż </w:t>
            </w:r>
            <w:r w:rsidRPr="00576CA5">
              <w:rPr>
                <w:rFonts w:ascii="Verdana" w:hAnsi="Verdana" w:cs="Arial"/>
                <w:i/>
                <w:spacing w:val="4"/>
              </w:rPr>
              <w:t>CC</w:t>
            </w:r>
            <w:r>
              <w:rPr>
                <w:rFonts w:ascii="Verdana" w:hAnsi="Verdana" w:cs="Arial"/>
                <w:spacing w:val="4"/>
                <w:vertAlign w:val="subscript"/>
              </w:rPr>
              <w:t>70</w:t>
            </w:r>
            <w:r>
              <w:rPr>
                <w:rFonts w:ascii="Verdana" w:hAnsi="Verdana" w:cs="Arial"/>
                <w:spacing w:val="4"/>
              </w:rPr>
              <w:t xml:space="preserve">. </w:t>
            </w:r>
          </w:p>
        </w:tc>
      </w:tr>
    </w:tbl>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rPr>
      </w:pPr>
      <w:r w:rsidRPr="009040B8">
        <w:rPr>
          <w:rFonts w:ascii="Verdana" w:hAnsi="Verdana" w:cs="Aria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51730D" w:rsidRPr="009040B8" w:rsidRDefault="0051730D" w:rsidP="0051730D">
      <w:pPr>
        <w:jc w:val="both"/>
        <w:rPr>
          <w:rFonts w:ascii="Verdana" w:hAnsi="Verdana" w:cs="Arial"/>
        </w:rPr>
      </w:pPr>
    </w:p>
    <w:p w:rsidR="0051730D" w:rsidRPr="009040B8" w:rsidRDefault="0051730D" w:rsidP="0051730D">
      <w:pPr>
        <w:keepNext/>
        <w:jc w:val="both"/>
        <w:outlineLvl w:val="1"/>
        <w:rPr>
          <w:rFonts w:ascii="Verdana" w:hAnsi="Verdana" w:cs="Arial"/>
          <w:b/>
          <w:bCs/>
          <w:iCs/>
        </w:rPr>
      </w:pPr>
      <w:bookmarkStart w:id="226" w:name="_Toc316558776"/>
      <w:r w:rsidRPr="009040B8">
        <w:rPr>
          <w:rFonts w:ascii="Verdana" w:hAnsi="Verdana" w:cs="Arial"/>
          <w:b/>
          <w:bCs/>
          <w:iCs/>
        </w:rPr>
        <w:t>2.4. Środek adhezyjny</w:t>
      </w:r>
      <w:bookmarkEnd w:id="226"/>
    </w:p>
    <w:p w:rsidR="0051730D" w:rsidRPr="009040B8" w:rsidRDefault="0051730D" w:rsidP="0051730D">
      <w:pPr>
        <w:jc w:val="both"/>
        <w:rPr>
          <w:rFonts w:ascii="Verdana" w:hAnsi="Verdana" w:cs="Arial"/>
        </w:rPr>
      </w:pPr>
      <w:r w:rsidRPr="009040B8">
        <w:rPr>
          <w:rFonts w:ascii="Verdana" w:hAnsi="Verdana" w:cs="Aria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[34], metoda A po 6h obracania wynosiła co najmniej 80%. Badanie przyczepności lepiszcza do kruszywa należy każdorazowo przedstawić dla konkretnie złożone</w:t>
      </w:r>
      <w:r>
        <w:rPr>
          <w:rFonts w:ascii="Verdana" w:hAnsi="Verdana" w:cs="Arial"/>
        </w:rPr>
        <w:t>go badania typu MMA</w:t>
      </w:r>
      <w:r w:rsidRPr="009040B8">
        <w:rPr>
          <w:rFonts w:ascii="Verdana" w:hAnsi="Verdana" w:cs="Arial"/>
        </w:rPr>
        <w:t xml:space="preserve"> </w:t>
      </w:r>
      <w:r>
        <w:rPr>
          <w:rFonts w:ascii="Verdana" w:hAnsi="Verdana" w:cs="Arial"/>
        </w:rPr>
        <w:t>(</w:t>
      </w:r>
      <w:r w:rsidRPr="009040B8">
        <w:rPr>
          <w:rFonts w:ascii="Verdana" w:hAnsi="Verdana" w:cs="Arial"/>
        </w:rPr>
        <w:t>recepty</w:t>
      </w:r>
      <w:r>
        <w:rPr>
          <w:rFonts w:ascii="Verdana" w:hAnsi="Verdana" w:cs="Arial"/>
        </w:rPr>
        <w:t>)</w:t>
      </w:r>
      <w:r w:rsidRPr="009040B8">
        <w:rPr>
          <w:rFonts w:ascii="Verdana" w:hAnsi="Verdana" w:cs="Arial"/>
        </w:rPr>
        <w:t>.</w:t>
      </w:r>
    </w:p>
    <w:p w:rsidR="0051730D" w:rsidRPr="009040B8" w:rsidRDefault="0051730D" w:rsidP="0051730D">
      <w:pPr>
        <w:jc w:val="both"/>
        <w:rPr>
          <w:rFonts w:ascii="Verdana" w:hAnsi="Verdana" w:cs="Arial"/>
        </w:rPr>
      </w:pPr>
      <w:r w:rsidRPr="009040B8">
        <w:rPr>
          <w:rFonts w:ascii="Verdana" w:hAnsi="Verdana" w:cs="Arial"/>
        </w:rPr>
        <w:t>Środek adhezyjny powinien odpowiadać wymaganiom określonym przez producenta.</w:t>
      </w:r>
    </w:p>
    <w:p w:rsidR="0051730D" w:rsidRPr="009040B8" w:rsidRDefault="0051730D" w:rsidP="0051730D">
      <w:pPr>
        <w:jc w:val="both"/>
        <w:rPr>
          <w:rFonts w:ascii="Verdana" w:hAnsi="Verdana" w:cs="Arial"/>
        </w:rPr>
      </w:pPr>
      <w:r w:rsidRPr="009040B8">
        <w:rPr>
          <w:rFonts w:ascii="Verdana" w:hAnsi="Verdana" w:cs="Arial"/>
        </w:rPr>
        <w:t>Składowanie środka adhezyjnego jest dozwolone tylko w oryginalnych opakowaniach, w warunkach określonych przez producenta.</w:t>
      </w:r>
    </w:p>
    <w:p w:rsidR="0051730D" w:rsidRPr="009040B8" w:rsidRDefault="0051730D" w:rsidP="0051730D">
      <w:pPr>
        <w:jc w:val="both"/>
        <w:rPr>
          <w:rFonts w:ascii="Verdana" w:hAnsi="Verdana" w:cs="Arial"/>
        </w:rPr>
      </w:pPr>
    </w:p>
    <w:p w:rsidR="0051730D" w:rsidRPr="009040B8" w:rsidRDefault="0051730D" w:rsidP="0051730D">
      <w:pPr>
        <w:keepNext/>
        <w:jc w:val="both"/>
        <w:outlineLvl w:val="1"/>
        <w:rPr>
          <w:rFonts w:ascii="Verdana" w:hAnsi="Verdana" w:cs="Arial"/>
          <w:b/>
          <w:bCs/>
          <w:iCs/>
        </w:rPr>
      </w:pPr>
      <w:bookmarkStart w:id="227" w:name="_Toc316558732"/>
      <w:r w:rsidRPr="009040B8">
        <w:rPr>
          <w:rFonts w:ascii="Verdana" w:hAnsi="Verdana" w:cs="Arial"/>
          <w:b/>
          <w:bCs/>
          <w:iCs/>
        </w:rPr>
        <w:t>2.5. Materiały do uszczelnienia połączeń i krawędzi</w:t>
      </w:r>
      <w:bookmarkEnd w:id="227"/>
    </w:p>
    <w:p w:rsidR="0051730D" w:rsidRPr="009040B8" w:rsidRDefault="0051730D" w:rsidP="0051730D">
      <w:pPr>
        <w:jc w:val="both"/>
        <w:rPr>
          <w:rFonts w:ascii="Verdana" w:hAnsi="Verdana" w:cs="Arial"/>
          <w:color w:val="000000"/>
        </w:rPr>
      </w:pPr>
      <w:r w:rsidRPr="009040B8">
        <w:rPr>
          <w:rFonts w:ascii="Verdana" w:hAnsi="Verdana" w:cs="Arial"/>
        </w:rPr>
        <w:t xml:space="preserve">Do uszczelnienia połączeń technologicznych tj. złączy podłużnych i poprzecznych z tego samego materiału wykonywanego w różnym czasie oraz spoin stanowiących połączenia różnych materiałów lub połączenie warstwy </w:t>
      </w:r>
      <w:r w:rsidRPr="009040B8">
        <w:rPr>
          <w:rFonts w:ascii="Verdana" w:hAnsi="Verdana" w:cs="Arial"/>
          <w:color w:val="000000"/>
        </w:rPr>
        <w:t>nawierzchni z urządzeniami obcymi w nawierzchni lub ją ograniczającymi, należy stosować:</w:t>
      </w:r>
    </w:p>
    <w:p w:rsidR="0051730D" w:rsidRPr="009040B8" w:rsidRDefault="0051730D"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color w:val="000000"/>
        </w:rPr>
      </w:pPr>
      <w:r w:rsidRPr="009040B8">
        <w:rPr>
          <w:rFonts w:ascii="Verdana" w:hAnsi="Verdana" w:cs="Arial"/>
          <w:color w:val="000000"/>
        </w:rPr>
        <w:t xml:space="preserve">połączenia technologiczne poprzeczne poprzez zastosowanie taśm kauczukowo-asfaltowych, </w:t>
      </w:r>
      <w:r w:rsidRPr="009040B8">
        <w:rPr>
          <w:rFonts w:ascii="Verdana" w:hAnsi="Verdana" w:cs="Arial"/>
          <w:color w:val="000000"/>
        </w:rPr>
        <w:br/>
        <w:t>o następujących parametrach:</w:t>
      </w:r>
    </w:p>
    <w:p w:rsidR="0051730D" w:rsidRPr="009040B8" w:rsidRDefault="0051730D" w:rsidP="0051730D">
      <w:pPr>
        <w:tabs>
          <w:tab w:val="left" w:pos="284"/>
        </w:tabs>
        <w:overflowPunct w:val="0"/>
        <w:autoSpaceDE w:val="0"/>
        <w:autoSpaceDN w:val="0"/>
        <w:adjustRightInd w:val="0"/>
        <w:ind w:left="284"/>
        <w:jc w:val="both"/>
        <w:textAlignment w:val="baseline"/>
        <w:rPr>
          <w:rFonts w:ascii="Verdana" w:hAnsi="Verdana" w:cs="Arial"/>
        </w:rPr>
      </w:pPr>
      <w:r w:rsidRPr="009040B8">
        <w:rPr>
          <w:rFonts w:ascii="Verdana" w:hAnsi="Verdana" w:cs="Arial"/>
        </w:rPr>
        <w:t xml:space="preserve">- samoprzylepne w postaci wstęgi uformowanej z asfaltu modyfikowanego polimerami, </w:t>
      </w:r>
    </w:p>
    <w:p w:rsidR="0051730D" w:rsidRPr="009040B8" w:rsidRDefault="0051730D" w:rsidP="0051730D">
      <w:pPr>
        <w:tabs>
          <w:tab w:val="left" w:pos="567"/>
        </w:tabs>
        <w:overflowPunct w:val="0"/>
        <w:autoSpaceDE w:val="0"/>
        <w:autoSpaceDN w:val="0"/>
        <w:adjustRightInd w:val="0"/>
        <w:ind w:left="567" w:hanging="283"/>
        <w:jc w:val="both"/>
        <w:textAlignment w:val="baseline"/>
        <w:rPr>
          <w:rFonts w:ascii="Verdana" w:hAnsi="Verdana" w:cs="Arial"/>
        </w:rPr>
      </w:pPr>
      <w:r>
        <w:rPr>
          <w:rFonts w:ascii="Verdana" w:hAnsi="Verdana" w:cs="Arial"/>
        </w:rPr>
        <w:t xml:space="preserve">- </w:t>
      </w:r>
      <w:r w:rsidRPr="009040B8">
        <w:rPr>
          <w:rFonts w:ascii="Verdana" w:hAnsi="Verdana" w:cs="Arial"/>
        </w:rPr>
        <w:t>o przekroju prostokątnym i szerokości od 20 do 70 mm dostosowane</w:t>
      </w:r>
      <w:r>
        <w:rPr>
          <w:rFonts w:ascii="Verdana" w:hAnsi="Verdana" w:cs="Arial"/>
        </w:rPr>
        <w:t>j</w:t>
      </w:r>
      <w:r w:rsidRPr="009040B8">
        <w:rPr>
          <w:rFonts w:ascii="Verdana" w:hAnsi="Verdana" w:cs="Arial"/>
        </w:rPr>
        <w:t xml:space="preserve"> do grubości układanej warstwy,                      </w:t>
      </w:r>
    </w:p>
    <w:p w:rsidR="0051730D" w:rsidRPr="009040B8" w:rsidRDefault="0051730D" w:rsidP="0051730D">
      <w:pPr>
        <w:tabs>
          <w:tab w:val="left" w:pos="284"/>
        </w:tabs>
        <w:overflowPunct w:val="0"/>
        <w:autoSpaceDE w:val="0"/>
        <w:autoSpaceDN w:val="0"/>
        <w:adjustRightInd w:val="0"/>
        <w:ind w:left="284"/>
        <w:jc w:val="both"/>
        <w:textAlignment w:val="baseline"/>
        <w:rPr>
          <w:rFonts w:ascii="Verdana" w:hAnsi="Verdana" w:cs="Arial"/>
        </w:rPr>
      </w:pPr>
      <w:r w:rsidRPr="009040B8">
        <w:rPr>
          <w:rFonts w:ascii="Verdana" w:hAnsi="Verdana" w:cs="Arial"/>
        </w:rPr>
        <w:t xml:space="preserve">- grubości minimum 8 mm, </w:t>
      </w:r>
    </w:p>
    <w:p w:rsidR="0051730D" w:rsidRPr="009040B8" w:rsidRDefault="0051730D" w:rsidP="0051730D">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xml:space="preserve">- zwinięte na rdzeń tekturowy z papierem dwustronnie </w:t>
      </w:r>
      <w:proofErr w:type="spellStart"/>
      <w:r w:rsidRPr="009040B8">
        <w:rPr>
          <w:rFonts w:ascii="Verdana" w:hAnsi="Verdana" w:cs="Arial"/>
        </w:rPr>
        <w:t>silikonowanym</w:t>
      </w:r>
      <w:proofErr w:type="spellEnd"/>
      <w:r w:rsidRPr="009040B8">
        <w:rPr>
          <w:rFonts w:ascii="Verdana" w:hAnsi="Verdana" w:cs="Arial"/>
        </w:rPr>
        <w:t>,</w:t>
      </w:r>
    </w:p>
    <w:p w:rsidR="0051730D" w:rsidRPr="009040B8" w:rsidRDefault="0051730D" w:rsidP="0051730D">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dobra przyczepność do pionowo przeciętej powierzchni warstwy,</w:t>
      </w:r>
    </w:p>
    <w:p w:rsidR="0051730D" w:rsidRPr="009040B8" w:rsidRDefault="0051730D" w:rsidP="0051730D">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penetracja stożkiem w temp. +25</w:t>
      </w:r>
      <w:r w:rsidRPr="009040B8">
        <w:rPr>
          <w:rFonts w:ascii="Verdana" w:hAnsi="Verdana" w:cs="Arial"/>
          <w:vertAlign w:val="superscript"/>
        </w:rPr>
        <w:t>o</w:t>
      </w:r>
      <w:r w:rsidRPr="009040B8">
        <w:rPr>
          <w:rFonts w:ascii="Verdana" w:hAnsi="Verdana" w:cs="Arial"/>
        </w:rPr>
        <w:t>C od 20 do 60 [0,1mm],</w:t>
      </w:r>
    </w:p>
    <w:p w:rsidR="0051730D" w:rsidRPr="009040B8" w:rsidRDefault="0051730D" w:rsidP="0051730D">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xml:space="preserve">- temperatura mięknienia wg </w:t>
      </w:r>
      <w:proofErr w:type="spellStart"/>
      <w:r w:rsidRPr="009040B8">
        <w:rPr>
          <w:rFonts w:ascii="Verdana" w:hAnsi="Verdana" w:cs="Arial"/>
        </w:rPr>
        <w:t>PiK</w:t>
      </w:r>
      <w:proofErr w:type="spellEnd"/>
      <w:r w:rsidRPr="009040B8">
        <w:rPr>
          <w:rFonts w:ascii="Verdana" w:hAnsi="Verdana" w:cs="Arial"/>
        </w:rPr>
        <w:t xml:space="preserve">  ≥ 90</w:t>
      </w:r>
      <w:r w:rsidRPr="009040B8">
        <w:rPr>
          <w:rFonts w:ascii="Verdana" w:hAnsi="Verdana" w:cs="Arial"/>
          <w:vertAlign w:val="superscript"/>
        </w:rPr>
        <w:t>o</w:t>
      </w:r>
      <w:r w:rsidRPr="009040B8">
        <w:rPr>
          <w:rFonts w:ascii="Verdana" w:hAnsi="Verdana" w:cs="Arial"/>
        </w:rPr>
        <w:t>C,</w:t>
      </w:r>
    </w:p>
    <w:p w:rsidR="0051730D" w:rsidRPr="009040B8" w:rsidRDefault="0051730D" w:rsidP="0051730D">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xml:space="preserve">- zdolność powrotu do stanu pierwotnego  ≥ </w:t>
      </w:r>
      <w:r>
        <w:rPr>
          <w:rFonts w:ascii="Verdana" w:hAnsi="Verdana" w:cs="Arial"/>
        </w:rPr>
        <w:t>5</w:t>
      </w:r>
      <w:r w:rsidRPr="009040B8">
        <w:rPr>
          <w:rFonts w:ascii="Verdana" w:hAnsi="Verdana" w:cs="Arial"/>
        </w:rPr>
        <w:t>0%,</w:t>
      </w:r>
    </w:p>
    <w:p w:rsidR="0051730D" w:rsidRPr="009040B8" w:rsidRDefault="0051730D" w:rsidP="0051730D">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wydłużenie taśmy w szczelinie w temp. -10</w:t>
      </w:r>
      <w:r w:rsidRPr="009040B8">
        <w:rPr>
          <w:rFonts w:ascii="Verdana" w:hAnsi="Verdana" w:cs="Arial"/>
          <w:vertAlign w:val="superscript"/>
        </w:rPr>
        <w:t>o</w:t>
      </w:r>
      <w:r w:rsidRPr="009040B8">
        <w:rPr>
          <w:rFonts w:ascii="Verdana" w:hAnsi="Verdana" w:cs="Arial"/>
        </w:rPr>
        <w:t>C  ≥ 10%,</w:t>
      </w:r>
    </w:p>
    <w:p w:rsidR="0051730D" w:rsidRPr="009040B8" w:rsidRDefault="0051730D" w:rsidP="0051730D">
      <w:pPr>
        <w:ind w:left="284"/>
        <w:jc w:val="both"/>
        <w:rPr>
          <w:rFonts w:ascii="Verdana" w:hAnsi="Verdana" w:cs="Arial"/>
        </w:rPr>
      </w:pPr>
      <w:r w:rsidRPr="009040B8">
        <w:rPr>
          <w:rFonts w:ascii="Verdana" w:hAnsi="Verdana" w:cs="Arial"/>
        </w:rPr>
        <w:lastRenderedPageBreak/>
        <w:t>Składowanie taśm kauczukowo-asfaltowych dozwolone jest tylko w oryginalnych opakowaniach producenta, w warunkach określonych w aprobacie technicznej.</w:t>
      </w:r>
    </w:p>
    <w:p w:rsidR="0051730D" w:rsidRPr="009040B8" w:rsidRDefault="0051730D"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color w:val="000000"/>
        </w:rPr>
      </w:pPr>
      <w:r w:rsidRPr="009040B8">
        <w:rPr>
          <w:rFonts w:ascii="Verdana" w:hAnsi="Verdana" w:cs="Arial"/>
          <w:color w:val="000000"/>
        </w:rPr>
        <w:t xml:space="preserve">pozostałe połączenia technologiczne należy uszczelniać asfaltem </w:t>
      </w:r>
      <w:r>
        <w:rPr>
          <w:rFonts w:ascii="Verdana" w:hAnsi="Verdana" w:cs="Arial"/>
          <w:color w:val="000000"/>
        </w:rPr>
        <w:t xml:space="preserve">drogowym </w:t>
      </w:r>
      <w:r>
        <w:rPr>
          <w:rFonts w:ascii="Verdana" w:hAnsi="Verdana" w:cs="Arial"/>
          <w:color w:val="000000"/>
        </w:rPr>
        <w:br/>
      </w:r>
      <w:r w:rsidRPr="009040B8">
        <w:rPr>
          <w:rFonts w:ascii="Verdana" w:hAnsi="Verdana" w:cs="Arial"/>
          <w:color w:val="000000"/>
        </w:rPr>
        <w:t>lub taśmami kauczukowo-asfaltowymi,</w:t>
      </w:r>
    </w:p>
    <w:p w:rsidR="0051730D" w:rsidRPr="009040B8" w:rsidRDefault="0051730D" w:rsidP="0051730D">
      <w:pPr>
        <w:jc w:val="both"/>
        <w:rPr>
          <w:rFonts w:ascii="Verdana" w:hAnsi="Verdana" w:cs="Arial"/>
          <w:color w:val="000000"/>
        </w:rPr>
      </w:pPr>
      <w:r w:rsidRPr="009040B8">
        <w:rPr>
          <w:rFonts w:ascii="Verdana" w:hAnsi="Verdana" w:cs="Arial"/>
          <w:color w:val="000000"/>
        </w:rPr>
        <w:t xml:space="preserve">Do uszczelnienia krawędzi zewnętrznych warstwy należy stosować asfalt </w:t>
      </w:r>
      <w:r>
        <w:rPr>
          <w:rFonts w:ascii="Verdana" w:hAnsi="Verdana" w:cs="Arial"/>
          <w:color w:val="000000"/>
        </w:rPr>
        <w:t>drogowy</w:t>
      </w:r>
      <w:r w:rsidRPr="009040B8">
        <w:rPr>
          <w:rFonts w:ascii="Verdana" w:hAnsi="Verdana" w:cs="Arial"/>
          <w:color w:val="000000"/>
        </w:rPr>
        <w:t>.</w:t>
      </w:r>
    </w:p>
    <w:p w:rsidR="0051730D" w:rsidRPr="009040B8" w:rsidRDefault="0051730D" w:rsidP="0051730D">
      <w:pPr>
        <w:ind w:firstLine="709"/>
        <w:jc w:val="both"/>
        <w:rPr>
          <w:rFonts w:ascii="Verdana" w:hAnsi="Verdana" w:cs="Arial"/>
          <w:color w:val="000000"/>
        </w:rPr>
      </w:pPr>
    </w:p>
    <w:p w:rsidR="0051730D" w:rsidRPr="007A6DDC" w:rsidRDefault="0051730D" w:rsidP="0051730D">
      <w:pPr>
        <w:jc w:val="both"/>
        <w:rPr>
          <w:rFonts w:ascii="Verdana" w:hAnsi="Verdana" w:cs="Arial"/>
        </w:rPr>
      </w:pPr>
      <w:r w:rsidRPr="009040B8">
        <w:rPr>
          <w:rFonts w:ascii="Verdana" w:hAnsi="Verdana" w:cs="Arial"/>
          <w:b/>
        </w:rPr>
        <w:t>2.6. Materiały do złączenia warstw konstrukcji</w:t>
      </w:r>
      <w:bookmarkStart w:id="228" w:name="_Toc25373382"/>
      <w:bookmarkStart w:id="229" w:name="_Toc25379398"/>
      <w:bookmarkStart w:id="230" w:name="_Toc38338022"/>
      <w:bookmarkStart w:id="231" w:name="_Toc68660263"/>
      <w:bookmarkStart w:id="232" w:name="_Toc68921158"/>
      <w:bookmarkStart w:id="233" w:name="_Toc68929545"/>
      <w:bookmarkStart w:id="234" w:name="_Toc70745913"/>
      <w:bookmarkStart w:id="235" w:name="_Toc113338099"/>
      <w:bookmarkStart w:id="236" w:name="_Toc124213275"/>
      <w:bookmarkStart w:id="237" w:name="_Toc144694237"/>
      <w:bookmarkStart w:id="238" w:name="_Toc199904821"/>
      <w:bookmarkStart w:id="239" w:name="_Toc204566518"/>
      <w:bookmarkStart w:id="240" w:name="_Toc237920701"/>
      <w:bookmarkStart w:id="241" w:name="_Toc316558778"/>
    </w:p>
    <w:p w:rsidR="0051730D" w:rsidRPr="007A6DDC" w:rsidRDefault="0051730D" w:rsidP="0051730D">
      <w:pPr>
        <w:jc w:val="both"/>
        <w:rPr>
          <w:rFonts w:ascii="Verdana" w:hAnsi="Verdana" w:cs="Arial"/>
          <w:strike/>
          <w:color w:val="FF0000"/>
        </w:rPr>
      </w:pPr>
      <w:r w:rsidRPr="007A6DDC">
        <w:rPr>
          <w:rFonts w:ascii="Verdana" w:hAnsi="Verdana" w:cs="Arial"/>
        </w:rPr>
        <w:t>Do złączania warstw konstrukcji nawierzchni (podbudowa asfaltowa na warstwie</w:t>
      </w:r>
      <w:r>
        <w:rPr>
          <w:rFonts w:ascii="Verdana" w:hAnsi="Verdana" w:cs="Arial"/>
        </w:rPr>
        <w:t xml:space="preserve"> z mieszanki</w:t>
      </w:r>
      <w:r w:rsidRPr="007A6DDC">
        <w:rPr>
          <w:rFonts w:ascii="Verdana" w:hAnsi="Verdana" w:cs="Arial"/>
        </w:rPr>
        <w:t xml:space="preserve"> niezwiązanej</w:t>
      </w:r>
      <w:r>
        <w:rPr>
          <w:rFonts w:ascii="Verdana" w:hAnsi="Verdana" w:cs="Arial"/>
        </w:rPr>
        <w:t xml:space="preserve"> lub mieszanki związanej hydraulicznie</w:t>
      </w:r>
      <w:r w:rsidRPr="007A6DDC">
        <w:rPr>
          <w:rFonts w:ascii="Verdana" w:hAnsi="Verdana" w:cs="Arial"/>
        </w:rPr>
        <w:t>) należy stosować  kationową emulsję asfaltową C 60 B5 ZM lub kationową emulsję asfaltow</w:t>
      </w:r>
      <w:r>
        <w:rPr>
          <w:rFonts w:ascii="Verdana" w:hAnsi="Verdana" w:cs="Arial"/>
        </w:rPr>
        <w:t xml:space="preserve">ą </w:t>
      </w:r>
      <w:r>
        <w:rPr>
          <w:rFonts w:ascii="Verdana" w:hAnsi="Verdana" w:cs="Arial"/>
        </w:rPr>
        <w:br/>
      </w:r>
      <w:r w:rsidRPr="007A6DDC">
        <w:rPr>
          <w:rFonts w:ascii="Verdana" w:hAnsi="Verdana" w:cs="Arial"/>
        </w:rPr>
        <w:t>C 60 B10 ZM/R</w:t>
      </w:r>
      <w:r>
        <w:rPr>
          <w:rFonts w:ascii="Verdana" w:hAnsi="Verdana" w:cs="Arial"/>
        </w:rPr>
        <w:t>,</w:t>
      </w:r>
      <w:r w:rsidRPr="007A6DDC">
        <w:rPr>
          <w:rFonts w:ascii="Verdana" w:hAnsi="Verdana" w:cs="Arial"/>
        </w:rPr>
        <w:t xml:space="preserve"> spełniające wymagania PN-EN 13808 [58] wraz z Załącznikiem krajowym NA, Wymagania dotyczące krajowych emulsji asfaltowych. </w:t>
      </w:r>
    </w:p>
    <w:p w:rsidR="0051730D" w:rsidRPr="007A6DDC" w:rsidRDefault="0051730D" w:rsidP="0051730D">
      <w:pPr>
        <w:jc w:val="both"/>
        <w:rPr>
          <w:rFonts w:ascii="Verdana" w:hAnsi="Verdana" w:cs="Arial"/>
        </w:rPr>
      </w:pPr>
      <w:r w:rsidRPr="007A6DDC">
        <w:rPr>
          <w:rFonts w:ascii="Verdana" w:hAnsi="Verdana" w:cs="Arial"/>
        </w:rPr>
        <w:t xml:space="preserve">Emulsję asfaltową można składować w opakowaniach transportowych lub w stacjonarnych zbiornikach pionowych z nalewaniem od dna. Nie należy nalewać emulsji do opakowań i zbiorników zanieczyszczonych materiałami mineralnymi. </w:t>
      </w:r>
    </w:p>
    <w:p w:rsidR="0051730D" w:rsidRDefault="0051730D" w:rsidP="0051730D">
      <w:pPr>
        <w:jc w:val="both"/>
        <w:rPr>
          <w:rFonts w:ascii="Verdana" w:hAnsi="Verdana" w:cs="Arial"/>
          <w:b/>
        </w:rPr>
      </w:pPr>
    </w:p>
    <w:p w:rsidR="0051730D" w:rsidRDefault="0051730D" w:rsidP="0051730D">
      <w:pPr>
        <w:jc w:val="both"/>
        <w:rPr>
          <w:rFonts w:ascii="Verdana" w:hAnsi="Verdana" w:cs="Arial"/>
          <w:b/>
        </w:rPr>
      </w:pPr>
      <w:r w:rsidRPr="006E5B5C">
        <w:rPr>
          <w:rFonts w:ascii="Verdana" w:hAnsi="Verdana" w:cs="Arial"/>
          <w:b/>
        </w:rPr>
        <w:t>2.</w:t>
      </w:r>
      <w:r>
        <w:rPr>
          <w:rFonts w:ascii="Verdana" w:hAnsi="Verdana" w:cs="Arial"/>
          <w:b/>
        </w:rPr>
        <w:t>7</w:t>
      </w:r>
      <w:r w:rsidRPr="006E5B5C">
        <w:rPr>
          <w:rFonts w:ascii="Verdana" w:hAnsi="Verdana" w:cs="Arial"/>
          <w:b/>
        </w:rPr>
        <w:t>. Ochrona wykonanego skropienia</w:t>
      </w:r>
    </w:p>
    <w:p w:rsidR="0051730D" w:rsidRDefault="0051730D" w:rsidP="0051730D">
      <w:pPr>
        <w:jc w:val="both"/>
        <w:rPr>
          <w:rFonts w:ascii="Verdana" w:hAnsi="Verdana" w:cs="Arial"/>
        </w:rPr>
      </w:pPr>
      <w:r>
        <w:rPr>
          <w:rFonts w:ascii="Verdana" w:hAnsi="Verdana" w:cs="Arial"/>
        </w:rPr>
        <w:t>Wykonanie warstwy ochronnej emulsji przez dodatkowe skropienie z użyciem mleczka wapiennego należy stosować dla dróg o kategorii ruchu KR 4÷7. Skropienie mleczkiem wapiennym wykonuje się dopiero wtedy, gdy nastąpi rozpad emulsji i odparuje woda.</w:t>
      </w:r>
    </w:p>
    <w:p w:rsidR="0051730D" w:rsidRDefault="0051730D" w:rsidP="0051730D">
      <w:pPr>
        <w:jc w:val="both"/>
        <w:rPr>
          <w:rFonts w:ascii="Verdana" w:hAnsi="Verdana" w:cs="Arial"/>
        </w:rPr>
      </w:pPr>
      <w:r>
        <w:rPr>
          <w:rFonts w:ascii="Verdana" w:hAnsi="Verdana" w:cs="Arial"/>
        </w:rPr>
        <w:t>Stężenie roztworu roboczego mleczka wapiennego należy przygotować tak, by w 100 g próbki zawartość wodorotlenku wapnia wyrażona w gramach, a otrzymana przez wysuszenie próbki w suszarce w temp. 110±5</w:t>
      </w:r>
      <w:r>
        <w:rPr>
          <w:rFonts w:ascii="Verdana" w:hAnsi="Verdana" w:cs="Arial"/>
          <w:vertAlign w:val="superscript"/>
        </w:rPr>
        <w:t>o</w:t>
      </w:r>
      <w:r>
        <w:rPr>
          <w:rFonts w:ascii="Verdana" w:hAnsi="Verdana" w:cs="Arial"/>
        </w:rPr>
        <w:t xml:space="preserve">C do stałej masy (jednak nie dłużej </w:t>
      </w:r>
      <w:r>
        <w:rPr>
          <w:rFonts w:ascii="Verdana" w:hAnsi="Verdana" w:cs="Arial"/>
        </w:rPr>
        <w:br/>
        <w:t>niż 5 godz.) była:</w:t>
      </w:r>
    </w:p>
    <w:p w:rsidR="0051730D" w:rsidRDefault="0051730D" w:rsidP="002122BD">
      <w:pPr>
        <w:numPr>
          <w:ilvl w:val="0"/>
          <w:numId w:val="44"/>
        </w:numPr>
        <w:jc w:val="both"/>
        <w:rPr>
          <w:rFonts w:ascii="Verdana" w:hAnsi="Verdana" w:cs="Arial"/>
        </w:rPr>
      </w:pPr>
      <w:r>
        <w:rPr>
          <w:rFonts w:ascii="Verdana" w:hAnsi="Verdana" w:cs="Arial"/>
        </w:rPr>
        <w:t>nie mniejsza niż 16,0% i nie większa niż 28,0% - należy stosować do skropienia podbudowy z mieszanki niezwiązanej lub związanej hydraulicznie,</w:t>
      </w:r>
    </w:p>
    <w:p w:rsidR="0051730D" w:rsidRPr="007E2951" w:rsidRDefault="0051730D" w:rsidP="002122BD">
      <w:pPr>
        <w:numPr>
          <w:ilvl w:val="0"/>
          <w:numId w:val="44"/>
        </w:numPr>
        <w:jc w:val="both"/>
        <w:rPr>
          <w:rFonts w:ascii="Verdana" w:hAnsi="Verdana" w:cs="Arial"/>
        </w:rPr>
      </w:pPr>
      <w:r>
        <w:rPr>
          <w:rFonts w:ascii="Verdana" w:hAnsi="Verdana" w:cs="Arial"/>
        </w:rPr>
        <w:t>nie mniejsza niż 9,0% i nie większa niż 16,0% - zaleca się stosować do skropienia warstw mineralno-asfaltowych.</w:t>
      </w:r>
    </w:p>
    <w:p w:rsidR="0051730D" w:rsidRDefault="0051730D" w:rsidP="0051730D">
      <w:pPr>
        <w:jc w:val="both"/>
        <w:rPr>
          <w:rFonts w:ascii="Verdana" w:hAnsi="Verdana" w:cs="Arial"/>
        </w:rPr>
      </w:pPr>
      <w:r>
        <w:rPr>
          <w:rFonts w:ascii="Verdana" w:hAnsi="Verdana" w:cs="Arial"/>
        </w:rPr>
        <w:t xml:space="preserve">Dozowana na nawierzchnię dawka roztworu mleczka wapiennego powinna zawierać się </w:t>
      </w:r>
      <w:r>
        <w:rPr>
          <w:rFonts w:ascii="Verdana" w:hAnsi="Verdana" w:cs="Arial"/>
        </w:rPr>
        <w:br/>
        <w:t>w przedziale 250 g/m</w:t>
      </w:r>
      <w:r>
        <w:rPr>
          <w:rFonts w:ascii="Verdana" w:hAnsi="Verdana" w:cs="Arial"/>
          <w:vertAlign w:val="superscript"/>
        </w:rPr>
        <w:t>2</w:t>
      </w:r>
      <w:r>
        <w:rPr>
          <w:rFonts w:ascii="Verdana" w:hAnsi="Verdana" w:cs="Arial"/>
        </w:rPr>
        <w:t xml:space="preserve"> ±20 g.</w:t>
      </w:r>
    </w:p>
    <w:p w:rsidR="0051730D" w:rsidRDefault="0051730D" w:rsidP="0051730D">
      <w:pPr>
        <w:jc w:val="both"/>
        <w:rPr>
          <w:rFonts w:ascii="Verdana" w:hAnsi="Verdana" w:cs="Arial"/>
        </w:rPr>
      </w:pPr>
      <w:r>
        <w:rPr>
          <w:rFonts w:ascii="Verdana" w:hAnsi="Verdana" w:cs="Arial"/>
        </w:rPr>
        <w:t>Dalsze prace budowlane na zabezpieczonej nawierzchni można prowadzić po odparowaniu wody z zaaplikowanego roztworu mleczka wapiennego – ocena wizualna (powstanie suchego filmu wodorotlenku wapnia na powierzchni).</w:t>
      </w:r>
    </w:p>
    <w:p w:rsidR="0051730D" w:rsidRPr="007E2951" w:rsidRDefault="0051730D" w:rsidP="0051730D">
      <w:pPr>
        <w:jc w:val="both"/>
        <w:rPr>
          <w:rFonts w:ascii="Verdana" w:hAnsi="Verdana" w:cs="Arial"/>
        </w:rPr>
      </w:pPr>
      <w:r>
        <w:rPr>
          <w:rFonts w:ascii="Verdana" w:hAnsi="Verdana" w:cs="Arial"/>
        </w:rPr>
        <w:t xml:space="preserve">Ze względu na osiadanie wodorotlenku wapnia na dnie zbiornika skrapiarki lub opryskiwacza, urządzenia te powinny być wyposażone w system obiegu zamkniętego lub mieszadło obrotowe. Jeśli producent mieszaniny gwarantuje jednorodność </w:t>
      </w:r>
      <w:r>
        <w:rPr>
          <w:rFonts w:ascii="Verdana" w:hAnsi="Verdana" w:cs="Arial"/>
        </w:rPr>
        <w:br/>
        <w:t>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w:t>
      </w:r>
      <w:r>
        <w:rPr>
          <w:rFonts w:ascii="Verdana" w:hAnsi="Verdana" w:cs="Arial"/>
          <w:vertAlign w:val="superscript"/>
        </w:rPr>
        <w:t>o</w:t>
      </w:r>
      <w:r>
        <w:rPr>
          <w:rFonts w:ascii="Verdana" w:hAnsi="Verdana" w:cs="Arial"/>
        </w:rPr>
        <w:t xml:space="preserve">C. </w:t>
      </w:r>
    </w:p>
    <w:p w:rsidR="0051730D" w:rsidRPr="009040B8" w:rsidRDefault="0051730D" w:rsidP="0051730D">
      <w:pPr>
        <w:keepNext/>
        <w:widowControl w:val="0"/>
        <w:numPr>
          <w:ilvl w:val="12"/>
          <w:numId w:val="0"/>
        </w:numPr>
        <w:jc w:val="both"/>
        <w:outlineLvl w:val="0"/>
        <w:rPr>
          <w:rFonts w:ascii="Verdana" w:hAnsi="Verdana" w:cs="Arial"/>
          <w:b/>
          <w:snapToGrid w:val="0"/>
        </w:rPr>
      </w:pPr>
      <w:r w:rsidRPr="009040B8">
        <w:rPr>
          <w:rFonts w:ascii="Verdana" w:hAnsi="Verdana" w:cs="Arial"/>
          <w:b/>
          <w:snapToGrid w:val="0"/>
        </w:rPr>
        <w:t xml:space="preserve">3. </w:t>
      </w:r>
      <w:bookmarkEnd w:id="228"/>
      <w:bookmarkEnd w:id="229"/>
      <w:bookmarkEnd w:id="230"/>
      <w:bookmarkEnd w:id="231"/>
      <w:bookmarkEnd w:id="232"/>
      <w:bookmarkEnd w:id="233"/>
      <w:bookmarkEnd w:id="234"/>
      <w:bookmarkEnd w:id="235"/>
      <w:bookmarkEnd w:id="236"/>
      <w:bookmarkEnd w:id="237"/>
      <w:bookmarkEnd w:id="238"/>
      <w:bookmarkEnd w:id="239"/>
      <w:bookmarkEnd w:id="240"/>
      <w:r w:rsidRPr="009040B8">
        <w:rPr>
          <w:rFonts w:ascii="Verdana" w:hAnsi="Verdana" w:cs="Arial"/>
          <w:b/>
          <w:snapToGrid w:val="0"/>
        </w:rPr>
        <w:t>S</w:t>
      </w:r>
      <w:bookmarkEnd w:id="241"/>
      <w:r w:rsidRPr="009040B8">
        <w:rPr>
          <w:rFonts w:ascii="Verdana" w:hAnsi="Verdana" w:cs="Arial"/>
          <w:b/>
          <w:snapToGrid w:val="0"/>
        </w:rPr>
        <w:t>przęt</w:t>
      </w:r>
    </w:p>
    <w:p w:rsidR="0051730D" w:rsidRPr="009040B8" w:rsidRDefault="0051730D" w:rsidP="0051730D">
      <w:pPr>
        <w:keepNext/>
        <w:numPr>
          <w:ilvl w:val="12"/>
          <w:numId w:val="0"/>
        </w:numPr>
        <w:jc w:val="both"/>
        <w:outlineLvl w:val="1"/>
        <w:rPr>
          <w:rFonts w:ascii="Verdana" w:hAnsi="Verdana" w:cs="Arial"/>
          <w:b/>
          <w:bCs/>
          <w:iCs/>
        </w:rPr>
      </w:pPr>
      <w:bookmarkStart w:id="242" w:name="_Toc316558779"/>
      <w:r w:rsidRPr="009040B8">
        <w:rPr>
          <w:rFonts w:ascii="Verdana" w:hAnsi="Verdana" w:cs="Arial"/>
          <w:b/>
          <w:bCs/>
          <w:iCs/>
        </w:rPr>
        <w:t>3.1. Ogólne wymagania dotyczące sprzętu</w:t>
      </w:r>
      <w:bookmarkEnd w:id="242"/>
    </w:p>
    <w:p w:rsidR="0051730D" w:rsidRPr="009040B8" w:rsidRDefault="0051730D" w:rsidP="0051730D">
      <w:pPr>
        <w:numPr>
          <w:ilvl w:val="12"/>
          <w:numId w:val="0"/>
        </w:numPr>
        <w:jc w:val="both"/>
        <w:rPr>
          <w:rFonts w:ascii="Verdana" w:hAnsi="Verdana" w:cs="Arial"/>
        </w:rPr>
      </w:pPr>
      <w:r w:rsidRPr="009040B8">
        <w:rPr>
          <w:rFonts w:ascii="Verdana" w:hAnsi="Verdana" w:cs="Arial"/>
        </w:rPr>
        <w:t>Ogólne wymagania dotyczące sprzętu podano w SST  D-M-00.00.00 „Wymagania ogólne” [1] pkt 3.</w:t>
      </w:r>
    </w:p>
    <w:p w:rsidR="0051730D" w:rsidRPr="009040B8" w:rsidRDefault="0051730D" w:rsidP="0051730D">
      <w:pPr>
        <w:numPr>
          <w:ilvl w:val="12"/>
          <w:numId w:val="0"/>
        </w:numPr>
        <w:jc w:val="both"/>
        <w:rPr>
          <w:rFonts w:ascii="Verdana" w:hAnsi="Verdana" w:cs="Arial"/>
        </w:rPr>
      </w:pPr>
    </w:p>
    <w:p w:rsidR="0051730D" w:rsidRPr="009040B8" w:rsidRDefault="0051730D" w:rsidP="0051730D">
      <w:pPr>
        <w:keepNext/>
        <w:jc w:val="both"/>
        <w:outlineLvl w:val="1"/>
        <w:rPr>
          <w:rFonts w:ascii="Verdana" w:hAnsi="Verdana" w:cs="Arial"/>
          <w:b/>
          <w:bCs/>
          <w:iCs/>
        </w:rPr>
      </w:pPr>
      <w:bookmarkStart w:id="243" w:name="_Toc316558780"/>
      <w:r w:rsidRPr="009040B8">
        <w:rPr>
          <w:rFonts w:ascii="Verdana" w:hAnsi="Verdana" w:cs="Arial"/>
          <w:b/>
          <w:bCs/>
          <w:iCs/>
        </w:rPr>
        <w:t>3.2. Sprzęt stosowany do wykonania robót</w:t>
      </w:r>
      <w:bookmarkEnd w:id="243"/>
    </w:p>
    <w:p w:rsidR="0051730D" w:rsidRPr="009040B8" w:rsidRDefault="0051730D" w:rsidP="0051730D">
      <w:pPr>
        <w:jc w:val="both"/>
        <w:rPr>
          <w:rFonts w:ascii="Verdana" w:hAnsi="Verdana" w:cs="Arial"/>
        </w:rPr>
      </w:pPr>
      <w:r w:rsidRPr="009040B8">
        <w:rPr>
          <w:rFonts w:ascii="Verdana" w:hAnsi="Verdana" w:cs="Arial"/>
        </w:rPr>
        <w:t>Przy wykonywaniu robót Wykonawca w zależności od potrzeb, powinien wykazać się możliwością korzystania ze sprzętu dostosowanego do przyjętej metody robót, jak:</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 xml:space="preserve">wytwórnia (otaczarka) o mieszaniu cyklicznym lub ciągłym, z automatycznym komputerowym sterowaniem produkcji, do wytwarzania mieszanek mineralno-asfaltowych, na wytwórni powinien funkcjonować certyfikowany system Zakładowej Kontroli Produkcji zgodny z normą PN-EN 13108-21 [63.1], </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układarka gąsienicowa, z elektronicznym sterowaniem równości układanej warstwy,</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skrapiarka,</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 xml:space="preserve">walce stalowe gładkie, </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walce ogumione</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szczotki mechaniczne i/lub inne urządzenia czyszczące,</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samochody samowyładowcze z przykryciem brezentowym lub termosami,</w:t>
      </w:r>
    </w:p>
    <w:p w:rsidR="0051730D" w:rsidRPr="009040B8" w:rsidRDefault="0051730D"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lastRenderedPageBreak/>
        <w:t>sprzęt drobny.</w:t>
      </w:r>
      <w:bookmarkStart w:id="244" w:name="_Toc33319442"/>
      <w:bookmarkStart w:id="245" w:name="_Toc33320734"/>
      <w:bookmarkStart w:id="246" w:name="_Toc38338023"/>
      <w:bookmarkStart w:id="247" w:name="_Toc68660264"/>
      <w:bookmarkStart w:id="248" w:name="_Toc68921159"/>
      <w:bookmarkStart w:id="249" w:name="_Toc68929546"/>
      <w:bookmarkStart w:id="250" w:name="_Toc70745914"/>
      <w:bookmarkStart w:id="251" w:name="_Toc113338100"/>
      <w:bookmarkStart w:id="252" w:name="_Toc124213276"/>
      <w:bookmarkStart w:id="253" w:name="_Toc144694238"/>
      <w:bookmarkStart w:id="254" w:name="_Toc199904822"/>
      <w:bookmarkStart w:id="255" w:name="_Toc204566519"/>
      <w:bookmarkStart w:id="256" w:name="_Toc237920702"/>
    </w:p>
    <w:p w:rsidR="0051730D" w:rsidRPr="009040B8" w:rsidRDefault="0051730D" w:rsidP="0051730D">
      <w:pPr>
        <w:overflowPunct w:val="0"/>
        <w:autoSpaceDE w:val="0"/>
        <w:autoSpaceDN w:val="0"/>
        <w:adjustRightInd w:val="0"/>
        <w:ind w:left="397"/>
        <w:jc w:val="both"/>
        <w:textAlignment w:val="baseline"/>
        <w:rPr>
          <w:rFonts w:ascii="Verdana" w:hAnsi="Verdana" w:cs="Arial"/>
        </w:rPr>
      </w:pPr>
    </w:p>
    <w:p w:rsidR="0051730D" w:rsidRPr="009040B8" w:rsidRDefault="0051730D" w:rsidP="0051730D">
      <w:pPr>
        <w:keepNext/>
        <w:widowControl w:val="0"/>
        <w:jc w:val="both"/>
        <w:outlineLvl w:val="0"/>
        <w:rPr>
          <w:rFonts w:ascii="Verdana" w:hAnsi="Verdana" w:cs="Arial"/>
          <w:b/>
          <w:snapToGrid w:val="0"/>
        </w:rPr>
      </w:pPr>
      <w:bookmarkStart w:id="257" w:name="_Toc316558781"/>
      <w:r w:rsidRPr="009040B8">
        <w:rPr>
          <w:rFonts w:ascii="Verdana" w:hAnsi="Verdana" w:cs="Arial"/>
          <w:b/>
          <w:snapToGrid w:val="0"/>
        </w:rPr>
        <w:t>4. T</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9040B8">
        <w:rPr>
          <w:rFonts w:ascii="Verdana" w:hAnsi="Verdana" w:cs="Arial"/>
          <w:b/>
          <w:snapToGrid w:val="0"/>
        </w:rPr>
        <w:t>ransport</w:t>
      </w:r>
    </w:p>
    <w:p w:rsidR="0051730D" w:rsidRPr="009040B8" w:rsidRDefault="0051730D" w:rsidP="0051730D">
      <w:pPr>
        <w:keepNext/>
        <w:numPr>
          <w:ilvl w:val="12"/>
          <w:numId w:val="0"/>
        </w:numPr>
        <w:jc w:val="both"/>
        <w:outlineLvl w:val="1"/>
        <w:rPr>
          <w:rFonts w:ascii="Verdana" w:hAnsi="Verdana" w:cs="Arial"/>
          <w:b/>
          <w:bCs/>
          <w:iCs/>
        </w:rPr>
      </w:pPr>
      <w:bookmarkStart w:id="258" w:name="_Toc316558782"/>
      <w:r w:rsidRPr="009040B8">
        <w:rPr>
          <w:rFonts w:ascii="Verdana" w:hAnsi="Verdana" w:cs="Arial"/>
          <w:b/>
          <w:bCs/>
          <w:iCs/>
        </w:rPr>
        <w:t>4.1. Ogólne wymagania dotyczące transportu</w:t>
      </w:r>
      <w:bookmarkEnd w:id="258"/>
    </w:p>
    <w:p w:rsidR="0051730D" w:rsidRPr="009040B8" w:rsidRDefault="0051730D" w:rsidP="0051730D">
      <w:pPr>
        <w:numPr>
          <w:ilvl w:val="12"/>
          <w:numId w:val="0"/>
        </w:numPr>
        <w:jc w:val="both"/>
        <w:rPr>
          <w:rFonts w:ascii="Verdana" w:hAnsi="Verdana" w:cs="Arial"/>
        </w:rPr>
      </w:pPr>
      <w:r w:rsidRPr="009040B8">
        <w:rPr>
          <w:rFonts w:ascii="Verdana" w:hAnsi="Verdana" w:cs="Arial"/>
        </w:rPr>
        <w:t>Ogólne wymagania dotyczące transportu podano w SST D-M-00.00.00 „Wymagania ogólne” [1] pkt 4.</w:t>
      </w:r>
      <w:r w:rsidRPr="009040B8">
        <w:rPr>
          <w:rFonts w:ascii="Verdana" w:hAnsi="Verdana" w:cs="Arial"/>
        </w:rPr>
        <w:tab/>
      </w:r>
    </w:p>
    <w:p w:rsidR="0051730D" w:rsidRDefault="0051730D" w:rsidP="0051730D">
      <w:pPr>
        <w:keepNext/>
        <w:jc w:val="both"/>
        <w:outlineLvl w:val="1"/>
        <w:rPr>
          <w:rFonts w:ascii="Verdana" w:hAnsi="Verdana" w:cs="Arial"/>
          <w:b/>
          <w:bCs/>
          <w:iCs/>
        </w:rPr>
      </w:pPr>
      <w:bookmarkStart w:id="259" w:name="_Toc316558783"/>
    </w:p>
    <w:p w:rsidR="0051730D" w:rsidRPr="009040B8" w:rsidRDefault="0051730D" w:rsidP="0051730D">
      <w:pPr>
        <w:keepNext/>
        <w:jc w:val="both"/>
        <w:outlineLvl w:val="1"/>
        <w:rPr>
          <w:rFonts w:ascii="Verdana" w:hAnsi="Verdana" w:cs="Arial"/>
          <w:b/>
          <w:bCs/>
          <w:iCs/>
        </w:rPr>
      </w:pPr>
      <w:r w:rsidRPr="009040B8">
        <w:rPr>
          <w:rFonts w:ascii="Verdana" w:hAnsi="Verdana" w:cs="Arial"/>
          <w:b/>
          <w:bCs/>
          <w:iCs/>
        </w:rPr>
        <w:t>4.2. Transport materiałów</w:t>
      </w:r>
      <w:bookmarkEnd w:id="259"/>
      <w:r w:rsidRPr="009040B8">
        <w:rPr>
          <w:rFonts w:ascii="Verdana" w:hAnsi="Verdana" w:cs="Arial"/>
          <w:b/>
          <w:bCs/>
          <w:iCs/>
        </w:rPr>
        <w:t xml:space="preserve"> </w:t>
      </w:r>
    </w:p>
    <w:p w:rsidR="0051730D" w:rsidRPr="009040B8" w:rsidRDefault="0051730D" w:rsidP="0051730D">
      <w:pPr>
        <w:jc w:val="both"/>
        <w:rPr>
          <w:rFonts w:ascii="Verdana" w:hAnsi="Verdana" w:cs="Arial"/>
        </w:rPr>
      </w:pPr>
      <w:r w:rsidRPr="009040B8">
        <w:rPr>
          <w:rFonts w:ascii="Verdana" w:hAnsi="Verdana" w:cs="Arial"/>
        </w:rPr>
        <w:t>Asfalt i asfalt modyfikowany polimerami należy przewozić w cysternach kolejowych lub samochodach izolowanych i zaopatrzonych w urządzenia umożliwiające pośrednie ogrzewanie oraz w zawory spustowe.</w:t>
      </w:r>
    </w:p>
    <w:p w:rsidR="0051730D" w:rsidRPr="009040B8" w:rsidRDefault="0051730D" w:rsidP="0051730D">
      <w:pPr>
        <w:jc w:val="both"/>
        <w:rPr>
          <w:rFonts w:ascii="Verdana" w:hAnsi="Verdana" w:cs="Arial"/>
        </w:rPr>
      </w:pPr>
      <w:r w:rsidRPr="009040B8">
        <w:rPr>
          <w:rFonts w:ascii="Verdana" w:hAnsi="Verdana" w:cs="Arial"/>
        </w:rPr>
        <w:t>Kruszywa można przewozić dowolnymi środkami transportu, w warunkach zabezpieczających je przed zanieczyszczeniem, zmieszaniem z innymi materiałami i nadmiernym zawilgoceniem.</w:t>
      </w:r>
    </w:p>
    <w:p w:rsidR="0051730D" w:rsidRPr="009040B8" w:rsidRDefault="0051730D" w:rsidP="0051730D">
      <w:pPr>
        <w:jc w:val="both"/>
        <w:rPr>
          <w:rFonts w:ascii="Verdana" w:hAnsi="Verdana" w:cs="Arial"/>
        </w:rPr>
      </w:pPr>
      <w:r w:rsidRPr="009040B8">
        <w:rPr>
          <w:rFonts w:ascii="Verdana" w:hAnsi="Verdana"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1730D" w:rsidRPr="009040B8" w:rsidRDefault="0051730D" w:rsidP="0051730D">
      <w:pPr>
        <w:jc w:val="both"/>
        <w:rPr>
          <w:rFonts w:ascii="Verdana" w:hAnsi="Verdana" w:cs="Arial"/>
        </w:rPr>
      </w:pPr>
      <w:r w:rsidRPr="009040B8">
        <w:rPr>
          <w:rFonts w:ascii="Verdana" w:hAnsi="Verdana"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9040B8">
        <w:rPr>
          <w:rFonts w:ascii="Verdana" w:hAnsi="Verdana" w:cs="Arial"/>
        </w:rPr>
        <w:t>pH</w:t>
      </w:r>
      <w:proofErr w:type="spellEnd"/>
      <w:r w:rsidRPr="009040B8">
        <w:rPr>
          <w:rFonts w:ascii="Verdana" w:hAnsi="Verdana" w:cs="Arial"/>
        </w:rPr>
        <w:t xml:space="preserve"> ≤ 4).</w:t>
      </w:r>
    </w:p>
    <w:p w:rsidR="0051730D" w:rsidRPr="009040B8" w:rsidRDefault="0051730D" w:rsidP="0051730D">
      <w:pPr>
        <w:jc w:val="both"/>
        <w:rPr>
          <w:rFonts w:ascii="Verdana" w:hAnsi="Verdana" w:cs="Arial"/>
        </w:rPr>
      </w:pPr>
      <w:r w:rsidRPr="009040B8">
        <w:rPr>
          <w:rFonts w:ascii="Verdana" w:hAnsi="Verdana" w:cs="Arial"/>
        </w:rPr>
        <w:t>Mieszankę mineralno-asf</w:t>
      </w:r>
      <w:r>
        <w:rPr>
          <w:rFonts w:ascii="Verdana" w:hAnsi="Verdana" w:cs="Arial"/>
        </w:rPr>
        <w:t xml:space="preserve">altową należy </w:t>
      </w:r>
      <w:r w:rsidRPr="009040B8">
        <w:rPr>
          <w:rFonts w:ascii="Verdana" w:hAnsi="Verdana" w:cs="Arial"/>
        </w:rPr>
        <w:t>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51730D" w:rsidRPr="009040B8" w:rsidRDefault="0051730D" w:rsidP="0051730D">
      <w:pPr>
        <w:keepNext/>
        <w:widowControl w:val="0"/>
        <w:numPr>
          <w:ilvl w:val="12"/>
          <w:numId w:val="0"/>
        </w:numPr>
        <w:jc w:val="both"/>
        <w:outlineLvl w:val="0"/>
        <w:rPr>
          <w:rFonts w:ascii="Verdana" w:hAnsi="Verdana" w:cs="Arial"/>
          <w:b/>
          <w:snapToGrid w:val="0"/>
        </w:rPr>
      </w:pPr>
      <w:bookmarkStart w:id="260" w:name="_Toc421940500"/>
      <w:bookmarkStart w:id="261" w:name="_Toc18217006"/>
      <w:bookmarkStart w:id="262" w:name="_Toc30219220"/>
      <w:bookmarkStart w:id="263" w:name="_Toc33319443"/>
      <w:bookmarkStart w:id="264" w:name="_Toc33320735"/>
      <w:bookmarkStart w:id="265" w:name="_Toc38338024"/>
      <w:bookmarkStart w:id="266" w:name="_Toc68660265"/>
      <w:bookmarkStart w:id="267" w:name="_Toc68921160"/>
      <w:bookmarkStart w:id="268" w:name="_Toc68929547"/>
      <w:bookmarkStart w:id="269" w:name="_Toc70745915"/>
      <w:bookmarkStart w:id="270" w:name="_Toc113338101"/>
      <w:bookmarkStart w:id="271" w:name="_Toc124213277"/>
      <w:bookmarkStart w:id="272" w:name="_Toc144694239"/>
      <w:bookmarkStart w:id="273" w:name="_Toc199904823"/>
      <w:bookmarkStart w:id="274" w:name="_Toc204566520"/>
      <w:bookmarkStart w:id="275" w:name="_Toc237920703"/>
    </w:p>
    <w:p w:rsidR="0051730D" w:rsidRPr="009040B8" w:rsidRDefault="0051730D" w:rsidP="0051730D">
      <w:pPr>
        <w:keepNext/>
        <w:widowControl w:val="0"/>
        <w:numPr>
          <w:ilvl w:val="12"/>
          <w:numId w:val="0"/>
        </w:numPr>
        <w:jc w:val="both"/>
        <w:outlineLvl w:val="0"/>
        <w:rPr>
          <w:rFonts w:ascii="Verdana" w:hAnsi="Verdana" w:cs="Arial"/>
          <w:b/>
          <w:snapToGrid w:val="0"/>
        </w:rPr>
      </w:pPr>
      <w:bookmarkStart w:id="276" w:name="_Toc316558784"/>
      <w:r w:rsidRPr="009040B8">
        <w:rPr>
          <w:rFonts w:ascii="Verdana" w:hAnsi="Verdana" w:cs="Arial"/>
          <w:b/>
          <w:snapToGrid w:val="0"/>
        </w:rPr>
        <w:t xml:space="preserve">5. </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9040B8">
        <w:rPr>
          <w:rFonts w:ascii="Verdana" w:hAnsi="Verdana" w:cs="Arial"/>
          <w:b/>
          <w:snapToGrid w:val="0"/>
        </w:rPr>
        <w:t>W</w:t>
      </w:r>
      <w:bookmarkEnd w:id="276"/>
      <w:r w:rsidRPr="009040B8">
        <w:rPr>
          <w:rFonts w:ascii="Verdana" w:hAnsi="Verdana" w:cs="Arial"/>
          <w:b/>
          <w:snapToGrid w:val="0"/>
        </w:rPr>
        <w:t>ykonanie robót</w:t>
      </w:r>
    </w:p>
    <w:p w:rsidR="0051730D" w:rsidRPr="009040B8" w:rsidRDefault="0051730D" w:rsidP="0051730D">
      <w:pPr>
        <w:keepNext/>
        <w:numPr>
          <w:ilvl w:val="12"/>
          <w:numId w:val="0"/>
        </w:numPr>
        <w:jc w:val="both"/>
        <w:outlineLvl w:val="1"/>
        <w:rPr>
          <w:rFonts w:ascii="Verdana" w:hAnsi="Verdana" w:cs="Arial"/>
          <w:b/>
          <w:bCs/>
          <w:iCs/>
        </w:rPr>
      </w:pPr>
      <w:bookmarkStart w:id="277" w:name="_Toc316558785"/>
      <w:r w:rsidRPr="009040B8">
        <w:rPr>
          <w:rFonts w:ascii="Verdana" w:hAnsi="Verdana" w:cs="Arial"/>
          <w:b/>
          <w:bCs/>
          <w:iCs/>
        </w:rPr>
        <w:t>5.1. Ogólne zasady wykonania robót</w:t>
      </w:r>
      <w:bookmarkEnd w:id="277"/>
    </w:p>
    <w:p w:rsidR="0051730D" w:rsidRPr="009040B8" w:rsidRDefault="0051730D" w:rsidP="0051730D">
      <w:pPr>
        <w:numPr>
          <w:ilvl w:val="12"/>
          <w:numId w:val="0"/>
        </w:numPr>
        <w:jc w:val="both"/>
        <w:rPr>
          <w:rFonts w:ascii="Verdana" w:hAnsi="Verdana" w:cs="Arial"/>
        </w:rPr>
      </w:pPr>
      <w:r w:rsidRPr="009040B8">
        <w:rPr>
          <w:rFonts w:ascii="Verdana" w:hAnsi="Verdana" w:cs="Arial"/>
        </w:rPr>
        <w:t>Ogólne zasady wykonania robót podano w SST D-M-00.00.00 „Wymagania ogólne” [1] pkt 5.</w:t>
      </w:r>
    </w:p>
    <w:p w:rsidR="0051730D" w:rsidRPr="009040B8" w:rsidRDefault="0051730D" w:rsidP="0051730D">
      <w:pPr>
        <w:numPr>
          <w:ilvl w:val="12"/>
          <w:numId w:val="0"/>
        </w:numPr>
        <w:jc w:val="both"/>
        <w:rPr>
          <w:rFonts w:ascii="Verdana" w:hAnsi="Verdana" w:cs="Arial"/>
        </w:rPr>
      </w:pPr>
    </w:p>
    <w:p w:rsidR="0051730D" w:rsidRPr="00E9278D" w:rsidRDefault="0051730D" w:rsidP="0051730D">
      <w:pPr>
        <w:keepNext/>
        <w:jc w:val="both"/>
        <w:outlineLvl w:val="1"/>
        <w:rPr>
          <w:rFonts w:ascii="Verdana" w:hAnsi="Verdana" w:cs="Arial"/>
          <w:b/>
          <w:bCs/>
          <w:iCs/>
        </w:rPr>
      </w:pPr>
      <w:bookmarkStart w:id="278" w:name="_Toc316558786"/>
      <w:r w:rsidRPr="00E9278D">
        <w:rPr>
          <w:rFonts w:ascii="Verdana" w:hAnsi="Verdana" w:cs="Arial"/>
          <w:b/>
          <w:bCs/>
          <w:iCs/>
        </w:rPr>
        <w:t>5.2. Projektowanie mieszanki mineralno-asfaltowej</w:t>
      </w:r>
      <w:bookmarkEnd w:id="278"/>
    </w:p>
    <w:p w:rsidR="0051730D" w:rsidRPr="00E9278D" w:rsidRDefault="0051730D" w:rsidP="0051730D">
      <w:pPr>
        <w:jc w:val="both"/>
        <w:rPr>
          <w:rFonts w:ascii="Verdana" w:hAnsi="Verdana" w:cs="Arial"/>
        </w:rPr>
      </w:pPr>
      <w:r w:rsidRPr="00E9278D">
        <w:rPr>
          <w:rFonts w:ascii="Verdana" w:hAnsi="Verdana" w:cs="Arial"/>
        </w:rPr>
        <w:t>Projektowanie mieszanki mineralno-asfaltowej polega na:</w:t>
      </w:r>
    </w:p>
    <w:p w:rsidR="0051730D" w:rsidRDefault="0051730D" w:rsidP="002122BD">
      <w:pPr>
        <w:numPr>
          <w:ilvl w:val="0"/>
          <w:numId w:val="41"/>
        </w:numPr>
        <w:jc w:val="both"/>
        <w:rPr>
          <w:rFonts w:ascii="Verdana" w:hAnsi="Verdana" w:cs="Arial"/>
        </w:rPr>
      </w:pPr>
      <w:r>
        <w:rPr>
          <w:rFonts w:ascii="Verdana" w:hAnsi="Verdana" w:cs="Arial"/>
        </w:rPr>
        <w:t>doborze składników mieszanki,</w:t>
      </w:r>
    </w:p>
    <w:p w:rsidR="0051730D" w:rsidRDefault="0051730D" w:rsidP="002122BD">
      <w:pPr>
        <w:numPr>
          <w:ilvl w:val="0"/>
          <w:numId w:val="41"/>
        </w:numPr>
        <w:jc w:val="both"/>
        <w:rPr>
          <w:rFonts w:ascii="Verdana" w:hAnsi="Verdana" w:cs="Arial"/>
        </w:rPr>
      </w:pPr>
      <w:r>
        <w:rPr>
          <w:rFonts w:ascii="Verdana" w:hAnsi="Verdana" w:cs="Arial"/>
        </w:rPr>
        <w:t>doborze optymalnej ilości asfaltu,</w:t>
      </w:r>
    </w:p>
    <w:p w:rsidR="0051730D" w:rsidRPr="00550B76" w:rsidRDefault="0051730D" w:rsidP="002122BD">
      <w:pPr>
        <w:numPr>
          <w:ilvl w:val="0"/>
          <w:numId w:val="41"/>
        </w:numPr>
        <w:jc w:val="both"/>
        <w:rPr>
          <w:rFonts w:ascii="Verdana" w:hAnsi="Verdana" w:cs="Arial"/>
        </w:rPr>
      </w:pPr>
      <w:r w:rsidRPr="00831D34">
        <w:rPr>
          <w:rFonts w:ascii="Verdana" w:hAnsi="Verdana"/>
          <w:sz w:val="18"/>
          <w:szCs w:val="18"/>
        </w:rPr>
        <w:t xml:space="preserve">doborze </w:t>
      </w:r>
      <w:r w:rsidRPr="00831D34">
        <w:rPr>
          <w:rFonts w:ascii="Verdana" w:hAnsi="Verdana" w:cs="TimesNewRoman"/>
          <w:sz w:val="18"/>
          <w:szCs w:val="18"/>
        </w:rPr>
        <w:t>ś</w:t>
      </w:r>
      <w:r w:rsidRPr="00831D34">
        <w:rPr>
          <w:rFonts w:ascii="Verdana" w:hAnsi="Verdana"/>
          <w:sz w:val="18"/>
          <w:szCs w:val="18"/>
        </w:rPr>
        <w:t>rodka adhezyjnego,</w:t>
      </w:r>
    </w:p>
    <w:p w:rsidR="0051730D" w:rsidRDefault="0051730D" w:rsidP="002122BD">
      <w:pPr>
        <w:numPr>
          <w:ilvl w:val="0"/>
          <w:numId w:val="41"/>
        </w:numPr>
        <w:jc w:val="both"/>
        <w:rPr>
          <w:rFonts w:ascii="Verdana" w:hAnsi="Verdana" w:cs="Arial"/>
        </w:rPr>
      </w:pPr>
      <w:r>
        <w:rPr>
          <w:rFonts w:ascii="Verdana" w:hAnsi="Verdana" w:cs="Arial"/>
        </w:rPr>
        <w:t>określeniu właściwości mieszanki mineralno-asfaltowej wraz z przedstawieniem sprawozdań z tych badań,</w:t>
      </w:r>
    </w:p>
    <w:p w:rsidR="0051730D" w:rsidRDefault="0051730D" w:rsidP="002122BD">
      <w:pPr>
        <w:numPr>
          <w:ilvl w:val="0"/>
          <w:numId w:val="41"/>
        </w:numPr>
        <w:jc w:val="both"/>
        <w:rPr>
          <w:rFonts w:ascii="Verdana" w:hAnsi="Verdana" w:cs="Arial"/>
        </w:rPr>
      </w:pPr>
      <w:r>
        <w:rPr>
          <w:rFonts w:ascii="Verdana" w:hAnsi="Verdana" w:cs="Arial"/>
        </w:rPr>
        <w:t>przedstawieniu w badaniu typu MMA (recepcie) poziomu odpylania dla kruszywa grubego i drobnego stosowanego do produkcji MMA,</w:t>
      </w:r>
    </w:p>
    <w:p w:rsidR="0051730D" w:rsidRDefault="0051730D" w:rsidP="002122BD">
      <w:pPr>
        <w:numPr>
          <w:ilvl w:val="0"/>
          <w:numId w:val="41"/>
        </w:numPr>
        <w:jc w:val="both"/>
        <w:rPr>
          <w:rFonts w:ascii="Verdana" w:hAnsi="Verdana" w:cs="Arial"/>
        </w:rPr>
      </w:pPr>
      <w:r>
        <w:rPr>
          <w:rFonts w:ascii="Verdana" w:hAnsi="Verdana" w:cs="Arial"/>
        </w:rPr>
        <w:t>wykonaniu przez Producenta MMA pełnych badań właściwości wszystkich materiałów wsadowych wraz z przedstawieniem sprawozdań z tych badań. Ważność wykonanych przez Producenta MMA pełnych badań właściwości wszystkich materiałów wsadowych w trakcie złożenia do akceptacji razem z badaniem typu MMA (receptą), nie mogą przekroczyć 6 miesięcy od dnia wykonania tych badań.</w:t>
      </w:r>
    </w:p>
    <w:p w:rsidR="0051730D" w:rsidRPr="006D2270" w:rsidRDefault="0051730D" w:rsidP="0051730D">
      <w:pPr>
        <w:jc w:val="both"/>
        <w:rPr>
          <w:rFonts w:ascii="Verdana" w:hAnsi="Verdana" w:cs="Arial"/>
          <w:strike/>
        </w:rPr>
      </w:pPr>
      <w:r>
        <w:rPr>
          <w:rFonts w:ascii="Verdana" w:hAnsi="Verdana" w:cs="Arial"/>
        </w:rPr>
        <w:t>W terminie 4 tygodni p</w:t>
      </w:r>
      <w:r w:rsidRPr="006D2270">
        <w:rPr>
          <w:rFonts w:ascii="Verdana" w:hAnsi="Verdana" w:cs="Arial"/>
        </w:rPr>
        <w:t xml:space="preserve">rzed przystąpieniem do robót Wykonawca dostarczy Przedstawicielowi Zamawiającego/Inspektorowi Nadzoru do akceptacji projekt </w:t>
      </w:r>
      <w:r>
        <w:rPr>
          <w:rFonts w:ascii="Verdana" w:hAnsi="Verdana" w:cs="Arial"/>
        </w:rPr>
        <w:t xml:space="preserve">MMA (badanie typu, recepta) </w:t>
      </w:r>
      <w:r w:rsidRPr="006D2270">
        <w:rPr>
          <w:rFonts w:ascii="Verdana" w:hAnsi="Verdana" w:cs="Arial"/>
        </w:rPr>
        <w:t>wraz z pełnymi badaniami</w:t>
      </w:r>
      <w:r>
        <w:rPr>
          <w:rFonts w:ascii="Verdana" w:hAnsi="Verdana" w:cs="Arial"/>
        </w:rPr>
        <w:t xml:space="preserve"> właściwości</w:t>
      </w:r>
      <w:r w:rsidRPr="006D2270">
        <w:rPr>
          <w:rFonts w:ascii="Verdana" w:hAnsi="Verdana" w:cs="Arial"/>
        </w:rPr>
        <w:t xml:space="preserve"> materiałów wsadowych </w:t>
      </w:r>
      <w:r>
        <w:rPr>
          <w:rFonts w:ascii="Verdana" w:hAnsi="Verdana" w:cs="Arial"/>
        </w:rPr>
        <w:t xml:space="preserve">                   </w:t>
      </w:r>
      <w:r w:rsidRPr="006D2270">
        <w:rPr>
          <w:rFonts w:ascii="Verdana" w:hAnsi="Verdana" w:cs="Arial"/>
        </w:rPr>
        <w:t xml:space="preserve">i właściwości MMA. </w:t>
      </w:r>
    </w:p>
    <w:p w:rsidR="0051730D" w:rsidRPr="009040B8" w:rsidRDefault="0051730D" w:rsidP="0051730D">
      <w:pPr>
        <w:jc w:val="both"/>
        <w:rPr>
          <w:rFonts w:ascii="Verdana" w:hAnsi="Verdana" w:cs="Arial"/>
        </w:rPr>
      </w:pPr>
      <w:r w:rsidRPr="009040B8">
        <w:rPr>
          <w:rFonts w:ascii="Verdana" w:hAnsi="Verdana" w:cs="Arial"/>
        </w:rPr>
        <w:t xml:space="preserve">Uziarnienie mieszanki mineralnej oraz minimalna zawartość lepiszcza podane są w </w:t>
      </w:r>
      <w:r>
        <w:rPr>
          <w:rFonts w:ascii="Verdana" w:hAnsi="Verdana" w:cs="Arial"/>
        </w:rPr>
        <w:t xml:space="preserve">                  </w:t>
      </w:r>
      <w:r w:rsidRPr="009040B8">
        <w:rPr>
          <w:rFonts w:ascii="Verdana" w:hAnsi="Verdana" w:cs="Arial"/>
        </w:rPr>
        <w:t>tab</w:t>
      </w:r>
      <w:r>
        <w:rPr>
          <w:rFonts w:ascii="Verdana" w:hAnsi="Verdana" w:cs="Arial"/>
        </w:rPr>
        <w:t>eli 9</w:t>
      </w:r>
      <w:r w:rsidRPr="009040B8">
        <w:rPr>
          <w:rFonts w:ascii="Verdana" w:hAnsi="Verdana" w:cs="Arial"/>
        </w:rPr>
        <w:t>.</w:t>
      </w:r>
    </w:p>
    <w:p w:rsidR="0051730D" w:rsidRDefault="0051730D" w:rsidP="0051730D">
      <w:pPr>
        <w:jc w:val="both"/>
        <w:rPr>
          <w:rFonts w:ascii="Verdana" w:hAnsi="Verdana" w:cs="Arial"/>
        </w:rPr>
      </w:pPr>
      <w:r w:rsidRPr="009040B8">
        <w:rPr>
          <w:rFonts w:ascii="Verdana" w:hAnsi="Verdana" w:cs="Arial"/>
        </w:rPr>
        <w:t>Wymagane właściwości mieszanki mineralno-asfaltowej podane są w tab</w:t>
      </w:r>
      <w:r>
        <w:rPr>
          <w:rFonts w:ascii="Verdana" w:hAnsi="Verdana" w:cs="Arial"/>
        </w:rPr>
        <w:t>eli</w:t>
      </w:r>
      <w:r w:rsidRPr="009040B8">
        <w:rPr>
          <w:rFonts w:ascii="Verdana" w:hAnsi="Verdana" w:cs="Arial"/>
        </w:rPr>
        <w:t xml:space="preserve"> </w:t>
      </w:r>
      <w:r>
        <w:rPr>
          <w:rFonts w:ascii="Verdana" w:hAnsi="Verdana" w:cs="Arial"/>
        </w:rPr>
        <w:t>10</w:t>
      </w:r>
      <w:r w:rsidRPr="009040B8">
        <w:rPr>
          <w:rFonts w:ascii="Verdana" w:hAnsi="Verdana" w:cs="Arial"/>
        </w:rPr>
        <w:t>.</w:t>
      </w:r>
    </w:p>
    <w:p w:rsidR="0051730D" w:rsidRDefault="0051730D" w:rsidP="0051730D">
      <w:pPr>
        <w:jc w:val="both"/>
        <w:rPr>
          <w:rFonts w:ascii="Verdana" w:hAnsi="Verdana" w:cs="Arial"/>
        </w:rPr>
      </w:pPr>
    </w:p>
    <w:p w:rsidR="0051730D" w:rsidRPr="009040B8" w:rsidRDefault="0051730D" w:rsidP="0051730D">
      <w:pPr>
        <w:ind w:left="1134" w:hanging="1134"/>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w:t>
      </w:r>
      <w:r>
        <w:rPr>
          <w:rFonts w:ascii="Verdana" w:hAnsi="Verdana" w:cs="Arial"/>
        </w:rPr>
        <w:t>9</w:t>
      </w:r>
      <w:r w:rsidRPr="009040B8">
        <w:rPr>
          <w:rFonts w:ascii="Verdana" w:hAnsi="Verdana" w:cs="Arial"/>
        </w:rPr>
        <w:t xml:space="preserve">. Uziarnienie mieszanki mineralnej oraz minimalna zawartość lepiszcza do betonu asfaltowego do warstwy </w:t>
      </w:r>
      <w:r>
        <w:rPr>
          <w:rFonts w:ascii="Verdana" w:hAnsi="Verdana" w:cs="Arial"/>
        </w:rPr>
        <w:t>podbudowy</w:t>
      </w:r>
      <w:r w:rsidRPr="009040B8">
        <w:rPr>
          <w:rFonts w:ascii="Verdana" w:hAnsi="Verdana" w:cs="Arial"/>
        </w:rPr>
        <w:t xml:space="preserve"> dla KR 3</w:t>
      </w:r>
      <w:r>
        <w:rPr>
          <w:rFonts w:ascii="Verdana" w:hAnsi="Verdana" w:cs="Arial"/>
        </w:rPr>
        <w:t>÷</w:t>
      </w:r>
      <w:r w:rsidRPr="009040B8">
        <w:rPr>
          <w:rFonts w:ascii="Verdana" w:hAnsi="Verdana" w:cs="Arial"/>
        </w:rPr>
        <w:t>4 [65]</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835"/>
        <w:gridCol w:w="2693"/>
      </w:tblGrid>
      <w:tr w:rsidR="0051730D" w:rsidRPr="009040B8" w:rsidTr="0051730D">
        <w:trPr>
          <w:trHeight w:val="415"/>
        </w:trPr>
        <w:tc>
          <w:tcPr>
            <w:tcW w:w="3260" w:type="dxa"/>
            <w:vMerge w:val="restart"/>
            <w:vAlign w:val="center"/>
          </w:tcPr>
          <w:p w:rsidR="0051730D" w:rsidRPr="009040B8" w:rsidRDefault="0051730D" w:rsidP="0051730D">
            <w:pPr>
              <w:jc w:val="center"/>
              <w:rPr>
                <w:rFonts w:ascii="Verdana" w:hAnsi="Verdana" w:cs="Arial"/>
              </w:rPr>
            </w:pPr>
            <w:r w:rsidRPr="009040B8">
              <w:rPr>
                <w:rFonts w:ascii="Verdana" w:hAnsi="Verdana" w:cs="Arial"/>
              </w:rPr>
              <w:t>Właściwość</w:t>
            </w:r>
          </w:p>
        </w:tc>
        <w:tc>
          <w:tcPr>
            <w:tcW w:w="5528"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Przesiew,   [% (m/m)]</w:t>
            </w:r>
          </w:p>
        </w:tc>
      </w:tr>
      <w:tr w:rsidR="0051730D" w:rsidRPr="009040B8" w:rsidTr="0051730D">
        <w:trPr>
          <w:trHeight w:val="406"/>
        </w:trPr>
        <w:tc>
          <w:tcPr>
            <w:tcW w:w="3260" w:type="dxa"/>
            <w:vMerge/>
            <w:vAlign w:val="center"/>
          </w:tcPr>
          <w:p w:rsidR="0051730D" w:rsidRPr="009040B8" w:rsidRDefault="0051730D" w:rsidP="0051730D">
            <w:pPr>
              <w:jc w:val="center"/>
              <w:rPr>
                <w:rFonts w:ascii="Verdana" w:hAnsi="Verdana" w:cs="Arial"/>
              </w:rPr>
            </w:pPr>
          </w:p>
        </w:tc>
        <w:tc>
          <w:tcPr>
            <w:tcW w:w="5528"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 xml:space="preserve">AC </w:t>
            </w:r>
            <w:r>
              <w:rPr>
                <w:rFonts w:ascii="Verdana" w:hAnsi="Verdana" w:cs="Arial"/>
              </w:rPr>
              <w:t>22 P</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Wymiar sita #, [mm]</w:t>
            </w:r>
          </w:p>
        </w:tc>
        <w:tc>
          <w:tcPr>
            <w:tcW w:w="2835" w:type="dxa"/>
            <w:vAlign w:val="center"/>
          </w:tcPr>
          <w:p w:rsidR="0051730D" w:rsidRPr="009040B8" w:rsidRDefault="0051730D" w:rsidP="0051730D">
            <w:pPr>
              <w:jc w:val="center"/>
              <w:rPr>
                <w:rFonts w:ascii="Verdana" w:hAnsi="Verdana" w:cs="Arial"/>
              </w:rPr>
            </w:pPr>
            <w:r w:rsidRPr="009040B8">
              <w:rPr>
                <w:rFonts w:ascii="Verdana" w:hAnsi="Verdana" w:cs="Arial"/>
              </w:rPr>
              <w:t>od</w:t>
            </w:r>
          </w:p>
        </w:tc>
        <w:tc>
          <w:tcPr>
            <w:tcW w:w="2693" w:type="dxa"/>
            <w:vAlign w:val="center"/>
          </w:tcPr>
          <w:p w:rsidR="0051730D" w:rsidRPr="009040B8" w:rsidRDefault="0051730D" w:rsidP="0051730D">
            <w:pPr>
              <w:jc w:val="center"/>
              <w:rPr>
                <w:rFonts w:ascii="Verdana" w:hAnsi="Verdana" w:cs="Arial"/>
              </w:rPr>
            </w:pPr>
            <w:r w:rsidRPr="009040B8">
              <w:rPr>
                <w:rFonts w:ascii="Verdana" w:hAnsi="Verdana" w:cs="Arial"/>
              </w:rPr>
              <w:t>do</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31,5</w:t>
            </w:r>
          </w:p>
        </w:tc>
        <w:tc>
          <w:tcPr>
            <w:tcW w:w="2835" w:type="dxa"/>
            <w:vAlign w:val="center"/>
          </w:tcPr>
          <w:p w:rsidR="0051730D" w:rsidRPr="009040B8" w:rsidRDefault="0051730D" w:rsidP="0051730D">
            <w:pPr>
              <w:jc w:val="center"/>
              <w:rPr>
                <w:rFonts w:ascii="Verdana" w:hAnsi="Verdana" w:cs="Arial"/>
              </w:rPr>
            </w:pPr>
            <w:r>
              <w:rPr>
                <w:rFonts w:ascii="Verdana" w:hAnsi="Verdana" w:cs="Arial"/>
              </w:rPr>
              <w:t>100</w:t>
            </w:r>
          </w:p>
        </w:tc>
        <w:tc>
          <w:tcPr>
            <w:tcW w:w="2693" w:type="dxa"/>
            <w:vAlign w:val="center"/>
          </w:tcPr>
          <w:p w:rsidR="0051730D" w:rsidRPr="009040B8" w:rsidRDefault="0051730D" w:rsidP="0051730D">
            <w:pPr>
              <w:jc w:val="center"/>
              <w:rPr>
                <w:rFonts w:ascii="Verdana" w:hAnsi="Verdana" w:cs="Arial"/>
              </w:rPr>
            </w:pPr>
            <w:r w:rsidRPr="009040B8">
              <w:rPr>
                <w:rFonts w:ascii="Verdana" w:hAnsi="Verdana" w:cs="Arial"/>
              </w:rPr>
              <w:t>-</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22,4</w:t>
            </w:r>
          </w:p>
        </w:tc>
        <w:tc>
          <w:tcPr>
            <w:tcW w:w="2835" w:type="dxa"/>
            <w:vAlign w:val="center"/>
          </w:tcPr>
          <w:p w:rsidR="0051730D" w:rsidRPr="009040B8" w:rsidRDefault="0051730D" w:rsidP="0051730D">
            <w:pPr>
              <w:jc w:val="center"/>
              <w:rPr>
                <w:rFonts w:ascii="Verdana" w:hAnsi="Verdana" w:cs="Arial"/>
              </w:rPr>
            </w:pPr>
            <w:r>
              <w:rPr>
                <w:rFonts w:ascii="Verdana" w:hAnsi="Verdana" w:cs="Arial"/>
              </w:rPr>
              <w:t>90</w:t>
            </w:r>
          </w:p>
        </w:tc>
        <w:tc>
          <w:tcPr>
            <w:tcW w:w="2693" w:type="dxa"/>
            <w:vAlign w:val="center"/>
          </w:tcPr>
          <w:p w:rsidR="0051730D" w:rsidRPr="009040B8" w:rsidRDefault="0051730D" w:rsidP="0051730D">
            <w:pPr>
              <w:jc w:val="center"/>
              <w:rPr>
                <w:rFonts w:ascii="Verdana" w:hAnsi="Verdana" w:cs="Arial"/>
              </w:rPr>
            </w:pPr>
            <w:r>
              <w:rPr>
                <w:rFonts w:ascii="Verdana" w:hAnsi="Verdana" w:cs="Arial"/>
              </w:rPr>
              <w:t>100</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16</w:t>
            </w:r>
            <w:r>
              <w:rPr>
                <w:rFonts w:ascii="Verdana" w:hAnsi="Verdana" w:cs="Arial"/>
              </w:rPr>
              <w:t>,0</w:t>
            </w:r>
          </w:p>
        </w:tc>
        <w:tc>
          <w:tcPr>
            <w:tcW w:w="2835" w:type="dxa"/>
            <w:vAlign w:val="center"/>
          </w:tcPr>
          <w:p w:rsidR="0051730D" w:rsidRPr="009040B8" w:rsidRDefault="0051730D" w:rsidP="0051730D">
            <w:pPr>
              <w:jc w:val="center"/>
              <w:rPr>
                <w:rFonts w:ascii="Verdana" w:hAnsi="Verdana" w:cs="Arial"/>
              </w:rPr>
            </w:pPr>
            <w:r>
              <w:rPr>
                <w:rFonts w:ascii="Verdana" w:hAnsi="Verdana" w:cs="Arial"/>
              </w:rPr>
              <w:t>65</w:t>
            </w:r>
          </w:p>
        </w:tc>
        <w:tc>
          <w:tcPr>
            <w:tcW w:w="2693" w:type="dxa"/>
            <w:vAlign w:val="center"/>
          </w:tcPr>
          <w:p w:rsidR="0051730D" w:rsidRPr="009040B8" w:rsidRDefault="0051730D" w:rsidP="0051730D">
            <w:pPr>
              <w:jc w:val="center"/>
              <w:rPr>
                <w:rFonts w:ascii="Verdana" w:hAnsi="Verdana" w:cs="Arial"/>
              </w:rPr>
            </w:pPr>
            <w:r>
              <w:rPr>
                <w:rFonts w:ascii="Verdana" w:hAnsi="Verdana" w:cs="Arial"/>
              </w:rPr>
              <w:t>90</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11,2</w:t>
            </w:r>
          </w:p>
        </w:tc>
        <w:tc>
          <w:tcPr>
            <w:tcW w:w="2835" w:type="dxa"/>
            <w:vAlign w:val="center"/>
          </w:tcPr>
          <w:p w:rsidR="0051730D" w:rsidRPr="009040B8" w:rsidRDefault="0051730D" w:rsidP="0051730D">
            <w:pPr>
              <w:jc w:val="center"/>
              <w:rPr>
                <w:rFonts w:ascii="Verdana" w:hAnsi="Verdana" w:cs="Arial"/>
              </w:rPr>
            </w:pPr>
            <w:r>
              <w:rPr>
                <w:rFonts w:ascii="Verdana" w:hAnsi="Verdana" w:cs="Arial"/>
              </w:rPr>
              <w:t>-</w:t>
            </w:r>
          </w:p>
        </w:tc>
        <w:tc>
          <w:tcPr>
            <w:tcW w:w="2693" w:type="dxa"/>
            <w:vAlign w:val="center"/>
          </w:tcPr>
          <w:p w:rsidR="0051730D" w:rsidRPr="009040B8" w:rsidRDefault="0051730D" w:rsidP="0051730D">
            <w:pPr>
              <w:jc w:val="center"/>
              <w:rPr>
                <w:rFonts w:ascii="Verdana" w:hAnsi="Verdana" w:cs="Arial"/>
              </w:rPr>
            </w:pPr>
            <w:r>
              <w:rPr>
                <w:rFonts w:ascii="Verdana" w:hAnsi="Verdana" w:cs="Arial"/>
              </w:rPr>
              <w:t>-</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8</w:t>
            </w:r>
            <w:r>
              <w:rPr>
                <w:rFonts w:ascii="Verdana" w:hAnsi="Verdana" w:cs="Arial"/>
              </w:rPr>
              <w:t>,0</w:t>
            </w:r>
          </w:p>
        </w:tc>
        <w:tc>
          <w:tcPr>
            <w:tcW w:w="2835" w:type="dxa"/>
            <w:vAlign w:val="center"/>
          </w:tcPr>
          <w:p w:rsidR="0051730D" w:rsidRPr="009040B8" w:rsidRDefault="0051730D" w:rsidP="0051730D">
            <w:pPr>
              <w:jc w:val="center"/>
              <w:rPr>
                <w:rFonts w:ascii="Verdana" w:hAnsi="Verdana" w:cs="Arial"/>
              </w:rPr>
            </w:pPr>
            <w:r>
              <w:rPr>
                <w:rFonts w:ascii="Verdana" w:hAnsi="Verdana" w:cs="Arial"/>
              </w:rPr>
              <w:t>42</w:t>
            </w:r>
          </w:p>
        </w:tc>
        <w:tc>
          <w:tcPr>
            <w:tcW w:w="2693" w:type="dxa"/>
            <w:vAlign w:val="center"/>
          </w:tcPr>
          <w:p w:rsidR="0051730D" w:rsidRPr="009040B8" w:rsidRDefault="0051730D" w:rsidP="0051730D">
            <w:pPr>
              <w:jc w:val="center"/>
              <w:rPr>
                <w:rFonts w:ascii="Verdana" w:hAnsi="Verdana" w:cs="Arial"/>
              </w:rPr>
            </w:pPr>
            <w:r>
              <w:rPr>
                <w:rFonts w:ascii="Verdana" w:hAnsi="Verdana" w:cs="Arial"/>
              </w:rPr>
              <w:t>68</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2</w:t>
            </w:r>
            <w:r>
              <w:rPr>
                <w:rFonts w:ascii="Verdana" w:hAnsi="Verdana" w:cs="Arial"/>
              </w:rPr>
              <w:t>,0</w:t>
            </w:r>
          </w:p>
        </w:tc>
        <w:tc>
          <w:tcPr>
            <w:tcW w:w="2835" w:type="dxa"/>
            <w:vAlign w:val="center"/>
          </w:tcPr>
          <w:p w:rsidR="0051730D" w:rsidRPr="009040B8" w:rsidRDefault="0051730D" w:rsidP="0051730D">
            <w:pPr>
              <w:jc w:val="center"/>
              <w:rPr>
                <w:rFonts w:ascii="Verdana" w:hAnsi="Verdana" w:cs="Arial"/>
              </w:rPr>
            </w:pPr>
            <w:r>
              <w:rPr>
                <w:rFonts w:ascii="Verdana" w:hAnsi="Verdana" w:cs="Arial"/>
              </w:rPr>
              <w:t>15</w:t>
            </w:r>
          </w:p>
        </w:tc>
        <w:tc>
          <w:tcPr>
            <w:tcW w:w="2693" w:type="dxa"/>
            <w:vAlign w:val="center"/>
          </w:tcPr>
          <w:p w:rsidR="0051730D" w:rsidRPr="009040B8" w:rsidRDefault="0051730D" w:rsidP="0051730D">
            <w:pPr>
              <w:jc w:val="center"/>
              <w:rPr>
                <w:rFonts w:ascii="Verdana" w:hAnsi="Verdana" w:cs="Arial"/>
              </w:rPr>
            </w:pPr>
            <w:r>
              <w:rPr>
                <w:rFonts w:ascii="Verdana" w:hAnsi="Verdana" w:cs="Arial"/>
              </w:rPr>
              <w:t>45</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0,125</w:t>
            </w:r>
          </w:p>
        </w:tc>
        <w:tc>
          <w:tcPr>
            <w:tcW w:w="2835" w:type="dxa"/>
            <w:vAlign w:val="center"/>
          </w:tcPr>
          <w:p w:rsidR="0051730D" w:rsidRPr="009040B8" w:rsidRDefault="0051730D" w:rsidP="0051730D">
            <w:pPr>
              <w:jc w:val="center"/>
              <w:rPr>
                <w:rFonts w:ascii="Verdana" w:hAnsi="Verdana" w:cs="Arial"/>
              </w:rPr>
            </w:pPr>
            <w:r w:rsidRPr="009040B8">
              <w:rPr>
                <w:rFonts w:ascii="Verdana" w:hAnsi="Verdana" w:cs="Arial"/>
              </w:rPr>
              <w:t>4</w:t>
            </w:r>
          </w:p>
        </w:tc>
        <w:tc>
          <w:tcPr>
            <w:tcW w:w="2693" w:type="dxa"/>
            <w:vAlign w:val="center"/>
          </w:tcPr>
          <w:p w:rsidR="0051730D" w:rsidRPr="009040B8" w:rsidRDefault="0051730D" w:rsidP="0051730D">
            <w:pPr>
              <w:jc w:val="center"/>
              <w:rPr>
                <w:rFonts w:ascii="Verdana" w:hAnsi="Verdana" w:cs="Arial"/>
              </w:rPr>
            </w:pPr>
            <w:r w:rsidRPr="009040B8">
              <w:rPr>
                <w:rFonts w:ascii="Verdana" w:hAnsi="Verdana" w:cs="Arial"/>
              </w:rPr>
              <w:t>12</w:t>
            </w:r>
          </w:p>
        </w:tc>
      </w:tr>
      <w:tr w:rsidR="0051730D" w:rsidRPr="009040B8" w:rsidTr="0051730D">
        <w:tc>
          <w:tcPr>
            <w:tcW w:w="3260" w:type="dxa"/>
            <w:vAlign w:val="center"/>
          </w:tcPr>
          <w:p w:rsidR="0051730D" w:rsidRPr="009040B8" w:rsidRDefault="0051730D" w:rsidP="0051730D">
            <w:pPr>
              <w:jc w:val="center"/>
              <w:rPr>
                <w:rFonts w:ascii="Verdana" w:hAnsi="Verdana" w:cs="Arial"/>
              </w:rPr>
            </w:pPr>
            <w:r w:rsidRPr="009040B8">
              <w:rPr>
                <w:rFonts w:ascii="Verdana" w:hAnsi="Verdana" w:cs="Arial"/>
              </w:rPr>
              <w:t>0,063</w:t>
            </w:r>
          </w:p>
        </w:tc>
        <w:tc>
          <w:tcPr>
            <w:tcW w:w="2835" w:type="dxa"/>
            <w:vAlign w:val="center"/>
          </w:tcPr>
          <w:p w:rsidR="0051730D" w:rsidRPr="009040B8" w:rsidRDefault="0051730D" w:rsidP="0051730D">
            <w:pPr>
              <w:jc w:val="center"/>
              <w:rPr>
                <w:rFonts w:ascii="Verdana" w:hAnsi="Verdana" w:cs="Arial"/>
              </w:rPr>
            </w:pPr>
            <w:r w:rsidRPr="009040B8">
              <w:rPr>
                <w:rFonts w:ascii="Verdana" w:hAnsi="Verdana" w:cs="Arial"/>
              </w:rPr>
              <w:t>4,0</w:t>
            </w:r>
          </w:p>
        </w:tc>
        <w:tc>
          <w:tcPr>
            <w:tcW w:w="2693" w:type="dxa"/>
            <w:vAlign w:val="center"/>
          </w:tcPr>
          <w:p w:rsidR="0051730D" w:rsidRPr="009040B8" w:rsidRDefault="0051730D" w:rsidP="0051730D">
            <w:pPr>
              <w:jc w:val="center"/>
              <w:rPr>
                <w:rFonts w:ascii="Verdana" w:hAnsi="Verdana" w:cs="Arial"/>
              </w:rPr>
            </w:pPr>
            <w:r>
              <w:rPr>
                <w:rFonts w:ascii="Verdana" w:hAnsi="Verdana" w:cs="Arial"/>
              </w:rPr>
              <w:t>8</w:t>
            </w:r>
            <w:r w:rsidRPr="009040B8">
              <w:rPr>
                <w:rFonts w:ascii="Verdana" w:hAnsi="Verdana" w:cs="Arial"/>
              </w:rPr>
              <w:t>,0</w:t>
            </w:r>
          </w:p>
        </w:tc>
      </w:tr>
      <w:tr w:rsidR="0051730D" w:rsidRPr="009040B8" w:rsidTr="0051730D">
        <w:tc>
          <w:tcPr>
            <w:tcW w:w="3260" w:type="dxa"/>
            <w:vAlign w:val="center"/>
          </w:tcPr>
          <w:p w:rsidR="0051730D" w:rsidRPr="009040B8" w:rsidRDefault="0051730D" w:rsidP="0051730D">
            <w:pPr>
              <w:jc w:val="center"/>
              <w:rPr>
                <w:rFonts w:ascii="Verdana" w:hAnsi="Verdana" w:cs="Arial"/>
                <w:vertAlign w:val="superscript"/>
              </w:rPr>
            </w:pPr>
            <w:r w:rsidRPr="009040B8">
              <w:rPr>
                <w:rFonts w:ascii="Verdana" w:hAnsi="Verdana" w:cs="Arial"/>
              </w:rPr>
              <w:t>Zawartość lepiszcza, minimum</w:t>
            </w:r>
            <w:r w:rsidRPr="009040B8">
              <w:rPr>
                <w:rFonts w:ascii="Verdana" w:hAnsi="Verdana" w:cs="Arial"/>
                <w:vertAlign w:val="superscript"/>
              </w:rPr>
              <w:t>*)</w:t>
            </w:r>
          </w:p>
        </w:tc>
        <w:tc>
          <w:tcPr>
            <w:tcW w:w="5528"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B</w:t>
            </w:r>
            <w:r w:rsidRPr="009040B8">
              <w:rPr>
                <w:rFonts w:ascii="Verdana" w:hAnsi="Verdana" w:cs="Arial"/>
                <w:vertAlign w:val="subscript"/>
              </w:rPr>
              <w:t>min4,</w:t>
            </w:r>
            <w:r>
              <w:rPr>
                <w:rFonts w:ascii="Verdana" w:hAnsi="Verdana" w:cs="Arial"/>
                <w:vertAlign w:val="subscript"/>
              </w:rPr>
              <w:t>0</w:t>
            </w:r>
          </w:p>
        </w:tc>
      </w:tr>
      <w:tr w:rsidR="0051730D" w:rsidRPr="009040B8" w:rsidTr="0051730D">
        <w:tc>
          <w:tcPr>
            <w:tcW w:w="8788" w:type="dxa"/>
            <w:gridSpan w:val="3"/>
            <w:vAlign w:val="center"/>
          </w:tcPr>
          <w:p w:rsidR="0051730D" w:rsidRPr="009040B8" w:rsidRDefault="0051730D" w:rsidP="0051730D">
            <w:pPr>
              <w:jc w:val="both"/>
              <w:rPr>
                <w:rFonts w:ascii="Verdana" w:hAnsi="Verdana" w:cs="Arial"/>
              </w:rPr>
            </w:pPr>
            <w:r w:rsidRPr="009040B8">
              <w:rPr>
                <w:rFonts w:ascii="Verdana" w:hAnsi="Verdana" w:cs="Arial"/>
                <w:vertAlign w:val="superscript"/>
              </w:rPr>
              <w:t>*)</w:t>
            </w:r>
            <w:r w:rsidRPr="009040B8">
              <w:rPr>
                <w:rFonts w:ascii="Verdana" w:hAnsi="Verdana" w:cs="Arial"/>
              </w:rPr>
              <w:t xml:space="preserve"> Minimalna zawartość lepiszcza jest określona przy założonej gęstości mieszanki mineralnej 2,650 Mg/m</w:t>
            </w:r>
            <w:r w:rsidRPr="009040B8">
              <w:rPr>
                <w:rFonts w:ascii="Verdana" w:hAnsi="Verdana" w:cs="Arial"/>
                <w:vertAlign w:val="superscript"/>
              </w:rPr>
              <w:t>3</w:t>
            </w:r>
            <w:r w:rsidRPr="009040B8">
              <w:rPr>
                <w:rFonts w:ascii="Verdana" w:hAnsi="Verdana" w:cs="Arial"/>
              </w:rPr>
              <w:t xml:space="preserve">. </w:t>
            </w:r>
          </w:p>
          <w:p w:rsidR="0051730D" w:rsidRPr="009040B8" w:rsidRDefault="0051730D" w:rsidP="0051730D">
            <w:pPr>
              <w:jc w:val="both"/>
              <w:rPr>
                <w:rFonts w:ascii="Verdana" w:hAnsi="Verdana" w:cs="Arial"/>
              </w:rPr>
            </w:pPr>
            <w:r w:rsidRPr="009040B8">
              <w:rPr>
                <w:rFonts w:ascii="Verdana" w:hAnsi="Verdana" w:cs="Arial"/>
              </w:rPr>
              <w:t>Jeżeli stosowana mieszanka mineralna ma inną gęstość (</w:t>
            </w:r>
            <w:proofErr w:type="spellStart"/>
            <w:r w:rsidRPr="009040B8">
              <w:rPr>
                <w:rFonts w:ascii="Verdana" w:hAnsi="Verdana" w:cs="Arial"/>
                <w:i/>
              </w:rPr>
              <w:t>ρ</w:t>
            </w:r>
            <w:r w:rsidRPr="009040B8">
              <w:rPr>
                <w:rFonts w:ascii="Verdana" w:hAnsi="Verdana" w:cs="Arial"/>
                <w:vertAlign w:val="subscript"/>
              </w:rPr>
              <w:t>d</w:t>
            </w:r>
            <w:proofErr w:type="spellEnd"/>
            <w:r w:rsidRPr="009040B8">
              <w:rPr>
                <w:rFonts w:ascii="Verdana" w:hAnsi="Verdana" w:cs="Arial"/>
              </w:rPr>
              <w:t xml:space="preserve">), to do wyznaczenia minimalnej zawartości lepiszcza podaną wartość należy pomnożyć przez współczynnik </w:t>
            </w:r>
            <w:r w:rsidR="00E07AC4">
              <w:rPr>
                <w:rFonts w:ascii="Verdana" w:hAnsi="Verdana" w:cs="Arial"/>
                <w:position w:val="-6"/>
              </w:rPr>
              <w:pict>
                <v:shape id="_x0000_i1027" type="#_x0000_t75" style="width:12pt;height:11.25pt">
                  <v:imagedata r:id="rId13" o:title=""/>
                </v:shape>
              </w:pict>
            </w:r>
            <w:r w:rsidRPr="009040B8">
              <w:rPr>
                <w:rFonts w:ascii="Verdana" w:hAnsi="Verdana" w:cs="Arial"/>
              </w:rPr>
              <w:t xml:space="preserve"> według równania: </w:t>
            </w:r>
            <w:r w:rsidR="00E07AC4">
              <w:rPr>
                <w:rFonts w:ascii="Verdana" w:hAnsi="Verdana" w:cs="Arial"/>
                <w:position w:val="-30"/>
              </w:rPr>
              <w:pict>
                <v:shape id="_x0000_i1028" type="#_x0000_t75" style="width:44.25pt;height:33.75pt">
                  <v:imagedata r:id="rId14" o:title=""/>
                </v:shape>
              </w:pict>
            </w:r>
          </w:p>
        </w:tc>
      </w:tr>
    </w:tbl>
    <w:p w:rsidR="0051730D" w:rsidRDefault="0051730D" w:rsidP="0051730D">
      <w:pPr>
        <w:ind w:left="1134" w:hanging="1134"/>
        <w:rPr>
          <w:rFonts w:ascii="Verdana" w:hAnsi="Verdana" w:cs="Arial"/>
        </w:rPr>
      </w:pPr>
    </w:p>
    <w:p w:rsidR="0051730D" w:rsidRPr="009040B8" w:rsidRDefault="0051730D" w:rsidP="0051730D">
      <w:pPr>
        <w:ind w:left="1134" w:hanging="1134"/>
        <w:rPr>
          <w:rFonts w:ascii="Verdana" w:hAnsi="Verdana" w:cs="Arial"/>
        </w:rPr>
      </w:pPr>
      <w:r>
        <w:rPr>
          <w:rFonts w:ascii="Verdana" w:hAnsi="Verdana" w:cs="Arial"/>
        </w:rPr>
        <w:t xml:space="preserve">Tabela 10. </w:t>
      </w:r>
      <w:r w:rsidRPr="009040B8">
        <w:rPr>
          <w:rFonts w:ascii="Verdana" w:hAnsi="Verdana" w:cs="Arial"/>
        </w:rPr>
        <w:t xml:space="preserve">Wymagane właściwości mieszanki mineralno-asfaltowej do warstwy </w:t>
      </w:r>
      <w:r>
        <w:rPr>
          <w:rFonts w:ascii="Verdana" w:hAnsi="Verdana" w:cs="Arial"/>
        </w:rPr>
        <w:t>podbudowy</w:t>
      </w:r>
      <w:r w:rsidRPr="009040B8">
        <w:rPr>
          <w:rFonts w:ascii="Verdana" w:hAnsi="Verdana" w:cs="Arial"/>
        </w:rPr>
        <w:t>, przy ruchu KR 3</w:t>
      </w:r>
      <w:r>
        <w:rPr>
          <w:rFonts w:ascii="Verdana" w:hAnsi="Verdana" w:cs="Arial"/>
        </w:rPr>
        <w:t>÷</w:t>
      </w:r>
      <w:r w:rsidRPr="009040B8">
        <w:rPr>
          <w:rFonts w:ascii="Verdana" w:hAnsi="Verdana" w:cs="Arial"/>
        </w:rPr>
        <w:t>4 [65]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701"/>
        <w:gridCol w:w="2835"/>
        <w:gridCol w:w="2694"/>
      </w:tblGrid>
      <w:tr w:rsidR="0051730D" w:rsidRPr="009040B8" w:rsidTr="0051730D">
        <w:tc>
          <w:tcPr>
            <w:tcW w:w="1809" w:type="dxa"/>
            <w:vAlign w:val="center"/>
          </w:tcPr>
          <w:p w:rsidR="0051730D" w:rsidRPr="009040B8" w:rsidRDefault="0051730D" w:rsidP="0051730D">
            <w:pPr>
              <w:jc w:val="center"/>
              <w:rPr>
                <w:rFonts w:ascii="Verdana" w:hAnsi="Verdana" w:cs="Arial"/>
              </w:rPr>
            </w:pPr>
            <w:r w:rsidRPr="009040B8">
              <w:rPr>
                <w:rFonts w:ascii="Verdana" w:hAnsi="Verdana" w:cs="Arial"/>
              </w:rPr>
              <w:t>Właściwość</w:t>
            </w:r>
          </w:p>
        </w:tc>
        <w:tc>
          <w:tcPr>
            <w:tcW w:w="1701" w:type="dxa"/>
            <w:vAlign w:val="center"/>
          </w:tcPr>
          <w:p w:rsidR="0051730D" w:rsidRPr="009040B8" w:rsidRDefault="0051730D" w:rsidP="0051730D">
            <w:pPr>
              <w:jc w:val="center"/>
              <w:rPr>
                <w:rFonts w:ascii="Verdana" w:hAnsi="Verdana" w:cs="Arial"/>
              </w:rPr>
            </w:pPr>
            <w:r w:rsidRPr="009040B8">
              <w:rPr>
                <w:rFonts w:ascii="Verdana" w:hAnsi="Verdana" w:cs="Arial"/>
              </w:rPr>
              <w:t>Warunki zagęszczania wg PN-EN</w:t>
            </w:r>
          </w:p>
          <w:p w:rsidR="0051730D" w:rsidRPr="009040B8" w:rsidRDefault="0051730D" w:rsidP="0051730D">
            <w:pPr>
              <w:jc w:val="center"/>
              <w:rPr>
                <w:rFonts w:ascii="Verdana" w:hAnsi="Verdana" w:cs="Arial"/>
              </w:rPr>
            </w:pPr>
            <w:r w:rsidRPr="009040B8">
              <w:rPr>
                <w:rFonts w:ascii="Verdana" w:hAnsi="Verdana" w:cs="Arial"/>
              </w:rPr>
              <w:t>13108-20  [48]</w:t>
            </w:r>
          </w:p>
        </w:tc>
        <w:tc>
          <w:tcPr>
            <w:tcW w:w="2835" w:type="dxa"/>
            <w:vAlign w:val="center"/>
          </w:tcPr>
          <w:p w:rsidR="0051730D" w:rsidRPr="009040B8" w:rsidRDefault="0051730D" w:rsidP="0051730D">
            <w:pPr>
              <w:jc w:val="center"/>
              <w:rPr>
                <w:rFonts w:ascii="Verdana" w:hAnsi="Verdana" w:cs="Arial"/>
              </w:rPr>
            </w:pPr>
            <w:r w:rsidRPr="009040B8">
              <w:rPr>
                <w:rFonts w:ascii="Verdana" w:hAnsi="Verdana" w:cs="Arial"/>
              </w:rPr>
              <w:t>Metoda i warunki badania</w:t>
            </w:r>
          </w:p>
        </w:tc>
        <w:tc>
          <w:tcPr>
            <w:tcW w:w="2694" w:type="dxa"/>
            <w:vAlign w:val="center"/>
          </w:tcPr>
          <w:p w:rsidR="0051730D" w:rsidRPr="009040B8" w:rsidRDefault="0051730D" w:rsidP="0051730D">
            <w:pPr>
              <w:jc w:val="center"/>
              <w:rPr>
                <w:rFonts w:ascii="Verdana" w:hAnsi="Verdana" w:cs="Arial"/>
              </w:rPr>
            </w:pPr>
            <w:r w:rsidRPr="009040B8">
              <w:rPr>
                <w:rFonts w:ascii="Verdana" w:hAnsi="Verdana" w:cs="Arial"/>
              </w:rPr>
              <w:t xml:space="preserve">AC </w:t>
            </w:r>
            <w:r>
              <w:rPr>
                <w:rFonts w:ascii="Verdana" w:hAnsi="Verdana" w:cs="Arial"/>
              </w:rPr>
              <w:t>22 P</w:t>
            </w:r>
          </w:p>
        </w:tc>
      </w:tr>
      <w:tr w:rsidR="0051730D" w:rsidRPr="009040B8" w:rsidTr="0051730D">
        <w:tc>
          <w:tcPr>
            <w:tcW w:w="1809" w:type="dxa"/>
            <w:vAlign w:val="center"/>
          </w:tcPr>
          <w:p w:rsidR="0051730D" w:rsidRPr="009040B8" w:rsidRDefault="0051730D" w:rsidP="0051730D">
            <w:pPr>
              <w:rPr>
                <w:rFonts w:ascii="Verdana" w:hAnsi="Verdana" w:cs="Arial"/>
              </w:rPr>
            </w:pPr>
            <w:r w:rsidRPr="009040B8">
              <w:rPr>
                <w:rFonts w:ascii="Verdana" w:hAnsi="Verdana" w:cs="Arial"/>
              </w:rPr>
              <w:t>Zawartość wolnych przestrzeni</w:t>
            </w:r>
          </w:p>
        </w:tc>
        <w:tc>
          <w:tcPr>
            <w:tcW w:w="1701" w:type="dxa"/>
            <w:vAlign w:val="center"/>
          </w:tcPr>
          <w:p w:rsidR="0051730D" w:rsidRPr="009040B8" w:rsidRDefault="0051730D" w:rsidP="0051730D">
            <w:pPr>
              <w:jc w:val="center"/>
              <w:rPr>
                <w:rFonts w:ascii="Verdana" w:hAnsi="Verdana" w:cs="Arial"/>
              </w:rPr>
            </w:pPr>
            <w:r w:rsidRPr="009040B8">
              <w:rPr>
                <w:rFonts w:ascii="Verdana" w:hAnsi="Verdana" w:cs="Arial"/>
              </w:rPr>
              <w:t>C.1.3,ubijanie, 2×75 uderzeń</w:t>
            </w:r>
          </w:p>
        </w:tc>
        <w:tc>
          <w:tcPr>
            <w:tcW w:w="2835" w:type="dxa"/>
            <w:vAlign w:val="center"/>
          </w:tcPr>
          <w:p w:rsidR="0051730D" w:rsidRPr="009040B8" w:rsidRDefault="0051730D" w:rsidP="0051730D">
            <w:pPr>
              <w:spacing w:before="120"/>
              <w:jc w:val="center"/>
              <w:rPr>
                <w:rFonts w:ascii="Verdana" w:hAnsi="Verdana" w:cs="Arial"/>
              </w:rPr>
            </w:pPr>
            <w:r w:rsidRPr="009040B8">
              <w:rPr>
                <w:rFonts w:ascii="Verdana" w:hAnsi="Verdana" w:cs="Arial"/>
              </w:rPr>
              <w:t>PN-EN 12697-8 [33], p. 4</w:t>
            </w:r>
          </w:p>
        </w:tc>
        <w:tc>
          <w:tcPr>
            <w:tcW w:w="2694" w:type="dxa"/>
            <w:vAlign w:val="center"/>
          </w:tcPr>
          <w:p w:rsidR="0051730D" w:rsidRPr="009040B8" w:rsidRDefault="0051730D" w:rsidP="0051730D">
            <w:pPr>
              <w:jc w:val="center"/>
              <w:rPr>
                <w:rFonts w:ascii="Verdana" w:hAnsi="Verdana" w:cs="Arial"/>
              </w:rPr>
            </w:pPr>
            <w:r w:rsidRPr="009040B8">
              <w:rPr>
                <w:rFonts w:ascii="Verdana" w:hAnsi="Verdana" w:cs="Arial"/>
                <w:i/>
              </w:rPr>
              <w:t>V</w:t>
            </w:r>
            <w:r w:rsidRPr="009040B8">
              <w:rPr>
                <w:rFonts w:ascii="Verdana" w:hAnsi="Verdana" w:cs="Arial"/>
                <w:vertAlign w:val="subscript"/>
              </w:rPr>
              <w:t>min4,0</w:t>
            </w:r>
          </w:p>
          <w:p w:rsidR="0051730D" w:rsidRPr="009040B8" w:rsidRDefault="0051730D" w:rsidP="0051730D">
            <w:pPr>
              <w:jc w:val="center"/>
              <w:rPr>
                <w:rFonts w:ascii="Verdana" w:hAnsi="Verdana" w:cs="Arial"/>
              </w:rPr>
            </w:pPr>
            <w:r w:rsidRPr="009040B8">
              <w:rPr>
                <w:rFonts w:ascii="Verdana" w:hAnsi="Verdana" w:cs="Arial"/>
                <w:i/>
              </w:rPr>
              <w:t>V</w:t>
            </w:r>
            <w:r w:rsidRPr="009040B8">
              <w:rPr>
                <w:rFonts w:ascii="Verdana" w:hAnsi="Verdana" w:cs="Arial"/>
                <w:vertAlign w:val="subscript"/>
              </w:rPr>
              <w:t>max7,0</w:t>
            </w:r>
          </w:p>
        </w:tc>
      </w:tr>
      <w:tr w:rsidR="0051730D" w:rsidRPr="009040B8" w:rsidTr="0051730D">
        <w:tc>
          <w:tcPr>
            <w:tcW w:w="1809" w:type="dxa"/>
            <w:vAlign w:val="center"/>
          </w:tcPr>
          <w:p w:rsidR="0051730D" w:rsidRPr="009040B8" w:rsidRDefault="0051730D" w:rsidP="0051730D">
            <w:pPr>
              <w:rPr>
                <w:rFonts w:ascii="Verdana" w:hAnsi="Verdana" w:cs="Arial"/>
                <w:vertAlign w:val="superscript"/>
              </w:rPr>
            </w:pPr>
            <w:r w:rsidRPr="009040B8">
              <w:rPr>
                <w:rFonts w:ascii="Verdana" w:hAnsi="Verdana" w:cs="Arial"/>
              </w:rPr>
              <w:t xml:space="preserve">Odporność na deformacje </w:t>
            </w:r>
            <w:proofErr w:type="spellStart"/>
            <w:r w:rsidRPr="009040B8">
              <w:rPr>
                <w:rFonts w:ascii="Verdana" w:hAnsi="Verdana" w:cs="Arial"/>
              </w:rPr>
              <w:t>trwałe</w:t>
            </w:r>
            <w:r w:rsidRPr="009040B8">
              <w:rPr>
                <w:rFonts w:ascii="Verdana" w:hAnsi="Verdana" w:cs="Arial"/>
                <w:vertAlign w:val="superscript"/>
              </w:rPr>
              <w:t>a</w:t>
            </w:r>
            <w:proofErr w:type="spellEnd"/>
            <w:r w:rsidRPr="009040B8">
              <w:rPr>
                <w:rFonts w:ascii="Verdana" w:hAnsi="Verdana" w:cs="Arial"/>
                <w:vertAlign w:val="superscript"/>
              </w:rPr>
              <w:t>)</w:t>
            </w:r>
            <w:r>
              <w:rPr>
                <w:rFonts w:ascii="Verdana" w:hAnsi="Verdana" w:cs="Arial"/>
                <w:vertAlign w:val="superscript"/>
              </w:rPr>
              <w:t>,c)</w:t>
            </w:r>
          </w:p>
        </w:tc>
        <w:tc>
          <w:tcPr>
            <w:tcW w:w="1701" w:type="dxa"/>
            <w:vAlign w:val="center"/>
          </w:tcPr>
          <w:p w:rsidR="0051730D" w:rsidRPr="009040B8" w:rsidRDefault="0051730D" w:rsidP="0051730D">
            <w:pPr>
              <w:jc w:val="center"/>
              <w:rPr>
                <w:rFonts w:ascii="Verdana" w:hAnsi="Verdana" w:cs="Arial"/>
              </w:rPr>
            </w:pPr>
            <w:r w:rsidRPr="009040B8">
              <w:rPr>
                <w:rFonts w:ascii="Verdana" w:hAnsi="Verdana" w:cs="Arial"/>
              </w:rPr>
              <w:t>C.1.20, wałowanie,</w:t>
            </w:r>
          </w:p>
          <w:p w:rsidR="0051730D" w:rsidRPr="009040B8" w:rsidRDefault="0051730D" w:rsidP="0051730D">
            <w:pPr>
              <w:jc w:val="center"/>
              <w:rPr>
                <w:rFonts w:ascii="Verdana" w:hAnsi="Verdana" w:cs="Arial"/>
              </w:rPr>
            </w:pPr>
            <w:r w:rsidRPr="009040B8">
              <w:rPr>
                <w:rFonts w:ascii="Verdana" w:hAnsi="Verdana" w:cs="Arial"/>
              </w:rPr>
              <w:t>P</w:t>
            </w:r>
            <w:r w:rsidRPr="009040B8">
              <w:rPr>
                <w:rFonts w:ascii="Verdana" w:hAnsi="Verdana" w:cs="Arial"/>
                <w:vertAlign w:val="subscript"/>
              </w:rPr>
              <w:t>98</w:t>
            </w:r>
            <w:r w:rsidRPr="009040B8">
              <w:rPr>
                <w:rFonts w:ascii="Verdana" w:hAnsi="Verdana" w:cs="Arial"/>
              </w:rPr>
              <w:t>-P</w:t>
            </w:r>
            <w:r w:rsidRPr="009040B8">
              <w:rPr>
                <w:rFonts w:ascii="Verdana" w:hAnsi="Verdana" w:cs="Arial"/>
                <w:vertAlign w:val="subscript"/>
              </w:rPr>
              <w:t>100</w:t>
            </w:r>
          </w:p>
        </w:tc>
        <w:tc>
          <w:tcPr>
            <w:tcW w:w="2835" w:type="dxa"/>
            <w:vAlign w:val="center"/>
          </w:tcPr>
          <w:p w:rsidR="0051730D" w:rsidRPr="009040B8" w:rsidRDefault="0051730D" w:rsidP="0051730D">
            <w:pPr>
              <w:jc w:val="center"/>
              <w:rPr>
                <w:rFonts w:ascii="Verdana" w:hAnsi="Verdana" w:cs="Arial"/>
              </w:rPr>
            </w:pPr>
            <w:r w:rsidRPr="009040B8">
              <w:rPr>
                <w:rFonts w:ascii="Verdana" w:hAnsi="Verdana" w:cs="Arial"/>
              </w:rPr>
              <w:t>PN-EN 12697-22, metoda B w powietrzu, PN-EN 13108-20, D.1.6,                       60</w:t>
            </w:r>
            <w:r w:rsidRPr="009040B8">
              <w:rPr>
                <w:rFonts w:ascii="Verdana" w:hAnsi="Verdana" w:cs="Arial"/>
                <w:vertAlign w:val="superscript"/>
              </w:rPr>
              <w:t>o</w:t>
            </w:r>
            <w:r w:rsidRPr="009040B8">
              <w:rPr>
                <w:rFonts w:ascii="Verdana" w:hAnsi="Verdana" w:cs="Arial"/>
              </w:rPr>
              <w:t>C, 10 000 cykli [38]</w:t>
            </w:r>
          </w:p>
        </w:tc>
        <w:tc>
          <w:tcPr>
            <w:tcW w:w="2694" w:type="dxa"/>
            <w:vAlign w:val="center"/>
          </w:tcPr>
          <w:p w:rsidR="0051730D" w:rsidRPr="009040B8" w:rsidRDefault="0051730D" w:rsidP="0051730D">
            <w:pPr>
              <w:jc w:val="center"/>
              <w:rPr>
                <w:rFonts w:ascii="Verdana" w:hAnsi="Verdana" w:cs="Arial"/>
                <w:vertAlign w:val="subscript"/>
              </w:rPr>
            </w:pPr>
            <w:r w:rsidRPr="009040B8">
              <w:rPr>
                <w:rFonts w:ascii="Verdana" w:hAnsi="Verdana" w:cs="Arial"/>
                <w:i/>
              </w:rPr>
              <w:t>WTS</w:t>
            </w:r>
            <w:r w:rsidRPr="009040B8">
              <w:rPr>
                <w:rFonts w:ascii="Verdana" w:hAnsi="Verdana" w:cs="Arial"/>
                <w:vertAlign w:val="subscript"/>
              </w:rPr>
              <w:t>AIR 0,</w:t>
            </w:r>
            <w:r>
              <w:rPr>
                <w:rFonts w:ascii="Verdana" w:hAnsi="Verdana" w:cs="Arial"/>
                <w:vertAlign w:val="subscript"/>
              </w:rPr>
              <w:t>30</w:t>
            </w:r>
          </w:p>
          <w:p w:rsidR="0051730D" w:rsidRPr="009040B8" w:rsidRDefault="0051730D" w:rsidP="0051730D">
            <w:pPr>
              <w:jc w:val="center"/>
              <w:rPr>
                <w:rFonts w:ascii="Verdana" w:hAnsi="Verdana" w:cs="Arial"/>
              </w:rPr>
            </w:pPr>
            <w:r w:rsidRPr="009040B8">
              <w:rPr>
                <w:rFonts w:ascii="Verdana" w:hAnsi="Verdana" w:cs="Arial"/>
                <w:i/>
              </w:rPr>
              <w:t>PRD</w:t>
            </w:r>
            <w:r>
              <w:rPr>
                <w:rFonts w:ascii="Verdana" w:hAnsi="Verdana" w:cs="Arial"/>
                <w:vertAlign w:val="subscript"/>
              </w:rPr>
              <w:t>AIR 9</w:t>
            </w:r>
            <w:r w:rsidRPr="009040B8">
              <w:rPr>
                <w:rFonts w:ascii="Verdana" w:hAnsi="Verdana" w:cs="Arial"/>
                <w:vertAlign w:val="subscript"/>
              </w:rPr>
              <w:t>,0</w:t>
            </w:r>
          </w:p>
        </w:tc>
      </w:tr>
      <w:tr w:rsidR="0051730D" w:rsidRPr="009040B8" w:rsidTr="0051730D">
        <w:tc>
          <w:tcPr>
            <w:tcW w:w="1809" w:type="dxa"/>
            <w:vAlign w:val="center"/>
          </w:tcPr>
          <w:p w:rsidR="0051730D" w:rsidRPr="009040B8" w:rsidRDefault="0051730D" w:rsidP="0051730D">
            <w:pPr>
              <w:rPr>
                <w:rFonts w:ascii="Verdana" w:hAnsi="Verdana" w:cs="Arial"/>
              </w:rPr>
            </w:pPr>
            <w:r w:rsidRPr="009040B8">
              <w:rPr>
                <w:rFonts w:ascii="Verdana" w:hAnsi="Verdana" w:cs="Arial"/>
              </w:rPr>
              <w:t>Odporność na działanie wody</w:t>
            </w:r>
          </w:p>
        </w:tc>
        <w:tc>
          <w:tcPr>
            <w:tcW w:w="1701" w:type="dxa"/>
            <w:vAlign w:val="center"/>
          </w:tcPr>
          <w:p w:rsidR="0051730D" w:rsidRPr="009040B8" w:rsidRDefault="0051730D" w:rsidP="0051730D">
            <w:pPr>
              <w:jc w:val="center"/>
              <w:rPr>
                <w:rFonts w:ascii="Verdana" w:hAnsi="Verdana" w:cs="Arial"/>
              </w:rPr>
            </w:pPr>
            <w:r w:rsidRPr="009040B8">
              <w:rPr>
                <w:rFonts w:ascii="Verdana" w:hAnsi="Verdana" w:cs="Arial"/>
              </w:rPr>
              <w:t>C.1.1,ubijanie, 2×35 uderzeń</w:t>
            </w:r>
          </w:p>
        </w:tc>
        <w:tc>
          <w:tcPr>
            <w:tcW w:w="2835" w:type="dxa"/>
            <w:vAlign w:val="center"/>
          </w:tcPr>
          <w:p w:rsidR="0051730D" w:rsidRPr="009040B8" w:rsidRDefault="0051730D" w:rsidP="0051730D">
            <w:pPr>
              <w:jc w:val="center"/>
              <w:rPr>
                <w:rFonts w:ascii="Verdana" w:hAnsi="Verdana" w:cs="Arial"/>
              </w:rPr>
            </w:pPr>
            <w:r w:rsidRPr="009040B8">
              <w:rPr>
                <w:rFonts w:ascii="Verdana" w:hAnsi="Verdana" w:cs="Arial"/>
              </w:rPr>
              <w:t xml:space="preserve">PN-EN 12697-12 [35], przechowywanie w 40°C                   z jednym cyklem </w:t>
            </w:r>
            <w:proofErr w:type="spellStart"/>
            <w:r w:rsidRPr="009040B8">
              <w:rPr>
                <w:rFonts w:ascii="Verdana" w:hAnsi="Verdana" w:cs="Arial"/>
              </w:rPr>
              <w:t>zamrażania</w:t>
            </w:r>
            <w:r w:rsidRPr="009040B8">
              <w:rPr>
                <w:rFonts w:ascii="Verdana" w:hAnsi="Verdana" w:cs="Arial"/>
                <w:vertAlign w:val="superscript"/>
              </w:rPr>
              <w:t>b</w:t>
            </w:r>
            <w:proofErr w:type="spellEnd"/>
            <w:r w:rsidRPr="009040B8">
              <w:rPr>
                <w:rFonts w:ascii="Verdana" w:hAnsi="Verdana" w:cs="Arial"/>
                <w:vertAlign w:val="superscript"/>
              </w:rPr>
              <w:t>)</w:t>
            </w:r>
            <w:r w:rsidRPr="009040B8">
              <w:rPr>
                <w:rFonts w:ascii="Verdana" w:hAnsi="Verdana" w:cs="Arial"/>
              </w:rPr>
              <w:t>,</w:t>
            </w:r>
          </w:p>
          <w:p w:rsidR="0051730D" w:rsidRPr="009040B8" w:rsidRDefault="0051730D" w:rsidP="0051730D">
            <w:pPr>
              <w:jc w:val="center"/>
              <w:rPr>
                <w:rFonts w:ascii="Verdana" w:hAnsi="Verdana" w:cs="Arial"/>
              </w:rPr>
            </w:pPr>
            <w:r w:rsidRPr="009040B8">
              <w:rPr>
                <w:rFonts w:ascii="Verdana" w:hAnsi="Verdana" w:cs="Arial"/>
              </w:rPr>
              <w:t>badanie w 25°C</w:t>
            </w:r>
          </w:p>
        </w:tc>
        <w:tc>
          <w:tcPr>
            <w:tcW w:w="2694" w:type="dxa"/>
            <w:vAlign w:val="center"/>
          </w:tcPr>
          <w:p w:rsidR="0051730D" w:rsidRPr="009040B8" w:rsidRDefault="0051730D" w:rsidP="0051730D">
            <w:pPr>
              <w:jc w:val="center"/>
              <w:rPr>
                <w:rFonts w:ascii="Verdana" w:hAnsi="Verdana" w:cs="Arial"/>
                <w:vertAlign w:val="subscript"/>
              </w:rPr>
            </w:pPr>
            <w:r w:rsidRPr="009040B8">
              <w:rPr>
                <w:rFonts w:ascii="Verdana" w:hAnsi="Verdana" w:cs="Arial"/>
                <w:i/>
              </w:rPr>
              <w:t>ITSR</w:t>
            </w:r>
            <w:r>
              <w:rPr>
                <w:rFonts w:ascii="Verdana" w:hAnsi="Verdana" w:cs="Arial"/>
                <w:vertAlign w:val="subscript"/>
              </w:rPr>
              <w:t>7</w:t>
            </w:r>
            <w:r w:rsidRPr="0014235C">
              <w:rPr>
                <w:rFonts w:ascii="Verdana" w:hAnsi="Verdana" w:cs="Arial"/>
                <w:vertAlign w:val="subscript"/>
              </w:rPr>
              <w:t>0</w:t>
            </w:r>
          </w:p>
        </w:tc>
      </w:tr>
      <w:tr w:rsidR="0051730D" w:rsidRPr="009040B8" w:rsidTr="0051730D">
        <w:tc>
          <w:tcPr>
            <w:tcW w:w="9039" w:type="dxa"/>
            <w:gridSpan w:val="4"/>
            <w:vAlign w:val="center"/>
          </w:tcPr>
          <w:p w:rsidR="0051730D" w:rsidRPr="006D2270" w:rsidRDefault="0051730D" w:rsidP="0051730D">
            <w:pPr>
              <w:jc w:val="both"/>
              <w:rPr>
                <w:rFonts w:ascii="Verdana" w:hAnsi="Verdana" w:cs="Arial"/>
              </w:rPr>
            </w:pPr>
            <w:r w:rsidRPr="006D2270">
              <w:rPr>
                <w:rFonts w:ascii="Verdana" w:hAnsi="Verdana" w:cs="Arial"/>
                <w:vertAlign w:val="superscript"/>
              </w:rPr>
              <w:t>a)</w:t>
            </w:r>
            <w:r w:rsidRPr="006D2270">
              <w:rPr>
                <w:rFonts w:ascii="Verdana" w:hAnsi="Verdana" w:cs="Arial"/>
              </w:rPr>
              <w:t xml:space="preserve"> </w:t>
            </w:r>
            <w:r>
              <w:rPr>
                <w:rFonts w:ascii="Verdana" w:hAnsi="Verdana" w:cs="Arial"/>
              </w:rPr>
              <w:t xml:space="preserve"> </w:t>
            </w:r>
            <w:r w:rsidRPr="006D2270">
              <w:rPr>
                <w:rFonts w:ascii="Verdana" w:hAnsi="Verdana" w:cs="Arial"/>
              </w:rPr>
              <w:t xml:space="preserve">grubość płyty: AC </w:t>
            </w:r>
            <w:r>
              <w:rPr>
                <w:rFonts w:ascii="Verdana" w:hAnsi="Verdana" w:cs="Arial"/>
              </w:rPr>
              <w:t>22</w:t>
            </w:r>
            <w:r w:rsidRPr="006D2270">
              <w:rPr>
                <w:rFonts w:ascii="Verdana" w:hAnsi="Verdana" w:cs="Arial"/>
              </w:rPr>
              <w:t xml:space="preserve"> – </w:t>
            </w:r>
            <w:r>
              <w:rPr>
                <w:rFonts w:ascii="Verdana" w:hAnsi="Verdana" w:cs="Arial"/>
              </w:rPr>
              <w:t>6</w:t>
            </w:r>
            <w:r w:rsidRPr="006D2270">
              <w:rPr>
                <w:rFonts w:ascii="Verdana" w:hAnsi="Verdana" w:cs="Arial"/>
              </w:rPr>
              <w:t>0 mm</w:t>
            </w:r>
            <w:r>
              <w:rPr>
                <w:rFonts w:ascii="Verdana" w:hAnsi="Verdana" w:cs="Arial"/>
              </w:rPr>
              <w:t>,</w:t>
            </w:r>
          </w:p>
          <w:p w:rsidR="0051730D" w:rsidRDefault="0051730D" w:rsidP="0051730D">
            <w:pPr>
              <w:ind w:left="284" w:hanging="284"/>
              <w:jc w:val="both"/>
              <w:rPr>
                <w:rFonts w:ascii="Verdana" w:hAnsi="Verdana" w:cs="Arial"/>
              </w:rPr>
            </w:pPr>
            <w:r w:rsidRPr="006D2270">
              <w:rPr>
                <w:rFonts w:ascii="Verdana" w:hAnsi="Verdana" w:cs="Arial"/>
                <w:vertAlign w:val="superscript"/>
              </w:rPr>
              <w:t>b)</w:t>
            </w:r>
            <w:r w:rsidRPr="006D2270">
              <w:rPr>
                <w:rFonts w:ascii="Verdana" w:hAnsi="Verdana" w:cs="Arial"/>
              </w:rPr>
              <w:t xml:space="preserve"> ujednoliconą procedurę badania </w:t>
            </w:r>
            <w:r>
              <w:rPr>
                <w:rFonts w:ascii="Verdana" w:hAnsi="Verdana" w:cs="Arial"/>
              </w:rPr>
              <w:t xml:space="preserve">wrażliwości </w:t>
            </w:r>
            <w:r w:rsidRPr="006D2270">
              <w:rPr>
                <w:rFonts w:ascii="Verdana" w:hAnsi="Verdana" w:cs="Arial"/>
              </w:rPr>
              <w:t>na działanie wody z jednym cyklem zamraż</w:t>
            </w:r>
            <w:r>
              <w:rPr>
                <w:rFonts w:ascii="Verdana" w:hAnsi="Verdana" w:cs="Arial"/>
              </w:rPr>
              <w:t xml:space="preserve">ania podano w załączniku 1 WT-2 </w:t>
            </w:r>
            <w:r w:rsidRPr="006D2270">
              <w:rPr>
                <w:rFonts w:ascii="Verdana" w:hAnsi="Verdana" w:cs="Arial"/>
              </w:rPr>
              <w:t>201</w:t>
            </w:r>
            <w:r>
              <w:rPr>
                <w:rFonts w:ascii="Verdana" w:hAnsi="Verdana" w:cs="Arial"/>
              </w:rPr>
              <w:t>4-część I,</w:t>
            </w:r>
          </w:p>
          <w:p w:rsidR="0051730D" w:rsidRPr="009040B8" w:rsidRDefault="0051730D" w:rsidP="0051730D">
            <w:pPr>
              <w:tabs>
                <w:tab w:val="left" w:pos="284"/>
              </w:tabs>
              <w:ind w:left="284" w:hanging="284"/>
              <w:jc w:val="both"/>
              <w:rPr>
                <w:rFonts w:ascii="Verdana" w:hAnsi="Verdana" w:cs="Arial"/>
                <w:i/>
              </w:rPr>
            </w:pPr>
            <w:r>
              <w:rPr>
                <w:rFonts w:ascii="Verdana" w:hAnsi="Verdana" w:cs="Arial"/>
                <w:vertAlign w:val="superscript"/>
              </w:rPr>
              <w:t>c)</w:t>
            </w:r>
            <w:r>
              <w:rPr>
                <w:rFonts w:ascii="Verdana" w:hAnsi="Verdana" w:cs="Arial"/>
              </w:rPr>
              <w:t xml:space="preserve"> procedurę kondycjonowania krótkoterminowego MMA przed zagęszczeniem próbek  do badań podano w załączniku 2 WT-2 2014-część I</w:t>
            </w:r>
          </w:p>
        </w:tc>
      </w:tr>
    </w:tbl>
    <w:p w:rsidR="0051730D" w:rsidRPr="009040B8" w:rsidRDefault="0051730D" w:rsidP="0051730D">
      <w:pPr>
        <w:keepNext/>
        <w:spacing w:before="240"/>
        <w:jc w:val="both"/>
        <w:outlineLvl w:val="1"/>
        <w:rPr>
          <w:rFonts w:ascii="Verdana" w:hAnsi="Verdana" w:cs="Arial"/>
          <w:b/>
          <w:bCs/>
          <w:iCs/>
        </w:rPr>
      </w:pPr>
      <w:bookmarkStart w:id="279" w:name="_Toc316558787"/>
      <w:r w:rsidRPr="009040B8">
        <w:rPr>
          <w:rFonts w:ascii="Verdana" w:hAnsi="Verdana" w:cs="Arial"/>
          <w:b/>
          <w:bCs/>
          <w:iCs/>
        </w:rPr>
        <w:t>5.3. Wytwarzanie mieszanki mineralno-asfaltowej</w:t>
      </w:r>
      <w:bookmarkEnd w:id="279"/>
    </w:p>
    <w:p w:rsidR="0051730D" w:rsidRPr="009040B8" w:rsidRDefault="0051730D" w:rsidP="0051730D">
      <w:pPr>
        <w:jc w:val="both"/>
        <w:rPr>
          <w:rFonts w:ascii="Verdana" w:hAnsi="Verdana" w:cs="Arial"/>
        </w:rPr>
      </w:pPr>
      <w:r w:rsidRPr="009040B8">
        <w:rPr>
          <w:rFonts w:ascii="Verdana" w:hAnsi="Verdana" w:cs="Arial"/>
        </w:rPr>
        <w:t>Mieszankę mineralno-asfaltową należy wytwarzać na gorąco w otaczarce (zespole maszyn i urządzeń dozowania, podgrzewania i mieszania składników oraz przechowywania gotowej mieszanki).</w:t>
      </w:r>
    </w:p>
    <w:p w:rsidR="0051730D" w:rsidRPr="009040B8" w:rsidRDefault="0051730D" w:rsidP="0051730D">
      <w:pPr>
        <w:jc w:val="both"/>
        <w:rPr>
          <w:rFonts w:ascii="Verdana" w:hAnsi="Verdana" w:cs="Arial"/>
        </w:rPr>
      </w:pPr>
      <w:r w:rsidRPr="009040B8">
        <w:rPr>
          <w:rFonts w:ascii="Verdana" w:hAnsi="Verdana" w:cs="Arial"/>
        </w:rPr>
        <w:t xml:space="preserve">Dozowanie składników mieszanki mineralno-asfaltowej w otaczarkach, w tym także wstępne, powinno być zautomatyzowane i zgodne z receptą roboczą, a urządzenia do dozowania </w:t>
      </w:r>
      <w:r w:rsidRPr="009040B8">
        <w:rPr>
          <w:rFonts w:ascii="Verdana" w:hAnsi="Verdana" w:cs="Arial"/>
        </w:rPr>
        <w:lastRenderedPageBreak/>
        <w:t>składników oraz pomiaru temperatury powinny być okresowo sprawdzane. Kruszywo o różnym uziarnieniu lub pochodzeniu należy dodawać odmierzone oddzielnie.</w:t>
      </w:r>
    </w:p>
    <w:p w:rsidR="0051730D" w:rsidRPr="009040B8" w:rsidRDefault="0051730D" w:rsidP="0051730D">
      <w:pPr>
        <w:jc w:val="both"/>
        <w:rPr>
          <w:rFonts w:ascii="Verdana" w:hAnsi="Verdana" w:cs="Arial"/>
        </w:rPr>
      </w:pPr>
      <w:r w:rsidRPr="009040B8">
        <w:rPr>
          <w:rFonts w:ascii="Verdana" w:hAnsi="Verdana" w:cs="Arial"/>
        </w:rPr>
        <w:t>Lepiszcze asfaltowe należy przechowywać w zbiorniku z pośrednim systemem ogrzewania, z układem termostatowania zapewniającym utrzymanie żądanej temperatury z dokładnością ± 5°C. Temperatura lepiszcza asfaltowego w zbiorniku magazynowym (roboczym) nie moż</w:t>
      </w:r>
      <w:r>
        <w:rPr>
          <w:rFonts w:ascii="Verdana" w:hAnsi="Verdana" w:cs="Arial"/>
        </w:rPr>
        <w:t>e przekraczać 180°C dla asfaltu</w:t>
      </w:r>
      <w:r w:rsidRPr="009040B8">
        <w:rPr>
          <w:rFonts w:ascii="Verdana" w:hAnsi="Verdana" w:cs="Arial"/>
        </w:rPr>
        <w:t xml:space="preserve"> modyfikowanego polimerami </w:t>
      </w:r>
      <w:r>
        <w:rPr>
          <w:rFonts w:ascii="Verdana" w:hAnsi="Verdana" w:cs="Arial"/>
        </w:rPr>
        <w:t xml:space="preserve">                      </w:t>
      </w:r>
      <w:r w:rsidRPr="009040B8">
        <w:rPr>
          <w:rFonts w:ascii="Verdana" w:hAnsi="Verdana" w:cs="Arial"/>
        </w:rPr>
        <w:t>PMB 25/55-60 oraz 190</w:t>
      </w:r>
      <w:r>
        <w:rPr>
          <w:rFonts w:ascii="Verdana" w:hAnsi="Verdana" w:cs="Arial"/>
        </w:rPr>
        <w:t>°C dla asfaltu drogowego 35/50.</w:t>
      </w:r>
    </w:p>
    <w:p w:rsidR="0051730D" w:rsidRPr="009040B8" w:rsidRDefault="0051730D" w:rsidP="0051730D">
      <w:pPr>
        <w:jc w:val="both"/>
        <w:rPr>
          <w:rFonts w:ascii="Verdana" w:hAnsi="Verdana" w:cs="Arial"/>
        </w:rPr>
      </w:pPr>
      <w:r w:rsidRPr="009040B8">
        <w:rPr>
          <w:rFonts w:ascii="Verdana" w:hAnsi="Verdana" w:cs="Aria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w:t>
      </w:r>
      <w:r>
        <w:rPr>
          <w:rFonts w:ascii="Verdana" w:hAnsi="Verdana" w:cs="Arial"/>
        </w:rPr>
        <w:t>eli</w:t>
      </w:r>
      <w:r w:rsidRPr="009040B8">
        <w:rPr>
          <w:rFonts w:ascii="Verdana" w:hAnsi="Verdana" w:cs="Arial"/>
        </w:rPr>
        <w:t xml:space="preserve"> 1</w:t>
      </w:r>
      <w:r>
        <w:rPr>
          <w:rFonts w:ascii="Verdana" w:hAnsi="Verdana" w:cs="Arial"/>
        </w:rPr>
        <w:t>1</w:t>
      </w:r>
      <w:r w:rsidRPr="009040B8">
        <w:rPr>
          <w:rFonts w:ascii="Verdana" w:hAnsi="Verdana" w:cs="Arial"/>
        </w:rPr>
        <w:t>. W tej tab</w:t>
      </w:r>
      <w:r>
        <w:rPr>
          <w:rFonts w:ascii="Verdana" w:hAnsi="Verdana" w:cs="Arial"/>
        </w:rPr>
        <w:t>eli</w:t>
      </w:r>
      <w:r w:rsidRPr="009040B8">
        <w:rPr>
          <w:rFonts w:ascii="Verdana" w:hAnsi="Verdana" w:cs="Arial"/>
        </w:rPr>
        <w:t xml:space="preserve"> najniższa temperatura dotyczy mieszanki mineralno-asfaltowej dostarczonej na miejsce wbudowania, a najwyższa temperatura dotyczy mieszanki mineralno-asfaltowej bezpośrednio po wytworzeniu w wytwórni. </w:t>
      </w:r>
    </w:p>
    <w:p w:rsidR="0051730D" w:rsidRPr="009040B8" w:rsidRDefault="0051730D" w:rsidP="0051730D">
      <w:pPr>
        <w:jc w:val="both"/>
        <w:rPr>
          <w:rFonts w:ascii="Verdana" w:hAnsi="Verdana" w:cs="Arial"/>
        </w:rPr>
      </w:pPr>
      <w:r w:rsidRPr="009040B8">
        <w:rPr>
          <w:rFonts w:ascii="Verdana" w:hAnsi="Verdana" w:cs="Arial"/>
        </w:rPr>
        <w:t>W przypadku zastosowania asfaltu modyfikowanego polimerami, mieszanka mineral</w:t>
      </w:r>
      <w:r>
        <w:rPr>
          <w:rFonts w:ascii="Verdana" w:hAnsi="Verdana" w:cs="Arial"/>
        </w:rPr>
        <w:t xml:space="preserve">no-asfaltowa </w:t>
      </w:r>
      <w:r w:rsidRPr="009040B8">
        <w:rPr>
          <w:rFonts w:ascii="Verdana" w:hAnsi="Verdana" w:cs="Arial"/>
        </w:rPr>
        <w:t>(z oznakami niebieskiego dymu) w czasie wytwarzania oraz na miejscu wbudowania lub temperaturze niższej od wymaganej w tab</w:t>
      </w:r>
      <w:r>
        <w:rPr>
          <w:rFonts w:ascii="Verdana" w:hAnsi="Verdana" w:cs="Arial"/>
        </w:rPr>
        <w:t>eli</w:t>
      </w:r>
      <w:r w:rsidRPr="009040B8">
        <w:rPr>
          <w:rFonts w:ascii="Verdana" w:hAnsi="Verdana" w:cs="Arial"/>
        </w:rPr>
        <w:t xml:space="preserve"> 1</w:t>
      </w:r>
      <w:r>
        <w:rPr>
          <w:rFonts w:ascii="Verdana" w:hAnsi="Verdana" w:cs="Arial"/>
        </w:rPr>
        <w:t>1,</w:t>
      </w:r>
      <w:r w:rsidRPr="009040B8">
        <w:rPr>
          <w:rFonts w:ascii="Verdana" w:hAnsi="Verdana" w:cs="Arial"/>
        </w:rPr>
        <w:t xml:space="preserve"> powinna być potraktowana jako odpad produkcyjny. Wykonawca jest zobowiązany prowadzić monitoring temperatury mieszanki mineralno-asfaltowej, ze skrzyni załadowanego pojazdu bezpośrednio po dotarciu na teren budowy. Otrzymane zapisy należy przekazać dla Przedstawiciela Zamawiającego/Inspektora Nadzoru.</w:t>
      </w:r>
    </w:p>
    <w:p w:rsidR="0051730D" w:rsidRPr="009040B8" w:rsidRDefault="0051730D" w:rsidP="0051730D">
      <w:pPr>
        <w:spacing w:before="120" w:after="12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1</w:t>
      </w:r>
      <w:r w:rsidRPr="009040B8">
        <w:rPr>
          <w:rFonts w:ascii="Verdana" w:hAnsi="Verdana" w:cs="Arial"/>
        </w:rPr>
        <w:t>.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51730D" w:rsidRPr="009040B8" w:rsidTr="0051730D">
        <w:tc>
          <w:tcPr>
            <w:tcW w:w="2371" w:type="dxa"/>
            <w:vAlign w:val="center"/>
          </w:tcPr>
          <w:p w:rsidR="0051730D" w:rsidRPr="009040B8" w:rsidRDefault="0051730D" w:rsidP="0051730D">
            <w:pPr>
              <w:spacing w:before="60" w:after="60"/>
              <w:jc w:val="center"/>
              <w:rPr>
                <w:rFonts w:ascii="Verdana" w:hAnsi="Verdana" w:cs="Arial"/>
              </w:rPr>
            </w:pPr>
            <w:r w:rsidRPr="009040B8">
              <w:rPr>
                <w:rFonts w:ascii="Verdana" w:hAnsi="Verdana" w:cs="Arial"/>
              </w:rPr>
              <w:t>Lepiszcza asfaltowe</w:t>
            </w:r>
          </w:p>
        </w:tc>
        <w:tc>
          <w:tcPr>
            <w:tcW w:w="2590" w:type="dxa"/>
            <w:vAlign w:val="center"/>
          </w:tcPr>
          <w:p w:rsidR="0051730D" w:rsidRPr="009040B8" w:rsidRDefault="0051730D" w:rsidP="0051730D">
            <w:pPr>
              <w:spacing w:before="60" w:after="60"/>
              <w:jc w:val="center"/>
              <w:rPr>
                <w:rFonts w:ascii="Verdana" w:hAnsi="Verdana" w:cs="Arial"/>
              </w:rPr>
            </w:pPr>
            <w:r w:rsidRPr="009040B8">
              <w:rPr>
                <w:rFonts w:ascii="Verdana" w:hAnsi="Verdana" w:cs="Arial"/>
              </w:rPr>
              <w:t>Temperatura mieszanki [°C]</w:t>
            </w:r>
          </w:p>
        </w:tc>
      </w:tr>
      <w:tr w:rsidR="0051730D" w:rsidRPr="009040B8" w:rsidTr="0051730D">
        <w:tc>
          <w:tcPr>
            <w:tcW w:w="2371" w:type="dxa"/>
          </w:tcPr>
          <w:p w:rsidR="0051730D" w:rsidRPr="009040B8" w:rsidRDefault="0051730D" w:rsidP="0051730D">
            <w:pPr>
              <w:spacing w:before="60"/>
              <w:jc w:val="center"/>
              <w:rPr>
                <w:rFonts w:ascii="Verdana" w:hAnsi="Verdana" w:cs="Arial"/>
                <w:lang w:val="en-US"/>
              </w:rPr>
            </w:pPr>
            <w:proofErr w:type="spellStart"/>
            <w:r w:rsidRPr="009040B8">
              <w:rPr>
                <w:rFonts w:ascii="Verdana" w:hAnsi="Verdana" w:cs="Arial"/>
                <w:lang w:val="en-US"/>
              </w:rPr>
              <w:t>Asfalt</w:t>
            </w:r>
            <w:proofErr w:type="spellEnd"/>
            <w:r w:rsidRPr="009040B8">
              <w:rPr>
                <w:rFonts w:ascii="Verdana" w:hAnsi="Verdana" w:cs="Arial"/>
                <w:lang w:val="en-US"/>
              </w:rPr>
              <w:t xml:space="preserve"> 35/50</w:t>
            </w:r>
          </w:p>
          <w:p w:rsidR="0051730D" w:rsidRPr="009040B8" w:rsidRDefault="0051730D" w:rsidP="0051730D">
            <w:pPr>
              <w:spacing w:before="60"/>
              <w:jc w:val="center"/>
              <w:rPr>
                <w:rFonts w:ascii="Verdana" w:hAnsi="Verdana" w:cs="Arial"/>
                <w:lang w:val="en-US"/>
              </w:rPr>
            </w:pPr>
            <w:r w:rsidRPr="009040B8">
              <w:rPr>
                <w:rFonts w:ascii="Verdana" w:hAnsi="Verdana" w:cs="Arial"/>
                <w:lang w:val="en-US"/>
              </w:rPr>
              <w:t>PMB 25/55-60</w:t>
            </w:r>
          </w:p>
        </w:tc>
        <w:tc>
          <w:tcPr>
            <w:tcW w:w="2590" w:type="dxa"/>
          </w:tcPr>
          <w:p w:rsidR="0051730D" w:rsidRPr="009040B8" w:rsidRDefault="0051730D" w:rsidP="0051730D">
            <w:pPr>
              <w:spacing w:before="60"/>
              <w:jc w:val="center"/>
              <w:rPr>
                <w:rFonts w:ascii="Verdana" w:hAnsi="Verdana" w:cs="Arial"/>
              </w:rPr>
            </w:pPr>
            <w:r w:rsidRPr="009040B8">
              <w:rPr>
                <w:rFonts w:ascii="Verdana" w:hAnsi="Verdana" w:cs="Arial"/>
              </w:rPr>
              <w:t>od 1</w:t>
            </w:r>
            <w:r>
              <w:rPr>
                <w:rFonts w:ascii="Verdana" w:hAnsi="Verdana" w:cs="Arial"/>
              </w:rPr>
              <w:t>4</w:t>
            </w:r>
            <w:r w:rsidRPr="009040B8">
              <w:rPr>
                <w:rFonts w:ascii="Verdana" w:hAnsi="Verdana" w:cs="Arial"/>
              </w:rPr>
              <w:t>5 do 1</w:t>
            </w:r>
            <w:r>
              <w:rPr>
                <w:rFonts w:ascii="Verdana" w:hAnsi="Verdana" w:cs="Arial"/>
              </w:rPr>
              <w:t>7</w:t>
            </w:r>
            <w:r w:rsidRPr="009040B8">
              <w:rPr>
                <w:rFonts w:ascii="Verdana" w:hAnsi="Verdana" w:cs="Arial"/>
              </w:rPr>
              <w:t>0</w:t>
            </w:r>
          </w:p>
          <w:p w:rsidR="0051730D" w:rsidRPr="009040B8" w:rsidRDefault="0051730D" w:rsidP="0051730D">
            <w:pPr>
              <w:spacing w:before="60"/>
              <w:jc w:val="center"/>
              <w:rPr>
                <w:rFonts w:ascii="Verdana" w:hAnsi="Verdana" w:cs="Arial"/>
              </w:rPr>
            </w:pPr>
            <w:r w:rsidRPr="009040B8">
              <w:rPr>
                <w:rFonts w:ascii="Verdana" w:hAnsi="Verdana" w:cs="Arial"/>
              </w:rPr>
              <w:t>od 1</w:t>
            </w:r>
            <w:r>
              <w:rPr>
                <w:rFonts w:ascii="Verdana" w:hAnsi="Verdana" w:cs="Arial"/>
              </w:rPr>
              <w:t>5</w:t>
            </w:r>
            <w:r w:rsidRPr="009040B8">
              <w:rPr>
                <w:rFonts w:ascii="Verdana" w:hAnsi="Verdana" w:cs="Arial"/>
              </w:rPr>
              <w:t>0 do 1</w:t>
            </w:r>
            <w:r>
              <w:rPr>
                <w:rFonts w:ascii="Verdana" w:hAnsi="Verdana" w:cs="Arial"/>
              </w:rPr>
              <w:t>7</w:t>
            </w:r>
            <w:r w:rsidRPr="009040B8">
              <w:rPr>
                <w:rFonts w:ascii="Verdana" w:hAnsi="Verdana" w:cs="Arial"/>
              </w:rPr>
              <w:t>0</w:t>
            </w:r>
          </w:p>
        </w:tc>
      </w:tr>
    </w:tbl>
    <w:p w:rsidR="0051730D" w:rsidRPr="009040B8" w:rsidRDefault="0051730D" w:rsidP="0051730D">
      <w:pPr>
        <w:jc w:val="both"/>
        <w:rPr>
          <w:rFonts w:ascii="Verdana" w:hAnsi="Verdana" w:cs="Arial"/>
        </w:rPr>
      </w:pPr>
      <w:r w:rsidRPr="009040B8">
        <w:rPr>
          <w:rFonts w:ascii="Verdana" w:hAnsi="Verdana" w:cs="Arial"/>
        </w:rPr>
        <w:t>Sposób i czas mieszania składników mieszanki mineralno-asfaltowej powinny zapewnić równomierne otoczenie kruszywa lepiszczem asfaltowym.</w:t>
      </w:r>
    </w:p>
    <w:p w:rsidR="0051730D" w:rsidRPr="009040B8" w:rsidRDefault="0051730D" w:rsidP="0051730D">
      <w:pPr>
        <w:jc w:val="both"/>
        <w:rPr>
          <w:rFonts w:ascii="Verdana" w:hAnsi="Verdana" w:cs="Arial"/>
        </w:rPr>
      </w:pPr>
      <w:r w:rsidRPr="009040B8">
        <w:rPr>
          <w:rFonts w:ascii="Verdana" w:hAnsi="Verdana" w:cs="Arial"/>
        </w:rPr>
        <w:t xml:space="preserve">Dopuszcza się produkcję i dostawy mieszanek mineralno-asfaltowych z kilku wytwórni na podstawie jednego </w:t>
      </w:r>
      <w:r>
        <w:rPr>
          <w:rFonts w:ascii="Verdana" w:hAnsi="Verdana" w:cs="Arial"/>
        </w:rPr>
        <w:t>b</w:t>
      </w:r>
      <w:r w:rsidRPr="009040B8">
        <w:rPr>
          <w:rFonts w:ascii="Verdana" w:hAnsi="Verdana" w:cs="Arial"/>
        </w:rPr>
        <w:t xml:space="preserve">adania </w:t>
      </w:r>
      <w:r>
        <w:rPr>
          <w:rFonts w:ascii="Verdana" w:hAnsi="Verdana" w:cs="Arial"/>
        </w:rPr>
        <w:t>t</w:t>
      </w:r>
      <w:r w:rsidRPr="009040B8">
        <w:rPr>
          <w:rFonts w:ascii="Verdana" w:hAnsi="Verdana" w:cs="Arial"/>
        </w:rPr>
        <w:t xml:space="preserve">ypu </w:t>
      </w:r>
      <w:r>
        <w:rPr>
          <w:rFonts w:ascii="Verdana" w:hAnsi="Verdana" w:cs="Arial"/>
        </w:rPr>
        <w:t>MMA (recepty)</w:t>
      </w:r>
      <w:r w:rsidRPr="009040B8">
        <w:rPr>
          <w:rFonts w:ascii="Verdana" w:hAnsi="Verdana" w:cs="Arial"/>
        </w:rPr>
        <w:t>.</w:t>
      </w:r>
    </w:p>
    <w:p w:rsidR="0051730D" w:rsidRPr="009040B8" w:rsidRDefault="0051730D" w:rsidP="0051730D">
      <w:pPr>
        <w:keepNext/>
        <w:spacing w:before="240" w:after="60"/>
        <w:jc w:val="both"/>
        <w:outlineLvl w:val="1"/>
        <w:rPr>
          <w:rFonts w:ascii="Verdana" w:hAnsi="Verdana" w:cs="Arial"/>
          <w:b/>
          <w:bCs/>
          <w:iCs/>
        </w:rPr>
      </w:pPr>
      <w:bookmarkStart w:id="280" w:name="_Toc316558788"/>
      <w:r w:rsidRPr="009040B8">
        <w:rPr>
          <w:rFonts w:ascii="Verdana" w:hAnsi="Verdana" w:cs="Arial"/>
          <w:b/>
          <w:bCs/>
          <w:iCs/>
        </w:rPr>
        <w:t>5.4. Przygotowanie podłoża</w:t>
      </w:r>
      <w:bookmarkEnd w:id="280"/>
    </w:p>
    <w:p w:rsidR="0051730D" w:rsidRPr="009040B8" w:rsidRDefault="0051730D" w:rsidP="0051730D">
      <w:pPr>
        <w:jc w:val="both"/>
        <w:rPr>
          <w:rFonts w:ascii="Verdana" w:hAnsi="Verdana" w:cs="Arial"/>
        </w:rPr>
      </w:pPr>
      <w:r w:rsidRPr="009040B8">
        <w:rPr>
          <w:rFonts w:ascii="Verdana" w:hAnsi="Verdana" w:cs="Arial"/>
        </w:rPr>
        <w:t>Podłoże (</w:t>
      </w:r>
      <w:r>
        <w:rPr>
          <w:rFonts w:ascii="Verdana" w:hAnsi="Verdana" w:cs="Arial"/>
        </w:rPr>
        <w:t>nowa warstwa podbudowy z mieszanki niezwiązanej lub mieszanki związanej spoiwem hydraulicznym</w:t>
      </w:r>
      <w:r w:rsidRPr="009040B8">
        <w:rPr>
          <w:rFonts w:ascii="Verdana" w:hAnsi="Verdana" w:cs="Arial"/>
        </w:rPr>
        <w:t xml:space="preserve">) pod warstwę </w:t>
      </w:r>
      <w:r>
        <w:rPr>
          <w:rFonts w:ascii="Verdana" w:hAnsi="Verdana" w:cs="Arial"/>
        </w:rPr>
        <w:t>podbudowy</w:t>
      </w:r>
      <w:r w:rsidRPr="009040B8">
        <w:rPr>
          <w:rFonts w:ascii="Verdana" w:hAnsi="Verdana" w:cs="Arial"/>
        </w:rPr>
        <w:t xml:space="preserve">  z betonu asfaltowego powinno być na całej powierzchni:</w:t>
      </w:r>
    </w:p>
    <w:p w:rsidR="0051730D" w:rsidRPr="009040B8" w:rsidRDefault="0051730D" w:rsidP="002122BD">
      <w:pPr>
        <w:numPr>
          <w:ilvl w:val="0"/>
          <w:numId w:val="33"/>
        </w:numPr>
        <w:overflowPunct w:val="0"/>
        <w:autoSpaceDE w:val="0"/>
        <w:autoSpaceDN w:val="0"/>
        <w:adjustRightInd w:val="0"/>
        <w:jc w:val="both"/>
        <w:textAlignment w:val="baseline"/>
        <w:rPr>
          <w:rFonts w:ascii="Verdana" w:hAnsi="Verdana" w:cs="Arial"/>
        </w:rPr>
      </w:pPr>
      <w:r w:rsidRPr="009040B8">
        <w:rPr>
          <w:rFonts w:ascii="Verdana" w:hAnsi="Verdana" w:cs="Arial"/>
        </w:rPr>
        <w:t>ustabilizowane i nośne,</w:t>
      </w:r>
    </w:p>
    <w:p w:rsidR="0051730D" w:rsidRPr="009040B8" w:rsidRDefault="0051730D" w:rsidP="002122BD">
      <w:pPr>
        <w:numPr>
          <w:ilvl w:val="0"/>
          <w:numId w:val="33"/>
        </w:numPr>
        <w:overflowPunct w:val="0"/>
        <w:autoSpaceDE w:val="0"/>
        <w:autoSpaceDN w:val="0"/>
        <w:adjustRightInd w:val="0"/>
        <w:jc w:val="both"/>
        <w:textAlignment w:val="baseline"/>
        <w:rPr>
          <w:rFonts w:ascii="Verdana" w:hAnsi="Verdana" w:cs="Arial"/>
        </w:rPr>
      </w:pPr>
      <w:r w:rsidRPr="009040B8">
        <w:rPr>
          <w:rFonts w:ascii="Verdana" w:hAnsi="Verdana" w:cs="Arial"/>
        </w:rPr>
        <w:t>czyste, bez zanieczyszczenia lub pozostałości luźnego kruszywa,</w:t>
      </w:r>
    </w:p>
    <w:p w:rsidR="0051730D" w:rsidRDefault="0051730D" w:rsidP="002122BD">
      <w:pPr>
        <w:numPr>
          <w:ilvl w:val="0"/>
          <w:numId w:val="33"/>
        </w:numPr>
        <w:overflowPunct w:val="0"/>
        <w:autoSpaceDE w:val="0"/>
        <w:autoSpaceDN w:val="0"/>
        <w:adjustRightInd w:val="0"/>
        <w:jc w:val="both"/>
        <w:textAlignment w:val="baseline"/>
        <w:rPr>
          <w:rFonts w:ascii="Verdana" w:hAnsi="Verdana" w:cs="Arial"/>
        </w:rPr>
      </w:pPr>
      <w:r w:rsidRPr="009040B8">
        <w:rPr>
          <w:rFonts w:ascii="Verdana" w:hAnsi="Verdana" w:cs="Arial"/>
        </w:rPr>
        <w:t>wy</w:t>
      </w:r>
      <w:r>
        <w:rPr>
          <w:rFonts w:ascii="Verdana" w:hAnsi="Verdana" w:cs="Arial"/>
        </w:rPr>
        <w:t>profilowane, równe i bez kolein,</w:t>
      </w:r>
    </w:p>
    <w:p w:rsidR="0051730D" w:rsidRDefault="0051730D" w:rsidP="002122BD">
      <w:pPr>
        <w:numPr>
          <w:ilvl w:val="0"/>
          <w:numId w:val="33"/>
        </w:numPr>
        <w:overflowPunct w:val="0"/>
        <w:autoSpaceDE w:val="0"/>
        <w:autoSpaceDN w:val="0"/>
        <w:adjustRightInd w:val="0"/>
        <w:jc w:val="both"/>
        <w:textAlignment w:val="baseline"/>
        <w:rPr>
          <w:rFonts w:ascii="Verdana" w:hAnsi="Verdana" w:cs="Arial"/>
        </w:rPr>
      </w:pPr>
      <w:r>
        <w:rPr>
          <w:rFonts w:ascii="Verdana" w:hAnsi="Verdana" w:cs="Arial"/>
        </w:rPr>
        <w:t>suche,</w:t>
      </w:r>
    </w:p>
    <w:p w:rsidR="0051730D" w:rsidRPr="009040B8" w:rsidRDefault="0051730D" w:rsidP="002122BD">
      <w:pPr>
        <w:numPr>
          <w:ilvl w:val="0"/>
          <w:numId w:val="33"/>
        </w:numPr>
        <w:overflowPunct w:val="0"/>
        <w:autoSpaceDE w:val="0"/>
        <w:autoSpaceDN w:val="0"/>
        <w:adjustRightInd w:val="0"/>
        <w:jc w:val="both"/>
        <w:textAlignment w:val="baseline"/>
        <w:rPr>
          <w:rFonts w:ascii="Verdana" w:hAnsi="Verdana" w:cs="Arial"/>
        </w:rPr>
      </w:pPr>
      <w:r>
        <w:rPr>
          <w:rFonts w:ascii="Verdana" w:hAnsi="Verdana" w:cs="Arial"/>
        </w:rPr>
        <w:t>skropione emulsją lub asfaltem zapewniającym połączenie warstw.</w:t>
      </w:r>
    </w:p>
    <w:p w:rsidR="0051730D" w:rsidRPr="009040B8" w:rsidRDefault="0051730D" w:rsidP="0051730D">
      <w:pPr>
        <w:jc w:val="both"/>
        <w:rPr>
          <w:rFonts w:ascii="Verdana" w:hAnsi="Verdana" w:cs="Arial"/>
        </w:rPr>
      </w:pPr>
      <w:r>
        <w:rPr>
          <w:rFonts w:ascii="Verdana" w:hAnsi="Verdana" w:cs="Arial"/>
        </w:rPr>
        <w:t xml:space="preserve">Podłoże pod warstwy asfaltowe powinno spełniać wymagania określone w tabeli 12. </w:t>
      </w:r>
      <w:r w:rsidRPr="009040B8">
        <w:rPr>
          <w:rFonts w:ascii="Verdana" w:hAnsi="Verdana" w:cs="Arial"/>
        </w:rPr>
        <w:t>nierówności nie powinny przekraczać wartości podanych w tab</w:t>
      </w:r>
      <w:r>
        <w:rPr>
          <w:rFonts w:ascii="Verdana" w:hAnsi="Verdana" w:cs="Arial"/>
        </w:rPr>
        <w:t>eli</w:t>
      </w:r>
      <w:r w:rsidRPr="009040B8">
        <w:rPr>
          <w:rFonts w:ascii="Verdana" w:hAnsi="Verdana" w:cs="Arial"/>
        </w:rPr>
        <w:t xml:space="preserve"> 1</w:t>
      </w:r>
      <w:r>
        <w:rPr>
          <w:rFonts w:ascii="Verdana" w:hAnsi="Verdana" w:cs="Arial"/>
        </w:rPr>
        <w:t>2</w:t>
      </w:r>
      <w:r w:rsidRPr="009040B8">
        <w:rPr>
          <w:rFonts w:ascii="Verdana" w:hAnsi="Verdana" w:cs="Arial"/>
        </w:rPr>
        <w:t>.</w:t>
      </w:r>
    </w:p>
    <w:p w:rsidR="0051730D" w:rsidRPr="009040B8" w:rsidRDefault="0051730D" w:rsidP="0051730D">
      <w:pPr>
        <w:tabs>
          <w:tab w:val="left" w:pos="1134"/>
        </w:tabs>
        <w:spacing w:before="120"/>
        <w:ind w:left="1134" w:hanging="1134"/>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 xml:space="preserve">2. </w:t>
      </w:r>
      <w:r w:rsidRPr="009040B8">
        <w:rPr>
          <w:rFonts w:ascii="Verdana" w:hAnsi="Verdana" w:cs="Arial"/>
        </w:rPr>
        <w:t xml:space="preserve">Maksymalne nierówności podłoża pod warstwy AC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51730D" w:rsidRPr="009040B8" w:rsidTr="0051730D">
        <w:tc>
          <w:tcPr>
            <w:tcW w:w="1242" w:type="dxa"/>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Klasa drogi</w:t>
            </w:r>
          </w:p>
        </w:tc>
        <w:tc>
          <w:tcPr>
            <w:tcW w:w="3969" w:type="dxa"/>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Element nawierzchni</w:t>
            </w:r>
          </w:p>
        </w:tc>
        <w:tc>
          <w:tcPr>
            <w:tcW w:w="2300" w:type="dxa"/>
          </w:tcPr>
          <w:p w:rsidR="0051730D" w:rsidRPr="009040B8" w:rsidRDefault="0051730D" w:rsidP="0051730D">
            <w:pPr>
              <w:jc w:val="center"/>
              <w:rPr>
                <w:rFonts w:ascii="Verdana" w:hAnsi="Verdana" w:cs="Arial"/>
              </w:rPr>
            </w:pPr>
            <w:r w:rsidRPr="009040B8">
              <w:rPr>
                <w:rFonts w:ascii="Verdana" w:hAnsi="Verdana" w:cs="Arial"/>
              </w:rPr>
              <w:t xml:space="preserve">Maksymalna nierówność podłoża pod warstwę </w:t>
            </w:r>
            <w:r>
              <w:rPr>
                <w:rFonts w:ascii="Verdana" w:hAnsi="Verdana" w:cs="Arial"/>
              </w:rPr>
              <w:t>podbudowy</w:t>
            </w:r>
            <w:r w:rsidRPr="009040B8">
              <w:rPr>
                <w:rFonts w:ascii="Verdana" w:hAnsi="Verdana" w:cs="Arial"/>
              </w:rPr>
              <w:t xml:space="preserve"> [mm]</w:t>
            </w:r>
          </w:p>
        </w:tc>
      </w:tr>
      <w:tr w:rsidR="0051730D" w:rsidRPr="009040B8" w:rsidTr="0051730D">
        <w:trPr>
          <w:trHeight w:val="445"/>
        </w:trPr>
        <w:tc>
          <w:tcPr>
            <w:tcW w:w="1242" w:type="dxa"/>
            <w:vAlign w:val="center"/>
          </w:tcPr>
          <w:p w:rsidR="0051730D" w:rsidRPr="009040B8" w:rsidRDefault="0051730D" w:rsidP="0051730D">
            <w:pPr>
              <w:jc w:val="center"/>
              <w:rPr>
                <w:rFonts w:ascii="Verdana" w:hAnsi="Verdana" w:cs="Arial"/>
                <w:strike/>
              </w:rPr>
            </w:pPr>
            <w:r w:rsidRPr="009040B8">
              <w:rPr>
                <w:rFonts w:ascii="Verdana" w:hAnsi="Verdana" w:cs="Arial"/>
              </w:rPr>
              <w:t>GP</w:t>
            </w:r>
          </w:p>
        </w:tc>
        <w:tc>
          <w:tcPr>
            <w:tcW w:w="3969" w:type="dxa"/>
          </w:tcPr>
          <w:p w:rsidR="0051730D" w:rsidRPr="009040B8" w:rsidRDefault="0051730D" w:rsidP="0051730D">
            <w:pPr>
              <w:jc w:val="center"/>
              <w:rPr>
                <w:rFonts w:ascii="Verdana" w:hAnsi="Verdana" w:cs="Arial"/>
                <w:strike/>
              </w:rPr>
            </w:pPr>
            <w:r w:rsidRPr="009040B8">
              <w:rPr>
                <w:rFonts w:ascii="Verdana" w:hAnsi="Verdana" w:cs="Arial"/>
              </w:rPr>
              <w:t>Jezdnie łącznic, jezdnie MOP, utwardzone pobocza</w:t>
            </w:r>
          </w:p>
        </w:tc>
        <w:tc>
          <w:tcPr>
            <w:tcW w:w="2300" w:type="dxa"/>
          </w:tcPr>
          <w:p w:rsidR="0051730D" w:rsidRPr="009040B8" w:rsidRDefault="0051730D" w:rsidP="0051730D">
            <w:pPr>
              <w:spacing w:before="120"/>
              <w:jc w:val="center"/>
              <w:rPr>
                <w:rFonts w:ascii="Verdana" w:hAnsi="Verdana" w:cs="Arial"/>
                <w:strike/>
              </w:rPr>
            </w:pPr>
            <w:r w:rsidRPr="009040B8">
              <w:rPr>
                <w:rFonts w:ascii="Verdana" w:hAnsi="Verdana" w:cs="Arial"/>
              </w:rPr>
              <w:t>1</w:t>
            </w:r>
            <w:r>
              <w:rPr>
                <w:rFonts w:ascii="Verdana" w:hAnsi="Verdana" w:cs="Arial"/>
              </w:rPr>
              <w:t>2</w:t>
            </w:r>
          </w:p>
        </w:tc>
      </w:tr>
      <w:tr w:rsidR="0051730D" w:rsidRPr="009040B8" w:rsidTr="0051730D">
        <w:tc>
          <w:tcPr>
            <w:tcW w:w="1242" w:type="dxa"/>
            <w:vAlign w:val="center"/>
          </w:tcPr>
          <w:p w:rsidR="0051730D" w:rsidRPr="009040B8" w:rsidRDefault="0051730D" w:rsidP="0051730D">
            <w:pPr>
              <w:jc w:val="center"/>
              <w:rPr>
                <w:rFonts w:ascii="Verdana" w:hAnsi="Verdana" w:cs="Arial"/>
              </w:rPr>
            </w:pPr>
            <w:r w:rsidRPr="009040B8">
              <w:rPr>
                <w:rFonts w:ascii="Verdana" w:hAnsi="Verdana" w:cs="Arial"/>
              </w:rPr>
              <w:t>G</w:t>
            </w:r>
          </w:p>
        </w:tc>
        <w:tc>
          <w:tcPr>
            <w:tcW w:w="3969" w:type="dxa"/>
          </w:tcPr>
          <w:p w:rsidR="0051730D" w:rsidRPr="009040B8" w:rsidRDefault="0051730D" w:rsidP="0051730D">
            <w:pPr>
              <w:jc w:val="center"/>
              <w:rPr>
                <w:rFonts w:ascii="Verdana" w:hAnsi="Verdana" w:cs="Arial"/>
              </w:rPr>
            </w:pPr>
            <w:r w:rsidRPr="009040B8">
              <w:rPr>
                <w:rFonts w:ascii="Verdana" w:hAnsi="Verdana" w:cs="Arial"/>
              </w:rPr>
              <w:t>Pasy: ruchu, dodatkowe, włączania i wyłączania, postojowe, jezdnie łącznic, utwardzone pobocza</w:t>
            </w:r>
          </w:p>
        </w:tc>
        <w:tc>
          <w:tcPr>
            <w:tcW w:w="2300" w:type="dxa"/>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1</w:t>
            </w:r>
            <w:r>
              <w:rPr>
                <w:rFonts w:ascii="Verdana" w:hAnsi="Verdana" w:cs="Arial"/>
              </w:rPr>
              <w:t>5</w:t>
            </w:r>
          </w:p>
        </w:tc>
      </w:tr>
    </w:tbl>
    <w:p w:rsidR="0051730D" w:rsidRDefault="0051730D" w:rsidP="0051730D">
      <w:pPr>
        <w:jc w:val="both"/>
        <w:rPr>
          <w:rFonts w:ascii="Verdana" w:hAnsi="Verdana" w:cs="Arial"/>
        </w:rPr>
      </w:pPr>
    </w:p>
    <w:p w:rsidR="0051730D" w:rsidRPr="009040B8" w:rsidRDefault="0051730D" w:rsidP="0051730D">
      <w:pPr>
        <w:jc w:val="both"/>
        <w:rPr>
          <w:rFonts w:ascii="Verdana" w:hAnsi="Verdana" w:cs="Arial"/>
        </w:rPr>
      </w:pPr>
      <w:r w:rsidRPr="009040B8">
        <w:rPr>
          <w:rFonts w:ascii="Verdana" w:hAnsi="Verdana" w:cs="Arial"/>
        </w:rPr>
        <w:t>Jeżeli nierówności  są większe niż dopuszczalne, to należy wyrównać podłoże.</w:t>
      </w:r>
    </w:p>
    <w:p w:rsidR="0051730D" w:rsidRPr="009040B8" w:rsidRDefault="0051730D" w:rsidP="0051730D">
      <w:pPr>
        <w:jc w:val="both"/>
        <w:rPr>
          <w:rFonts w:ascii="Verdana" w:hAnsi="Verdana" w:cs="Arial"/>
        </w:rPr>
      </w:pPr>
      <w:r w:rsidRPr="009040B8">
        <w:rPr>
          <w:rFonts w:ascii="Verdana" w:hAnsi="Verdana" w:cs="Arial"/>
        </w:rPr>
        <w:lastRenderedPageBreak/>
        <w:t>Rzędne wysokościowe podłoża oraz urządzeń usytuowanych w nawierzchni lub ją ograniczających powinny być zgodne z dokumentacją projektową. Z podłoża powinien być zapewniony odpływ wody.</w:t>
      </w:r>
    </w:p>
    <w:p w:rsidR="0051730D" w:rsidRDefault="0051730D" w:rsidP="0051730D">
      <w:pPr>
        <w:jc w:val="both"/>
        <w:rPr>
          <w:rFonts w:ascii="Verdana" w:hAnsi="Verdana" w:cs="Arial"/>
        </w:rPr>
      </w:pPr>
      <w:r>
        <w:rPr>
          <w:rFonts w:ascii="Verdana" w:hAnsi="Verdana" w:cs="Arial"/>
        </w:rPr>
        <w:t>Nie dopuszcza się, aby w podłożu występowały koleiny względnie innego rodzaju zagłębienia, mogące powodować zwiększone gromadzenie się wody.</w:t>
      </w:r>
    </w:p>
    <w:p w:rsidR="0051730D" w:rsidRPr="009040B8" w:rsidRDefault="0051730D" w:rsidP="0051730D">
      <w:pPr>
        <w:jc w:val="both"/>
        <w:rPr>
          <w:rFonts w:ascii="Verdana" w:hAnsi="Verdana" w:cs="Arial"/>
        </w:rPr>
      </w:pPr>
      <w:r w:rsidRPr="009040B8">
        <w:rPr>
          <w:rFonts w:ascii="Verdana" w:hAnsi="Verdana" w:cs="Arial"/>
        </w:rPr>
        <w:t>W celu polepszenia połączenia między warstwami technologicznymi nawierzchni powierzchnia podłoża powinna być w ocenie wizualnej chropowata.</w:t>
      </w:r>
    </w:p>
    <w:p w:rsidR="0051730D" w:rsidRPr="009040B8" w:rsidRDefault="0051730D" w:rsidP="0051730D">
      <w:pPr>
        <w:jc w:val="both"/>
        <w:rPr>
          <w:rFonts w:ascii="Verdana" w:hAnsi="Verdana" w:cs="Arial"/>
        </w:rPr>
      </w:pPr>
      <w:r w:rsidRPr="009040B8">
        <w:rPr>
          <w:rFonts w:ascii="Verdana" w:hAnsi="Verdana" w:cs="Arial"/>
        </w:rPr>
        <w:t>Jeżeli podłoże jest nieodpowiednie, to należy ustalić, jakie specjalne środki należy podjąć przed wykonaniem warstwy asfaltowej.</w:t>
      </w:r>
    </w:p>
    <w:p w:rsidR="0051730D" w:rsidRPr="009040B8" w:rsidRDefault="0051730D" w:rsidP="0051730D">
      <w:pPr>
        <w:jc w:val="both"/>
        <w:rPr>
          <w:rFonts w:ascii="Verdana" w:hAnsi="Verdana" w:cs="Arial"/>
        </w:rPr>
      </w:pPr>
      <w:r>
        <w:rPr>
          <w:rFonts w:ascii="Verdana" w:hAnsi="Verdana" w:cs="Arial"/>
        </w:rPr>
        <w:t xml:space="preserve">Na podłożu wykazującym uszkodzenia w postaci siatki spękań zmęczeniowych należy stosować warstwy (membrany) </w:t>
      </w:r>
      <w:proofErr w:type="spellStart"/>
      <w:r>
        <w:rPr>
          <w:rFonts w:ascii="Verdana" w:hAnsi="Verdana" w:cs="Arial"/>
        </w:rPr>
        <w:t>przeciwspękaniowe</w:t>
      </w:r>
      <w:proofErr w:type="spellEnd"/>
      <w:r>
        <w:rPr>
          <w:rFonts w:ascii="Verdana" w:hAnsi="Verdana" w:cs="Arial"/>
        </w:rPr>
        <w:t>.</w:t>
      </w:r>
    </w:p>
    <w:p w:rsidR="0051730D" w:rsidRPr="009040B8" w:rsidRDefault="0051730D" w:rsidP="0051730D">
      <w:pPr>
        <w:keepNext/>
        <w:spacing w:before="240"/>
        <w:jc w:val="both"/>
        <w:outlineLvl w:val="1"/>
        <w:rPr>
          <w:rFonts w:ascii="Verdana" w:hAnsi="Verdana" w:cs="Arial"/>
          <w:b/>
          <w:bCs/>
          <w:iCs/>
        </w:rPr>
      </w:pPr>
      <w:bookmarkStart w:id="281" w:name="_Toc316558789"/>
      <w:r w:rsidRPr="009040B8">
        <w:rPr>
          <w:rFonts w:ascii="Verdana" w:hAnsi="Verdana" w:cs="Arial"/>
          <w:b/>
          <w:bCs/>
          <w:iCs/>
        </w:rPr>
        <w:t>5.5. Próba technologiczna</w:t>
      </w:r>
      <w:bookmarkEnd w:id="281"/>
    </w:p>
    <w:p w:rsidR="0051730D" w:rsidRPr="009040B8" w:rsidRDefault="0051730D" w:rsidP="0051730D">
      <w:pPr>
        <w:keepNext/>
        <w:jc w:val="both"/>
        <w:outlineLvl w:val="1"/>
        <w:rPr>
          <w:rFonts w:ascii="Verdana" w:hAnsi="Verdana" w:cs="Arial"/>
          <w:b/>
          <w:bCs/>
          <w:iCs/>
        </w:rPr>
      </w:pPr>
      <w:r w:rsidRPr="009040B8">
        <w:rPr>
          <w:rFonts w:ascii="Verdana" w:hAnsi="Verdana" w:cs="Arial"/>
        </w:rPr>
        <w:t>Wykonawca przed przystąpieniem do produkcji mieszanki jest zobowiązany na żądanie Przedstawiciela Zamawiającego/Inspektora Nadzoru  do przeprowadzenia w jego obecności  próby technologicznej, która ma na celu sprawdzenie zgodności właściwości wyprodukowanej mieszanki z receptą. Inspektor Nadzoru podejmuje decyzję o ewentualnym wykonaniu próby technologicznej na podstawie doświadczenia Wykonawcy w wykonywaniu robót z wykorzystaniem danej recepty na drogach krajowych województwa warmińsko-mazurskiego. W tym celu należy zaprogramować otaczarkę zgodnie z receptą roboczą i w cyklu automatycznym produkować mieszankę. Do badań należy pobrać mieszankę wyprodukowaną po ustabilizowaniu się pracy otaczarki.</w:t>
      </w:r>
    </w:p>
    <w:p w:rsidR="0051730D" w:rsidRPr="009040B8" w:rsidRDefault="0051730D" w:rsidP="0051730D">
      <w:pPr>
        <w:jc w:val="both"/>
        <w:rPr>
          <w:rFonts w:ascii="Verdana" w:hAnsi="Verdana" w:cs="Arial"/>
        </w:rPr>
      </w:pPr>
      <w:r w:rsidRPr="009040B8">
        <w:rPr>
          <w:rFonts w:ascii="Verdana" w:hAnsi="Verdana" w:cs="Arial"/>
        </w:rPr>
        <w:t xml:space="preserve">Nie dopuszcza się oceniania dokładności pracy otaczarki oraz prawidłowości składu mieszanki mineralnej na podstawie tzw. suchego </w:t>
      </w:r>
      <w:proofErr w:type="spellStart"/>
      <w:r w:rsidRPr="009040B8">
        <w:rPr>
          <w:rFonts w:ascii="Verdana" w:hAnsi="Verdana" w:cs="Arial"/>
        </w:rPr>
        <w:t>zarobu</w:t>
      </w:r>
      <w:proofErr w:type="spellEnd"/>
      <w:r w:rsidRPr="009040B8">
        <w:rPr>
          <w:rFonts w:ascii="Verdana" w:hAnsi="Verdana" w:cs="Arial"/>
        </w:rPr>
        <w:t>, z uwagi na możliwą segregację kruszywa.</w:t>
      </w:r>
    </w:p>
    <w:p w:rsidR="0051730D" w:rsidRPr="009040B8" w:rsidRDefault="0051730D" w:rsidP="0051730D">
      <w:pPr>
        <w:jc w:val="both"/>
        <w:rPr>
          <w:rFonts w:ascii="Verdana" w:hAnsi="Verdana" w:cs="Arial"/>
        </w:rPr>
      </w:pPr>
      <w:r w:rsidRPr="009040B8">
        <w:rPr>
          <w:rFonts w:ascii="Verdana" w:hAnsi="Verdana" w:cs="Arial"/>
        </w:rPr>
        <w:t xml:space="preserve">Mieszankę wyprodukowaną po ustabilizowaniu się pracy otaczarki należy zgromadzić w silosie lub załadować na samochód. Próbki do badań należy pobierać ze skrzyni samochodu zgodnie z metodą określoną  w PN-EN 12697-27 [39]. </w:t>
      </w:r>
    </w:p>
    <w:p w:rsidR="0051730D" w:rsidRPr="00A36ABD" w:rsidRDefault="0051730D" w:rsidP="0051730D">
      <w:pPr>
        <w:rPr>
          <w:rFonts w:ascii="Verdana" w:hAnsi="Verdana"/>
        </w:rPr>
      </w:pPr>
      <w:r w:rsidRPr="00A36ABD">
        <w:rPr>
          <w:rFonts w:ascii="Verdana" w:hAnsi="Verdana"/>
        </w:rPr>
        <w:t xml:space="preserve">Wykonawca wykona następujące badania w ramach próby technologicznej: </w:t>
      </w:r>
    </w:p>
    <w:p w:rsidR="0051730D" w:rsidRPr="00A36ABD" w:rsidRDefault="0051730D" w:rsidP="002122BD">
      <w:pPr>
        <w:numPr>
          <w:ilvl w:val="0"/>
          <w:numId w:val="43"/>
        </w:numPr>
        <w:ind w:firstLine="284"/>
        <w:jc w:val="both"/>
        <w:rPr>
          <w:rFonts w:ascii="Verdana" w:hAnsi="Verdana"/>
        </w:rPr>
      </w:pPr>
      <w:r w:rsidRPr="00A36ABD">
        <w:rPr>
          <w:rFonts w:ascii="Verdana" w:hAnsi="Verdana"/>
        </w:rPr>
        <w:t xml:space="preserve">zawartość lepiszcza rozpuszczalnego, uziarnienie, </w:t>
      </w:r>
    </w:p>
    <w:p w:rsidR="0051730D" w:rsidRPr="00A36ABD" w:rsidRDefault="0051730D" w:rsidP="002122BD">
      <w:pPr>
        <w:numPr>
          <w:ilvl w:val="0"/>
          <w:numId w:val="43"/>
        </w:numPr>
        <w:ind w:firstLine="284"/>
        <w:jc w:val="both"/>
        <w:rPr>
          <w:rFonts w:ascii="Verdana" w:hAnsi="Verdana"/>
        </w:rPr>
      </w:pPr>
      <w:r w:rsidRPr="00A36ABD">
        <w:rPr>
          <w:rFonts w:ascii="Verdana" w:hAnsi="Verdana"/>
        </w:rPr>
        <w:t>zawartość wolnych przestrzeni w</w:t>
      </w:r>
      <w:r>
        <w:rPr>
          <w:rFonts w:ascii="Verdana" w:hAnsi="Verdana"/>
        </w:rPr>
        <w:t xml:space="preserve"> mieszance</w:t>
      </w:r>
      <w:r w:rsidRPr="00A36ABD">
        <w:rPr>
          <w:rFonts w:ascii="Verdana" w:hAnsi="Verdana"/>
        </w:rPr>
        <w:t xml:space="preserve"> </w:t>
      </w:r>
      <w:r>
        <w:rPr>
          <w:rFonts w:ascii="Verdana" w:hAnsi="Verdana"/>
        </w:rPr>
        <w:t>M</w:t>
      </w:r>
      <w:r w:rsidRPr="00A36ABD">
        <w:rPr>
          <w:rFonts w:ascii="Verdana" w:hAnsi="Verdana"/>
        </w:rPr>
        <w:t xml:space="preserve">MA, </w:t>
      </w:r>
    </w:p>
    <w:p w:rsidR="0051730D" w:rsidRPr="002129BE" w:rsidRDefault="0051730D" w:rsidP="002122BD">
      <w:pPr>
        <w:numPr>
          <w:ilvl w:val="0"/>
          <w:numId w:val="43"/>
        </w:numPr>
        <w:ind w:firstLine="284"/>
        <w:jc w:val="both"/>
        <w:rPr>
          <w:rFonts w:ascii="Verdana" w:hAnsi="Verdana"/>
        </w:rPr>
      </w:pPr>
      <w:r w:rsidRPr="00A36ABD">
        <w:rPr>
          <w:rFonts w:ascii="Verdana" w:hAnsi="Verdana"/>
        </w:rPr>
        <w:t>odporności na działanie wody i mrozu (</w:t>
      </w:r>
      <w:r w:rsidRPr="00A36ABD">
        <w:rPr>
          <w:rFonts w:ascii="Verdana" w:hAnsi="Verdana"/>
          <w:i/>
        </w:rPr>
        <w:t>ITSR</w:t>
      </w:r>
      <w:r w:rsidRPr="00A36ABD">
        <w:rPr>
          <w:rFonts w:ascii="Verdana" w:hAnsi="Verdana"/>
        </w:rPr>
        <w:t xml:space="preserve">). </w:t>
      </w:r>
    </w:p>
    <w:p w:rsidR="0051730D" w:rsidRDefault="0051730D" w:rsidP="0051730D">
      <w:pPr>
        <w:jc w:val="both"/>
        <w:rPr>
          <w:rFonts w:ascii="Verdana" w:hAnsi="Verdana" w:cs="Arial"/>
        </w:rPr>
      </w:pPr>
      <w:r w:rsidRPr="009040B8">
        <w:rPr>
          <w:rFonts w:ascii="Verdana" w:hAnsi="Verdana" w:cs="Arial"/>
        </w:rPr>
        <w:t>Na podstawie uzyskanych wyników badań Wykonawcy z próby technologicznej Przedstawiciel Zamawiającego/Inspektor Nadzoru decyduje o przeprowadzeniu badań kontrolnych oraz podejmuje decyzję o wykonaniu odcinka próbnego w</w:t>
      </w:r>
      <w:r>
        <w:rPr>
          <w:rFonts w:ascii="Verdana" w:hAnsi="Verdana" w:cs="Arial"/>
        </w:rPr>
        <w:t xml:space="preserve"> miejscu przez niego wskazanym.</w:t>
      </w:r>
    </w:p>
    <w:p w:rsidR="0051730D" w:rsidRDefault="0051730D" w:rsidP="0051730D">
      <w:pPr>
        <w:jc w:val="both"/>
        <w:rPr>
          <w:rFonts w:ascii="Verdana" w:hAnsi="Verdana" w:cs="Arial"/>
        </w:rPr>
      </w:pPr>
      <w:r>
        <w:rPr>
          <w:rFonts w:ascii="Verdana" w:hAnsi="Verdana" w:cs="Arial"/>
        </w:rPr>
        <w:t xml:space="preserve">Tolerancje zawartości składu MMA względem składu zaprojektowanego powinny być zgodne z wymaganiami podanymi w pkt. 6.4 niniejszej SST. </w:t>
      </w:r>
    </w:p>
    <w:p w:rsidR="0051730D" w:rsidRPr="009040B8" w:rsidRDefault="0051730D" w:rsidP="0051730D">
      <w:pPr>
        <w:jc w:val="both"/>
        <w:rPr>
          <w:rFonts w:ascii="Verdana" w:hAnsi="Verdana" w:cs="Arial"/>
        </w:rPr>
      </w:pPr>
      <w:r w:rsidRPr="009040B8">
        <w:rPr>
          <w:rFonts w:ascii="Verdana" w:hAnsi="Verdana" w:cs="Arial"/>
        </w:rPr>
        <w:t xml:space="preserve">Ewentualne wykonanie </w:t>
      </w:r>
      <w:proofErr w:type="spellStart"/>
      <w:r w:rsidRPr="009040B8">
        <w:rPr>
          <w:rFonts w:ascii="Verdana" w:hAnsi="Verdana" w:cs="Arial"/>
        </w:rPr>
        <w:t>zarobu</w:t>
      </w:r>
      <w:proofErr w:type="spellEnd"/>
      <w:r w:rsidRPr="009040B8">
        <w:rPr>
          <w:rFonts w:ascii="Verdana" w:hAnsi="Verdana" w:cs="Arial"/>
        </w:rPr>
        <w:t xml:space="preserve"> próbnego i odcinka próbnego Wykonawca jest zobowiązany uwzględnić w cenie kontraktowej.</w:t>
      </w:r>
    </w:p>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b/>
        </w:rPr>
      </w:pPr>
      <w:r w:rsidRPr="009040B8">
        <w:rPr>
          <w:rFonts w:ascii="Verdana" w:hAnsi="Verdana" w:cs="Arial"/>
          <w:b/>
        </w:rPr>
        <w:t xml:space="preserve">5.6. Połączenie </w:t>
      </w:r>
      <w:proofErr w:type="spellStart"/>
      <w:r w:rsidRPr="009040B8">
        <w:rPr>
          <w:rFonts w:ascii="Verdana" w:hAnsi="Verdana" w:cs="Arial"/>
          <w:b/>
        </w:rPr>
        <w:t>międzywarstwowe</w:t>
      </w:r>
      <w:proofErr w:type="spellEnd"/>
    </w:p>
    <w:p w:rsidR="0051730D" w:rsidRPr="009040B8" w:rsidRDefault="0051730D" w:rsidP="0051730D">
      <w:pPr>
        <w:jc w:val="both"/>
        <w:rPr>
          <w:rFonts w:ascii="Verdana" w:hAnsi="Verdana" w:cs="Arial"/>
        </w:rPr>
      </w:pPr>
      <w:r w:rsidRPr="009040B8">
        <w:rPr>
          <w:rFonts w:ascii="Verdana" w:hAnsi="Verdana" w:cs="Arial"/>
        </w:rPr>
        <w:t>Uzyskanie wymaganej trwałości nawierzchni jest uzależnione od zapewnienia połączenia między warstwami i ich współpracy w przenoszeniu obciążenia nawierzchni ruchem.</w:t>
      </w:r>
    </w:p>
    <w:p w:rsidR="0051730D" w:rsidRPr="009040B8" w:rsidRDefault="0051730D" w:rsidP="0051730D">
      <w:pPr>
        <w:jc w:val="both"/>
        <w:rPr>
          <w:rFonts w:ascii="Verdana" w:hAnsi="Verdana" w:cs="Arial"/>
        </w:rPr>
      </w:pPr>
      <w:r w:rsidRPr="009040B8">
        <w:rPr>
          <w:rFonts w:ascii="Verdana" w:hAnsi="Verdana" w:cs="Arial"/>
        </w:rPr>
        <w:t>Podłoże powinno być skropione lepiszczem. Ma to na celu zwiększenie połączenia między warstwami konstrukcyjnymi oraz zabezpieczenie przed wnikaniem i zaleganiem wody między warstwami.</w:t>
      </w:r>
    </w:p>
    <w:p w:rsidR="0051730D" w:rsidRDefault="0051730D" w:rsidP="0051730D">
      <w:pPr>
        <w:jc w:val="both"/>
        <w:rPr>
          <w:rFonts w:ascii="Verdana" w:hAnsi="Verdana" w:cs="Arial"/>
        </w:rPr>
      </w:pPr>
      <w:r w:rsidRPr="009040B8">
        <w:rPr>
          <w:rFonts w:ascii="Verdana" w:hAnsi="Verdana" w:cs="Arial"/>
        </w:rPr>
        <w:t xml:space="preserve">Skropienie lepiszczem podłoża (np. podbudowa asfaltowa, stara warstwa nawierzchni przed ułożeniem warstwy </w:t>
      </w:r>
      <w:r>
        <w:rPr>
          <w:rFonts w:ascii="Verdana" w:hAnsi="Verdana" w:cs="Arial"/>
        </w:rPr>
        <w:t>podbudowy</w:t>
      </w:r>
      <w:r w:rsidRPr="009040B8">
        <w:rPr>
          <w:rFonts w:ascii="Verdana" w:hAnsi="Verdana" w:cs="Arial"/>
        </w:rPr>
        <w:t xml:space="preserve"> z betonu asfaltowego powinno być wykonane w ilości podanej w przeliczeniu na pozostałe lepiszcze, tj.</w:t>
      </w:r>
      <w:r>
        <w:rPr>
          <w:rFonts w:ascii="Verdana" w:hAnsi="Verdana" w:cs="Arial"/>
        </w:rPr>
        <w:t>:</w:t>
      </w:r>
    </w:p>
    <w:p w:rsidR="0051730D" w:rsidRDefault="0051730D" w:rsidP="002122BD">
      <w:pPr>
        <w:numPr>
          <w:ilvl w:val="0"/>
          <w:numId w:val="42"/>
        </w:numPr>
        <w:ind w:left="426" w:hanging="426"/>
        <w:jc w:val="both"/>
        <w:rPr>
          <w:rFonts w:ascii="Verdana" w:hAnsi="Verdana" w:cs="Arial"/>
        </w:rPr>
      </w:pPr>
      <w:r>
        <w:rPr>
          <w:rFonts w:ascii="Verdana" w:hAnsi="Verdana" w:cs="Arial"/>
        </w:rPr>
        <w:t xml:space="preserve">warstwa podbudowy z mieszanki niezwiązanej w ilości </w:t>
      </w:r>
      <w:r w:rsidRPr="009040B8">
        <w:rPr>
          <w:rFonts w:ascii="Verdana" w:hAnsi="Verdana" w:cs="Arial"/>
        </w:rPr>
        <w:t>0,</w:t>
      </w:r>
      <w:r>
        <w:rPr>
          <w:rFonts w:ascii="Verdana" w:hAnsi="Verdana" w:cs="Arial"/>
        </w:rPr>
        <w:t>5</w:t>
      </w:r>
      <w:r w:rsidRPr="009040B8">
        <w:rPr>
          <w:rFonts w:ascii="Verdana" w:hAnsi="Verdana" w:cs="Arial"/>
        </w:rPr>
        <w:t xml:space="preserve"> ÷ 0,</w:t>
      </w:r>
      <w:r>
        <w:rPr>
          <w:rFonts w:ascii="Verdana" w:hAnsi="Verdana" w:cs="Arial"/>
        </w:rPr>
        <w:t>7</w:t>
      </w:r>
      <w:r w:rsidRPr="009040B8">
        <w:rPr>
          <w:rFonts w:ascii="Verdana" w:hAnsi="Verdana" w:cs="Arial"/>
        </w:rPr>
        <w:t xml:space="preserve"> kg/m</w:t>
      </w:r>
      <w:r w:rsidRPr="009040B8">
        <w:rPr>
          <w:rFonts w:ascii="Verdana" w:hAnsi="Verdana" w:cs="Arial"/>
          <w:vertAlign w:val="superscript"/>
        </w:rPr>
        <w:t>2</w:t>
      </w:r>
      <w:r w:rsidRPr="009040B8">
        <w:rPr>
          <w:rFonts w:ascii="Verdana" w:hAnsi="Verdana" w:cs="Arial"/>
        </w:rPr>
        <w:t xml:space="preserve">, </w:t>
      </w:r>
    </w:p>
    <w:p w:rsidR="0051730D" w:rsidRDefault="0051730D" w:rsidP="002122BD">
      <w:pPr>
        <w:numPr>
          <w:ilvl w:val="0"/>
          <w:numId w:val="42"/>
        </w:numPr>
        <w:ind w:left="426" w:hanging="426"/>
        <w:jc w:val="both"/>
        <w:rPr>
          <w:rFonts w:ascii="Verdana" w:hAnsi="Verdana" w:cs="Arial"/>
        </w:rPr>
      </w:pPr>
      <w:r>
        <w:rPr>
          <w:rFonts w:ascii="Verdana" w:hAnsi="Verdana" w:cs="Arial"/>
        </w:rPr>
        <w:t xml:space="preserve">warstwa podbudowy z mieszanki związanej hydraulicznie  w ilości </w:t>
      </w:r>
      <w:r w:rsidRPr="009040B8">
        <w:rPr>
          <w:rFonts w:ascii="Verdana" w:hAnsi="Verdana" w:cs="Arial"/>
        </w:rPr>
        <w:t>0,</w:t>
      </w:r>
      <w:r>
        <w:rPr>
          <w:rFonts w:ascii="Verdana" w:hAnsi="Verdana" w:cs="Arial"/>
        </w:rPr>
        <w:t>3</w:t>
      </w:r>
      <w:r w:rsidRPr="009040B8">
        <w:rPr>
          <w:rFonts w:ascii="Verdana" w:hAnsi="Verdana" w:cs="Arial"/>
        </w:rPr>
        <w:t xml:space="preserve"> ÷ 0,</w:t>
      </w:r>
      <w:r>
        <w:rPr>
          <w:rFonts w:ascii="Verdana" w:hAnsi="Verdana" w:cs="Arial"/>
        </w:rPr>
        <w:t>7</w:t>
      </w:r>
      <w:r w:rsidRPr="009040B8">
        <w:rPr>
          <w:rFonts w:ascii="Verdana" w:hAnsi="Verdana" w:cs="Arial"/>
        </w:rPr>
        <w:t xml:space="preserve"> kg/m</w:t>
      </w:r>
      <w:r w:rsidRPr="009040B8">
        <w:rPr>
          <w:rFonts w:ascii="Verdana" w:hAnsi="Verdana" w:cs="Arial"/>
          <w:vertAlign w:val="superscript"/>
        </w:rPr>
        <w:t>2</w:t>
      </w:r>
      <w:r w:rsidRPr="009040B8">
        <w:rPr>
          <w:rFonts w:ascii="Verdana" w:hAnsi="Verdana" w:cs="Arial"/>
        </w:rPr>
        <w:t xml:space="preserve">, </w:t>
      </w:r>
    </w:p>
    <w:p w:rsidR="0051730D" w:rsidRPr="009040B8" w:rsidRDefault="0051730D" w:rsidP="0051730D">
      <w:pPr>
        <w:jc w:val="both"/>
        <w:rPr>
          <w:rFonts w:ascii="Verdana" w:hAnsi="Verdana" w:cs="Arial"/>
        </w:rPr>
      </w:pPr>
      <w:r w:rsidRPr="009040B8">
        <w:rPr>
          <w:rFonts w:ascii="Verdana" w:hAnsi="Verdana" w:cs="Arial"/>
        </w:rPr>
        <w:t>przy czym:</w:t>
      </w:r>
    </w:p>
    <w:p w:rsidR="0051730D" w:rsidRPr="009040B8" w:rsidRDefault="0051730D" w:rsidP="002122BD">
      <w:pPr>
        <w:numPr>
          <w:ilvl w:val="0"/>
          <w:numId w:val="34"/>
        </w:numPr>
        <w:overflowPunct w:val="0"/>
        <w:autoSpaceDE w:val="0"/>
        <w:autoSpaceDN w:val="0"/>
        <w:adjustRightInd w:val="0"/>
        <w:jc w:val="both"/>
        <w:textAlignment w:val="baseline"/>
        <w:rPr>
          <w:rFonts w:ascii="Verdana" w:hAnsi="Verdana" w:cs="Arial"/>
        </w:rPr>
      </w:pPr>
      <w:r w:rsidRPr="009040B8">
        <w:rPr>
          <w:rFonts w:ascii="Verdana" w:hAnsi="Verdana" w:cs="Arial"/>
        </w:rPr>
        <w:t>ilość emulsji należy dobrać z uwzględnieniem stanu podłoż</w:t>
      </w:r>
      <w:r>
        <w:rPr>
          <w:rFonts w:ascii="Verdana" w:hAnsi="Verdana" w:cs="Arial"/>
        </w:rPr>
        <w:t>a oraz porowatości mieszanki</w:t>
      </w:r>
      <w:r w:rsidRPr="009040B8">
        <w:rPr>
          <w:rFonts w:ascii="Verdana" w:hAnsi="Verdana" w:cs="Arial"/>
        </w:rPr>
        <w:t xml:space="preserve">; jeśli mieszanka ma większą zawartość wolnych przestrzeni, to należy użyć większą ilość lepiszcza do skropienia, które po ułożeniu warstwy </w:t>
      </w:r>
      <w:r>
        <w:rPr>
          <w:rFonts w:ascii="Verdana" w:hAnsi="Verdana" w:cs="Arial"/>
        </w:rPr>
        <w:t xml:space="preserve">podbudowy </w:t>
      </w:r>
      <w:r w:rsidRPr="009040B8">
        <w:rPr>
          <w:rFonts w:ascii="Verdana" w:hAnsi="Verdana" w:cs="Arial"/>
        </w:rPr>
        <w:t>uszczelni ją,</w:t>
      </w:r>
    </w:p>
    <w:p w:rsidR="0051730D" w:rsidRPr="009040B8" w:rsidRDefault="0051730D" w:rsidP="002122BD">
      <w:pPr>
        <w:numPr>
          <w:ilvl w:val="0"/>
          <w:numId w:val="34"/>
        </w:numPr>
        <w:overflowPunct w:val="0"/>
        <w:autoSpaceDE w:val="0"/>
        <w:autoSpaceDN w:val="0"/>
        <w:adjustRightInd w:val="0"/>
        <w:jc w:val="both"/>
        <w:textAlignment w:val="baseline"/>
        <w:rPr>
          <w:rFonts w:ascii="Verdana" w:hAnsi="Verdana" w:cs="Arial"/>
        </w:rPr>
      </w:pPr>
      <w:r w:rsidRPr="009040B8">
        <w:rPr>
          <w:rFonts w:ascii="Verdana" w:hAnsi="Verdana" w:cs="Arial"/>
        </w:rPr>
        <w:t xml:space="preserve">dobrana ilość lepiszcza musi zapewnić wymaganą </w:t>
      </w:r>
      <w:proofErr w:type="spellStart"/>
      <w:r w:rsidRPr="009040B8">
        <w:rPr>
          <w:rFonts w:ascii="Verdana" w:hAnsi="Verdana" w:cs="Arial"/>
        </w:rPr>
        <w:t>sczepność</w:t>
      </w:r>
      <w:proofErr w:type="spellEnd"/>
      <w:r w:rsidRPr="009040B8">
        <w:rPr>
          <w:rFonts w:ascii="Verdana" w:hAnsi="Verdana" w:cs="Arial"/>
        </w:rPr>
        <w:t xml:space="preserve"> </w:t>
      </w:r>
      <w:proofErr w:type="spellStart"/>
      <w:r w:rsidRPr="009040B8">
        <w:rPr>
          <w:rFonts w:ascii="Verdana" w:hAnsi="Verdana" w:cs="Arial"/>
        </w:rPr>
        <w:t>międzywarstwową</w:t>
      </w:r>
      <w:proofErr w:type="spellEnd"/>
    </w:p>
    <w:p w:rsidR="0051730D" w:rsidRPr="009040B8" w:rsidRDefault="0051730D" w:rsidP="0051730D">
      <w:pPr>
        <w:jc w:val="both"/>
        <w:rPr>
          <w:rFonts w:ascii="Verdana" w:hAnsi="Verdana" w:cs="Arial"/>
        </w:rPr>
      </w:pPr>
      <w:r w:rsidRPr="009040B8">
        <w:rPr>
          <w:rFonts w:ascii="Verdana" w:hAnsi="Verdana" w:cs="Arial"/>
        </w:rPr>
        <w:t xml:space="preserve">Skrapianie podłoża należy wykonywać równomiernie stosując rampy do skrapiania, np. skrapiarki do lepiszczy asfaltowych. Dopuszcza się skrapianie ręczne lancą w miejscach trudno dostępnych (np. ścieki uliczne) oraz przy urządzeniach usytuowanych w nawierzchni </w:t>
      </w:r>
      <w:r w:rsidRPr="009040B8">
        <w:rPr>
          <w:rFonts w:ascii="Verdana" w:hAnsi="Verdana" w:cs="Arial"/>
        </w:rPr>
        <w:lastRenderedPageBreak/>
        <w:t>lub ją ograniczających. W razie potrzeby urządzenia te należy zabezpieczyć przed zabrudzeniem. Skropione podłoże należy wyłączyć z ruchu publicznego przez zmianę organizacji ruchu.</w:t>
      </w:r>
    </w:p>
    <w:p w:rsidR="0051730D" w:rsidRPr="009040B8" w:rsidRDefault="0051730D" w:rsidP="0051730D">
      <w:pPr>
        <w:jc w:val="both"/>
        <w:rPr>
          <w:rFonts w:ascii="Verdana" w:hAnsi="Verdana" w:cs="Arial"/>
        </w:rPr>
      </w:pPr>
      <w:r w:rsidRPr="009040B8">
        <w:rPr>
          <w:rFonts w:ascii="Verdana" w:hAnsi="Verdana" w:cs="Arial"/>
        </w:rPr>
        <w:t xml:space="preserve">W wypadku stosowania emulsji asfaltowej podłoże powinno być skropione </w:t>
      </w:r>
      <w:r>
        <w:rPr>
          <w:rFonts w:ascii="Verdana" w:hAnsi="Verdana" w:cs="Arial"/>
        </w:rPr>
        <w:t>1</w:t>
      </w:r>
      <w:r w:rsidRPr="009040B8">
        <w:rPr>
          <w:rFonts w:ascii="Verdana" w:hAnsi="Verdana" w:cs="Arial"/>
        </w:rPr>
        <w:t xml:space="preserve"> h przed układaniem warstwy asfaltowej w celu odparowania wody.</w:t>
      </w:r>
    </w:p>
    <w:p w:rsidR="0051730D" w:rsidRPr="009040B8" w:rsidRDefault="0051730D" w:rsidP="0051730D">
      <w:pPr>
        <w:jc w:val="both"/>
        <w:rPr>
          <w:rFonts w:ascii="Verdana" w:hAnsi="Verdana" w:cs="Arial"/>
        </w:rPr>
      </w:pPr>
      <w:r w:rsidRPr="009040B8">
        <w:rPr>
          <w:rFonts w:ascii="Verdana" w:hAnsi="Verdana" w:cs="Arial"/>
        </w:rPr>
        <w:t>Czas ten nie dotyczy skrapiania rampą zamontowaną na rozkładarce.</w:t>
      </w:r>
    </w:p>
    <w:p w:rsidR="0051730D" w:rsidRPr="009040B8" w:rsidRDefault="0051730D" w:rsidP="0051730D">
      <w:pPr>
        <w:jc w:val="both"/>
        <w:rPr>
          <w:rFonts w:ascii="Verdana" w:hAnsi="Verdana" w:cs="Arial"/>
        </w:rPr>
      </w:pPr>
      <w:r w:rsidRPr="009040B8">
        <w:rPr>
          <w:rFonts w:ascii="Verdana" w:hAnsi="Verdana" w:cs="Arial"/>
        </w:rPr>
        <w:t>Wykonawca jest zobowiązany prowadzić badania wydatku skropienia i przedstawić je na żądanie Przedstawiciela Zamawiającego/Inspektora Nadzoru.</w:t>
      </w:r>
    </w:p>
    <w:p w:rsidR="0051730D" w:rsidRPr="009040B8" w:rsidRDefault="0051730D" w:rsidP="0051730D">
      <w:pPr>
        <w:jc w:val="both"/>
        <w:rPr>
          <w:rFonts w:ascii="Verdana" w:hAnsi="Verdana" w:cs="Arial"/>
        </w:rPr>
      </w:pPr>
    </w:p>
    <w:p w:rsidR="0051730D" w:rsidRPr="009040B8" w:rsidRDefault="0051730D" w:rsidP="0051730D">
      <w:pPr>
        <w:pStyle w:val="Bullet"/>
        <w:spacing w:after="20"/>
        <w:rPr>
          <w:rFonts w:ascii="Verdana" w:hAnsi="Verdana" w:cs="Arial"/>
          <w:color w:val="auto"/>
          <w:sz w:val="20"/>
        </w:rPr>
      </w:pPr>
      <w:r w:rsidRPr="009040B8">
        <w:rPr>
          <w:rFonts w:ascii="Verdana" w:hAnsi="Verdana" w:cs="Arial"/>
          <w:color w:val="auto"/>
          <w:sz w:val="20"/>
        </w:rPr>
        <w:t xml:space="preserve">5.7. </w:t>
      </w:r>
      <w:r w:rsidRPr="009040B8">
        <w:rPr>
          <w:rFonts w:ascii="Verdana" w:hAnsi="Verdana" w:cs="Arial"/>
          <w:color w:val="auto"/>
          <w:sz w:val="20"/>
        </w:rPr>
        <w:tab/>
        <w:t>Odcinek próbny</w:t>
      </w:r>
    </w:p>
    <w:p w:rsidR="0051730D" w:rsidRPr="009040B8" w:rsidRDefault="0051730D" w:rsidP="0051730D">
      <w:pPr>
        <w:shd w:val="clear" w:color="auto" w:fill="FFFFFF"/>
        <w:tabs>
          <w:tab w:val="left" w:pos="4962"/>
        </w:tabs>
        <w:spacing w:after="20"/>
        <w:jc w:val="both"/>
        <w:rPr>
          <w:rFonts w:ascii="Verdana" w:hAnsi="Verdana" w:cs="Arial"/>
        </w:rPr>
      </w:pPr>
      <w:r w:rsidRPr="009040B8">
        <w:rPr>
          <w:rFonts w:ascii="Verdana" w:hAnsi="Verdana" w:cs="Arial"/>
        </w:rPr>
        <w:t>Na co najmniej 5 dni roboczych przed przystąpieniem do wykonywania warstwy wiążącej, przewiduje się wykonanie odcinka próbnego. O wykonaniu odcinka próbnego decyduje Inspektor Nadzoru na podstawie wyników uzyskanych z próby technologicznej oraz doświadczenia w stosowaniu danej recepty na drogach krajowych województwa warmińsko-mazurskiego.</w:t>
      </w:r>
    </w:p>
    <w:p w:rsidR="0051730D" w:rsidRPr="009040B8" w:rsidRDefault="0051730D" w:rsidP="0051730D">
      <w:pPr>
        <w:shd w:val="clear" w:color="auto" w:fill="FFFFFF"/>
        <w:spacing w:after="20"/>
        <w:jc w:val="both"/>
        <w:rPr>
          <w:rFonts w:ascii="Verdana" w:hAnsi="Verdana" w:cs="Arial"/>
        </w:rPr>
      </w:pPr>
      <w:r w:rsidRPr="009040B8">
        <w:rPr>
          <w:rFonts w:ascii="Verdana" w:hAnsi="Verdana" w:cs="Arial"/>
        </w:rPr>
        <w:t>Odcinek próbny powinien być zlokalizowany w miejscu zatwierdzonym przez Przedstawiciela Zamawiającego/Inspektora Nadzoru. Powierzchnia odcinka próbnego powinna wynosić co najmniej 150 m</w:t>
      </w:r>
      <w:r w:rsidRPr="009040B8">
        <w:rPr>
          <w:rFonts w:ascii="Verdana" w:hAnsi="Verdana" w:cs="Arial"/>
          <w:vertAlign w:val="superscript"/>
        </w:rPr>
        <w:t>2</w:t>
      </w:r>
      <w:r w:rsidRPr="009040B8">
        <w:rPr>
          <w:rFonts w:ascii="Verdana" w:hAnsi="Verdana" w:cs="Arial"/>
        </w:rPr>
        <w:t>, a długość co najmniej 50 m.</w:t>
      </w:r>
    </w:p>
    <w:p w:rsidR="0051730D" w:rsidRPr="009040B8" w:rsidRDefault="0051730D" w:rsidP="0051730D">
      <w:pPr>
        <w:shd w:val="clear" w:color="auto" w:fill="FFFFFF"/>
        <w:spacing w:after="20"/>
        <w:jc w:val="both"/>
        <w:rPr>
          <w:rFonts w:ascii="Verdana" w:hAnsi="Verdana" w:cs="Arial"/>
          <w:u w:val="single"/>
        </w:rPr>
      </w:pPr>
      <w:r w:rsidRPr="009040B8">
        <w:rPr>
          <w:rFonts w:ascii="Verdana" w:hAnsi="Verdana" w:cs="Arial"/>
          <w:u w:val="single"/>
        </w:rPr>
        <w:t xml:space="preserve">Wartość wykonania odcinka próbnego należy wkalkulować w cenę jednostki obmiarowej. </w:t>
      </w:r>
    </w:p>
    <w:p w:rsidR="0051730D" w:rsidRPr="009040B8" w:rsidRDefault="0051730D" w:rsidP="0051730D">
      <w:pPr>
        <w:shd w:val="clear" w:color="auto" w:fill="FFFFFF"/>
        <w:spacing w:after="20"/>
        <w:jc w:val="both"/>
        <w:rPr>
          <w:rFonts w:ascii="Verdana" w:hAnsi="Verdana" w:cs="Arial"/>
        </w:rPr>
      </w:pPr>
      <w:r w:rsidRPr="009040B8">
        <w:rPr>
          <w:rFonts w:ascii="Verdana" w:hAnsi="Verdana" w:cs="Arial"/>
        </w:rPr>
        <w:t>Każdorazowo odcinek próbny należy wykonać:</w:t>
      </w:r>
    </w:p>
    <w:p w:rsidR="0051730D" w:rsidRPr="009040B8" w:rsidRDefault="0051730D"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przy zmianie recepty mieszanki mineralno-asfaltowej,</w:t>
      </w:r>
    </w:p>
    <w:p w:rsidR="0051730D" w:rsidRPr="009040B8" w:rsidRDefault="0051730D"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przy zmianie wytwórni,</w:t>
      </w:r>
    </w:p>
    <w:p w:rsidR="0051730D" w:rsidRPr="009040B8" w:rsidRDefault="0051730D"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przy zmianie dostawcy kruszyw lub asfaltu,</w:t>
      </w:r>
    </w:p>
    <w:p w:rsidR="0051730D" w:rsidRPr="009040B8" w:rsidRDefault="0051730D" w:rsidP="002122BD">
      <w:pPr>
        <w:widowControl w:val="0"/>
        <w:numPr>
          <w:ilvl w:val="0"/>
          <w:numId w:val="38"/>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w wypadku zaistnienia wątpliwości co do jakości produkowanej mieszanki.</w:t>
      </w:r>
    </w:p>
    <w:p w:rsidR="0051730D" w:rsidRPr="009040B8" w:rsidRDefault="0051730D" w:rsidP="0051730D">
      <w:pPr>
        <w:widowControl w:val="0"/>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Celem wykonania odcinka próbnego jest:</w:t>
      </w:r>
    </w:p>
    <w:p w:rsidR="0051730D" w:rsidRPr="009040B8" w:rsidRDefault="0051730D"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stwierdzenie czy użyty sprzęt jest właściwy,</w:t>
      </w:r>
    </w:p>
    <w:p w:rsidR="0051730D" w:rsidRPr="009040B8" w:rsidRDefault="0051730D" w:rsidP="002122BD">
      <w:pPr>
        <w:widowControl w:val="0"/>
        <w:numPr>
          <w:ilvl w:val="0"/>
          <w:numId w:val="39"/>
        </w:numPr>
        <w:shd w:val="clear" w:color="auto" w:fill="FFFFFF"/>
        <w:tabs>
          <w:tab w:val="left" w:pos="413"/>
        </w:tabs>
        <w:autoSpaceDE w:val="0"/>
        <w:autoSpaceDN w:val="0"/>
        <w:adjustRightInd w:val="0"/>
        <w:spacing w:after="20"/>
        <w:ind w:left="426" w:hanging="426"/>
        <w:jc w:val="both"/>
        <w:rPr>
          <w:rFonts w:ascii="Verdana" w:hAnsi="Verdana" w:cs="Arial"/>
        </w:rPr>
      </w:pPr>
      <w:r w:rsidRPr="009040B8">
        <w:rPr>
          <w:rFonts w:ascii="Verdana" w:hAnsi="Verdana" w:cs="Arial"/>
        </w:rPr>
        <w:t>określenie grubości warstwy mieszanki mineralno-asfaltowej przed zagęszczeniem, koniecznej do uzyskania wymaganej grubości warstwy,</w:t>
      </w:r>
    </w:p>
    <w:p w:rsidR="0051730D" w:rsidRPr="009040B8" w:rsidRDefault="0051730D" w:rsidP="0051730D">
      <w:pPr>
        <w:widowControl w:val="0"/>
        <w:shd w:val="clear" w:color="auto" w:fill="FFFFFF"/>
        <w:tabs>
          <w:tab w:val="left" w:pos="426"/>
        </w:tabs>
        <w:autoSpaceDE w:val="0"/>
        <w:autoSpaceDN w:val="0"/>
        <w:adjustRightInd w:val="0"/>
        <w:ind w:left="426" w:hanging="426"/>
        <w:jc w:val="both"/>
        <w:rPr>
          <w:rFonts w:ascii="Verdana" w:hAnsi="Verdana" w:cs="Arial"/>
        </w:rPr>
      </w:pPr>
      <w:r>
        <w:rPr>
          <w:rFonts w:ascii="Verdana" w:hAnsi="Verdana" w:cs="Arial"/>
        </w:rPr>
        <w:t xml:space="preserve">-   </w:t>
      </w:r>
      <w:r w:rsidRPr="009040B8">
        <w:rPr>
          <w:rFonts w:ascii="Verdana" w:hAnsi="Verdana" w:cs="Arial"/>
        </w:rPr>
        <w:t>określenie potrzebnej ilości przejść walców dla uzyskania prawidłowego zagęszczenia warstwy,</w:t>
      </w:r>
    </w:p>
    <w:p w:rsidR="0051730D" w:rsidRDefault="0051730D" w:rsidP="0051730D">
      <w:pPr>
        <w:widowControl w:val="0"/>
        <w:shd w:val="clear" w:color="auto" w:fill="FFFFFF"/>
        <w:tabs>
          <w:tab w:val="left" w:pos="426"/>
        </w:tabs>
        <w:autoSpaceDE w:val="0"/>
        <w:autoSpaceDN w:val="0"/>
        <w:adjustRightInd w:val="0"/>
        <w:ind w:left="426" w:hanging="426"/>
        <w:jc w:val="both"/>
        <w:rPr>
          <w:rFonts w:ascii="Verdana" w:hAnsi="Verdana" w:cs="Arial"/>
        </w:rPr>
      </w:pPr>
      <w:r w:rsidRPr="009040B8">
        <w:rPr>
          <w:rFonts w:ascii="Verdana" w:hAnsi="Verdana" w:cs="Arial"/>
        </w:rPr>
        <w:t>-</w:t>
      </w:r>
      <w:r w:rsidRPr="009040B8">
        <w:rPr>
          <w:rFonts w:ascii="Verdana" w:hAnsi="Verdana" w:cs="Arial"/>
        </w:rPr>
        <w:tab/>
        <w:t>sprawdzenie rzeczywistych parametrów wbudowanej warstwy uzyskanych w badaniu typu (np. koleinowanie).</w:t>
      </w:r>
    </w:p>
    <w:p w:rsidR="0051730D" w:rsidRPr="002876EA" w:rsidRDefault="0051730D" w:rsidP="0051730D">
      <w:pPr>
        <w:shd w:val="clear" w:color="auto" w:fill="FFFFFF"/>
        <w:jc w:val="both"/>
        <w:rPr>
          <w:rFonts w:ascii="Verdana" w:hAnsi="Verdana" w:cs="Arial"/>
        </w:rPr>
      </w:pPr>
      <w:r w:rsidRPr="002876EA">
        <w:rPr>
          <w:rFonts w:ascii="Verdana" w:hAnsi="Verdana" w:cs="Arial"/>
        </w:rPr>
        <w:t xml:space="preserve">Do wykonania odcinka próbnego Wykonawca użyje takich materiałów oraz sprzętu, jakie będą stosowane do wykonania warstwy nawierzchni. </w:t>
      </w:r>
    </w:p>
    <w:p w:rsidR="0051730D" w:rsidRPr="002876EA" w:rsidRDefault="0051730D" w:rsidP="0051730D">
      <w:pPr>
        <w:jc w:val="both"/>
        <w:rPr>
          <w:rFonts w:ascii="Verdana" w:hAnsi="Verdana" w:cs="Arial"/>
        </w:rPr>
      </w:pPr>
      <w:r w:rsidRPr="002876EA">
        <w:rPr>
          <w:rFonts w:ascii="Verdana" w:hAnsi="Verdana" w:cs="Arial"/>
        </w:rPr>
        <w:t>Wykonawca może przystąpić do wykonywania warstwy nawierzchni po zaakceptowaniu przez Przedstawiciela Zamawiającego/Inspektora Nadzoru wyników badań i prób z odcinka próbnego warstwy.</w:t>
      </w:r>
      <w:r>
        <w:rPr>
          <w:rFonts w:ascii="Verdana" w:hAnsi="Verdana" w:cs="Arial"/>
        </w:rPr>
        <w:t xml:space="preserve"> Tolerancje zawartości składu MMA względem składu zaprojektowanego powinny być zgodne z wymaganiami podanymi w pkt. 6.4 niniejszej SST. </w:t>
      </w:r>
    </w:p>
    <w:p w:rsidR="0051730D" w:rsidRDefault="0051730D" w:rsidP="0051730D">
      <w:pPr>
        <w:pStyle w:val="Tekstpodstawowy"/>
        <w:spacing w:after="0"/>
        <w:jc w:val="both"/>
        <w:rPr>
          <w:rFonts w:ascii="Verdana" w:hAnsi="Verdana" w:cs="Arial"/>
        </w:rPr>
      </w:pPr>
      <w:r>
        <w:rPr>
          <w:rFonts w:ascii="Verdana" w:hAnsi="Verdana" w:cs="Arial"/>
        </w:rPr>
        <w:t>Z każdego odcinka próbnego</w:t>
      </w:r>
      <w:r w:rsidRPr="002876EA">
        <w:rPr>
          <w:rFonts w:ascii="Verdana" w:hAnsi="Verdana" w:cs="Arial"/>
        </w:rPr>
        <w:t xml:space="preserve"> pobiera się próbki, na bazie których przeprowadza się badania składu oraz właściwości mieszanki </w:t>
      </w:r>
      <w:r>
        <w:rPr>
          <w:rFonts w:ascii="Verdana" w:hAnsi="Verdana" w:cs="Arial"/>
        </w:rPr>
        <w:t>M</w:t>
      </w:r>
      <w:r w:rsidRPr="002876EA">
        <w:rPr>
          <w:rFonts w:ascii="Verdana" w:hAnsi="Verdana" w:cs="Arial"/>
        </w:rPr>
        <w:t>MA przewidzianych w niniejszej SST oraz</w:t>
      </w:r>
      <w:r>
        <w:rPr>
          <w:rFonts w:ascii="Verdana" w:hAnsi="Verdana" w:cs="Arial"/>
        </w:rPr>
        <w:t xml:space="preserve"> z wykonanych odwiertów badanie wskaźnika zagęszczenia i wolnej przestrzeni w warstwie,</w:t>
      </w:r>
      <w:r w:rsidRPr="002876EA">
        <w:rPr>
          <w:rFonts w:ascii="Verdana" w:hAnsi="Verdana" w:cs="Arial"/>
        </w:rPr>
        <w:t xml:space="preserve"> badanie </w:t>
      </w:r>
      <w:proofErr w:type="spellStart"/>
      <w:r w:rsidRPr="002876EA">
        <w:rPr>
          <w:rFonts w:ascii="Verdana" w:hAnsi="Verdana" w:cs="Arial"/>
        </w:rPr>
        <w:t>sczepności</w:t>
      </w:r>
      <w:proofErr w:type="spellEnd"/>
      <w:r w:rsidRPr="002876EA">
        <w:rPr>
          <w:rFonts w:ascii="Verdana" w:hAnsi="Verdana" w:cs="Arial"/>
        </w:rPr>
        <w:t xml:space="preserve"> </w:t>
      </w:r>
      <w:proofErr w:type="spellStart"/>
      <w:r w:rsidRPr="002876EA">
        <w:rPr>
          <w:rFonts w:ascii="Verdana" w:hAnsi="Verdana" w:cs="Arial"/>
        </w:rPr>
        <w:t>międzywarstwowej</w:t>
      </w:r>
      <w:proofErr w:type="spellEnd"/>
      <w:r>
        <w:rPr>
          <w:rFonts w:ascii="Verdana" w:hAnsi="Verdana" w:cs="Arial"/>
        </w:rPr>
        <w:t xml:space="preserve"> i odporności na deformacje trwałe.</w:t>
      </w:r>
      <w:r w:rsidRPr="002876EA">
        <w:rPr>
          <w:rFonts w:ascii="Verdana" w:hAnsi="Verdana" w:cs="Arial"/>
        </w:rPr>
        <w:t xml:space="preserve"> </w:t>
      </w:r>
    </w:p>
    <w:p w:rsidR="0051730D" w:rsidRDefault="0051730D" w:rsidP="0051730D">
      <w:pPr>
        <w:jc w:val="both"/>
        <w:rPr>
          <w:rFonts w:ascii="Verdana" w:hAnsi="Verdana" w:cs="Arial"/>
        </w:rPr>
      </w:pPr>
      <w:r w:rsidRPr="006D2270">
        <w:rPr>
          <w:rFonts w:ascii="Verdana" w:hAnsi="Verdana" w:cs="Arial"/>
        </w:rPr>
        <w:t>Ewentualne wykonanie odcinka próbnego Wykonawca jest zobowiązany uwzględnić w cenie kontraktowej.</w:t>
      </w:r>
    </w:p>
    <w:p w:rsidR="0051730D" w:rsidRPr="002876EA" w:rsidRDefault="0051730D" w:rsidP="0051730D">
      <w:pPr>
        <w:pStyle w:val="Tekstpodstawowy"/>
        <w:spacing w:after="0"/>
        <w:jc w:val="both"/>
        <w:rPr>
          <w:rFonts w:ascii="Verdana" w:hAnsi="Verdana" w:cs="Arial"/>
        </w:rPr>
      </w:pPr>
      <w:r w:rsidRPr="002876EA">
        <w:rPr>
          <w:rFonts w:ascii="Verdana" w:hAnsi="Verdana" w:cs="Arial"/>
        </w:rPr>
        <w:t xml:space="preserve">W wypadku wątpliwości, co do prawidłowości przeprowadzonych badań, Przedstawiciel Zamawiającego/Inspektor Nadzoru może zażądać badań uzupełniających lub zlecić je do innego laboratorium. </w:t>
      </w:r>
    </w:p>
    <w:p w:rsidR="0051730D" w:rsidRPr="002876EA" w:rsidRDefault="0051730D" w:rsidP="0051730D">
      <w:pPr>
        <w:pStyle w:val="Tekstpodstawowy"/>
        <w:spacing w:after="0"/>
        <w:jc w:val="both"/>
        <w:rPr>
          <w:rFonts w:ascii="Verdana" w:hAnsi="Verdana" w:cs="Arial"/>
        </w:rPr>
      </w:pPr>
      <w:r w:rsidRPr="002876EA">
        <w:rPr>
          <w:rFonts w:ascii="Verdana" w:hAnsi="Verdana" w:cs="Arial"/>
        </w:rPr>
        <w:t>Zwiększenie ilości badań nie może rościć żądań Wykonawcy o dodatkową zapłatę.</w:t>
      </w:r>
    </w:p>
    <w:p w:rsidR="0051730D" w:rsidRPr="009040B8" w:rsidRDefault="0051730D" w:rsidP="0051730D">
      <w:pPr>
        <w:jc w:val="both"/>
        <w:rPr>
          <w:rFonts w:ascii="Verdana" w:hAnsi="Verdana" w:cs="Arial"/>
        </w:rPr>
      </w:pPr>
    </w:p>
    <w:p w:rsidR="0051730D" w:rsidRPr="009040B8" w:rsidRDefault="0051730D" w:rsidP="0051730D">
      <w:pPr>
        <w:keepNext/>
        <w:jc w:val="both"/>
        <w:outlineLvl w:val="1"/>
        <w:rPr>
          <w:rFonts w:ascii="Verdana" w:hAnsi="Verdana" w:cs="Arial"/>
          <w:b/>
          <w:bCs/>
          <w:iCs/>
        </w:rPr>
      </w:pPr>
      <w:bookmarkStart w:id="282" w:name="_Toc316558790"/>
      <w:r w:rsidRPr="009040B8">
        <w:rPr>
          <w:rFonts w:ascii="Verdana" w:hAnsi="Verdana" w:cs="Arial"/>
          <w:b/>
          <w:bCs/>
          <w:iCs/>
        </w:rPr>
        <w:t>5.8. Wbudowanie mieszanki mineralno-asfaltowej</w:t>
      </w:r>
      <w:bookmarkEnd w:id="282"/>
    </w:p>
    <w:p w:rsidR="0051730D" w:rsidRPr="009040B8" w:rsidRDefault="0051730D" w:rsidP="0051730D">
      <w:pPr>
        <w:tabs>
          <w:tab w:val="left" w:pos="567"/>
        </w:tabs>
        <w:jc w:val="both"/>
        <w:rPr>
          <w:rFonts w:ascii="Verdana" w:hAnsi="Verdana" w:cs="Arial"/>
        </w:rPr>
      </w:pPr>
      <w:r w:rsidRPr="009040B8">
        <w:rPr>
          <w:rFonts w:ascii="Verdana" w:hAnsi="Verdana" w:cs="Arial"/>
        </w:rPr>
        <w:t>Mieszankę mineralno-asfaltową można wbudowywać na podłożu przygotowanym zgodnie z zapisami w punktach 5.4 i 5.6.</w:t>
      </w:r>
    </w:p>
    <w:p w:rsidR="0051730D" w:rsidRPr="009040B8" w:rsidRDefault="0051730D" w:rsidP="0051730D">
      <w:pPr>
        <w:tabs>
          <w:tab w:val="left" w:pos="567"/>
        </w:tabs>
        <w:jc w:val="both"/>
        <w:rPr>
          <w:rFonts w:ascii="Verdana" w:hAnsi="Verdana" w:cs="Arial"/>
        </w:rPr>
      </w:pPr>
      <w:r w:rsidRPr="009040B8">
        <w:rPr>
          <w:rFonts w:ascii="Verdana" w:hAnsi="Verdana" w:cs="Arial"/>
        </w:rPr>
        <w:t>Transport mieszanki mineralno-asfaltowej asfaltowej powinien być zgodny z zaleceniami podanymi w punkcie 4.2.</w:t>
      </w:r>
    </w:p>
    <w:p w:rsidR="0051730D" w:rsidRPr="009040B8" w:rsidRDefault="0051730D" w:rsidP="0051730D">
      <w:pPr>
        <w:tabs>
          <w:tab w:val="left" w:pos="567"/>
        </w:tabs>
        <w:jc w:val="both"/>
        <w:rPr>
          <w:rFonts w:ascii="Verdana" w:hAnsi="Verdana" w:cs="Arial"/>
        </w:rPr>
      </w:pPr>
      <w:r w:rsidRPr="009040B8">
        <w:rPr>
          <w:rFonts w:ascii="Verdana" w:hAnsi="Verdana" w:cs="Arial"/>
        </w:rPr>
        <w:t>Mieszankę mineralno-asfaltową asfaltową należy wbudowywać w odpowiednich warunkach atmosferycznych.</w:t>
      </w:r>
    </w:p>
    <w:p w:rsidR="0051730D" w:rsidRPr="009040B8" w:rsidRDefault="0051730D" w:rsidP="0051730D">
      <w:pPr>
        <w:tabs>
          <w:tab w:val="left" w:pos="567"/>
        </w:tabs>
        <w:jc w:val="both"/>
        <w:rPr>
          <w:rFonts w:ascii="Verdana" w:hAnsi="Verdana" w:cs="Arial"/>
        </w:rPr>
      </w:pPr>
      <w:r w:rsidRPr="009040B8">
        <w:rPr>
          <w:rFonts w:ascii="Verdana" w:hAnsi="Verdana" w:cs="Arial"/>
        </w:rPr>
        <w:lastRenderedPageBreak/>
        <w:t>Temperatura otoczenia w ciągu doby nie powinna być niższa od temperatury podanej w tab</w:t>
      </w:r>
      <w:r>
        <w:rPr>
          <w:rFonts w:ascii="Verdana" w:hAnsi="Verdana" w:cs="Arial"/>
        </w:rPr>
        <w:t>eli</w:t>
      </w:r>
      <w:r w:rsidRPr="009040B8">
        <w:rPr>
          <w:rFonts w:ascii="Verdana" w:hAnsi="Verdana" w:cs="Arial"/>
        </w:rPr>
        <w:t xml:space="preserve"> 1</w:t>
      </w:r>
      <w:r>
        <w:rPr>
          <w:rFonts w:ascii="Verdana" w:hAnsi="Verdana" w:cs="Arial"/>
        </w:rPr>
        <w:t>3</w:t>
      </w:r>
      <w:r w:rsidRPr="009040B8">
        <w:rPr>
          <w:rFonts w:ascii="Verdana" w:hAnsi="Verdana" w:cs="Arial"/>
        </w:rPr>
        <w:t>. Temperatura otoczenia może być niższa w wypadku stosowania ogrzewania podłoża. Nie dopuszcza się układania mieszanki mineralno-asfaltowej asfaltowej podczas silnego wiatru (V &gt; 16 m/s).</w:t>
      </w:r>
    </w:p>
    <w:p w:rsidR="0051730D" w:rsidRPr="009040B8" w:rsidRDefault="0051730D" w:rsidP="0051730D">
      <w:pPr>
        <w:tabs>
          <w:tab w:val="left" w:pos="567"/>
        </w:tabs>
        <w:jc w:val="both"/>
        <w:rPr>
          <w:rFonts w:ascii="Verdana" w:hAnsi="Verdana" w:cs="Arial"/>
        </w:rPr>
      </w:pPr>
      <w:r w:rsidRPr="009040B8">
        <w:rPr>
          <w:rFonts w:ascii="Verdana" w:hAnsi="Verdana" w:cs="Arial"/>
        </w:rPr>
        <w:t>W wypadku stosowania mieszanek mineralno-asfaltowych z dodatkiem ob</w:t>
      </w:r>
      <w:r>
        <w:rPr>
          <w:rFonts w:ascii="Verdana" w:hAnsi="Verdana" w:cs="Arial"/>
        </w:rPr>
        <w:t xml:space="preserve">niżającym temperaturę mieszania </w:t>
      </w:r>
      <w:r w:rsidRPr="009040B8">
        <w:rPr>
          <w:rFonts w:ascii="Verdana" w:hAnsi="Verdana" w:cs="Arial"/>
        </w:rPr>
        <w:t>i wbudowania należy indywidualnie określić wymagane warunki otoczenia.</w:t>
      </w:r>
    </w:p>
    <w:p w:rsidR="0051730D" w:rsidRPr="009040B8" w:rsidRDefault="0051730D" w:rsidP="0051730D">
      <w:pPr>
        <w:tabs>
          <w:tab w:val="left" w:pos="993"/>
        </w:tabs>
        <w:spacing w:before="120"/>
        <w:ind w:left="993" w:hanging="993"/>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3</w:t>
      </w:r>
      <w:r w:rsidRPr="009040B8">
        <w:rPr>
          <w:rFonts w:ascii="Verdana" w:hAnsi="Verdana" w:cs="Arial"/>
        </w:rPr>
        <w:t>.</w:t>
      </w:r>
      <w:r>
        <w:rPr>
          <w:rFonts w:ascii="Verdana" w:hAnsi="Verdana" w:cs="Arial"/>
        </w:rPr>
        <w:t xml:space="preserve"> </w:t>
      </w:r>
      <w:r w:rsidRPr="009040B8">
        <w:rPr>
          <w:rFonts w:ascii="Verdana" w:hAnsi="Verdana" w:cs="Arial"/>
        </w:rPr>
        <w:t>Minimalna temperatura otoczenia podczas wykonywania warstwy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551"/>
        <w:gridCol w:w="2410"/>
      </w:tblGrid>
      <w:tr w:rsidR="0051730D" w:rsidRPr="009040B8" w:rsidTr="0051730D">
        <w:tc>
          <w:tcPr>
            <w:tcW w:w="3227" w:type="dxa"/>
            <w:vMerge w:val="restart"/>
            <w:vAlign w:val="center"/>
          </w:tcPr>
          <w:p w:rsidR="0051730D" w:rsidRPr="009040B8" w:rsidRDefault="0051730D" w:rsidP="0051730D">
            <w:pPr>
              <w:jc w:val="center"/>
              <w:rPr>
                <w:rFonts w:ascii="Verdana" w:hAnsi="Verdana" w:cs="Arial"/>
              </w:rPr>
            </w:pPr>
            <w:r w:rsidRPr="009040B8">
              <w:rPr>
                <w:rFonts w:ascii="Verdana" w:hAnsi="Verdana" w:cs="Arial"/>
              </w:rPr>
              <w:t>Rodzaj robót</w:t>
            </w:r>
          </w:p>
        </w:tc>
        <w:tc>
          <w:tcPr>
            <w:tcW w:w="4961" w:type="dxa"/>
            <w:gridSpan w:val="2"/>
          </w:tcPr>
          <w:p w:rsidR="0051730D" w:rsidRPr="009040B8" w:rsidRDefault="0051730D" w:rsidP="0051730D">
            <w:pPr>
              <w:jc w:val="center"/>
              <w:rPr>
                <w:rFonts w:ascii="Verdana" w:hAnsi="Verdana" w:cs="Arial"/>
              </w:rPr>
            </w:pPr>
            <w:r w:rsidRPr="009040B8">
              <w:rPr>
                <w:rFonts w:ascii="Verdana" w:hAnsi="Verdana" w:cs="Arial"/>
              </w:rPr>
              <w:t>Minimalna temperatura otoczenia  [°C]</w:t>
            </w:r>
          </w:p>
        </w:tc>
      </w:tr>
      <w:tr w:rsidR="0051730D" w:rsidRPr="009040B8" w:rsidTr="0051730D">
        <w:tc>
          <w:tcPr>
            <w:tcW w:w="3227" w:type="dxa"/>
            <w:vMerge/>
          </w:tcPr>
          <w:p w:rsidR="0051730D" w:rsidRPr="009040B8" w:rsidRDefault="0051730D" w:rsidP="0051730D">
            <w:pPr>
              <w:jc w:val="center"/>
              <w:rPr>
                <w:rFonts w:ascii="Verdana" w:hAnsi="Verdana" w:cs="Arial"/>
              </w:rPr>
            </w:pPr>
          </w:p>
        </w:tc>
        <w:tc>
          <w:tcPr>
            <w:tcW w:w="2551" w:type="dxa"/>
          </w:tcPr>
          <w:p w:rsidR="0051730D" w:rsidRPr="009040B8" w:rsidRDefault="0051730D" w:rsidP="0051730D">
            <w:pPr>
              <w:jc w:val="center"/>
              <w:rPr>
                <w:rFonts w:ascii="Verdana" w:hAnsi="Verdana" w:cs="Arial"/>
              </w:rPr>
            </w:pPr>
            <w:r w:rsidRPr="009040B8">
              <w:rPr>
                <w:rFonts w:ascii="Verdana" w:hAnsi="Verdana" w:cs="Arial"/>
              </w:rPr>
              <w:t>przed przystąpieniem do robót</w:t>
            </w:r>
          </w:p>
        </w:tc>
        <w:tc>
          <w:tcPr>
            <w:tcW w:w="2410" w:type="dxa"/>
          </w:tcPr>
          <w:p w:rsidR="0051730D" w:rsidRPr="009040B8" w:rsidRDefault="0051730D" w:rsidP="0051730D">
            <w:pPr>
              <w:jc w:val="center"/>
              <w:rPr>
                <w:rFonts w:ascii="Verdana" w:hAnsi="Verdana" w:cs="Arial"/>
              </w:rPr>
            </w:pPr>
            <w:r w:rsidRPr="009040B8">
              <w:rPr>
                <w:rFonts w:ascii="Verdana" w:hAnsi="Verdana" w:cs="Arial"/>
              </w:rPr>
              <w:t>w czasie robót</w:t>
            </w:r>
          </w:p>
        </w:tc>
      </w:tr>
      <w:tr w:rsidR="0051730D" w:rsidRPr="009040B8" w:rsidTr="0051730D">
        <w:tc>
          <w:tcPr>
            <w:tcW w:w="3227" w:type="dxa"/>
            <w:tcBorders>
              <w:top w:val="single" w:sz="4" w:space="0" w:color="auto"/>
              <w:left w:val="single" w:sz="4" w:space="0" w:color="auto"/>
              <w:bottom w:val="single" w:sz="4" w:space="0" w:color="auto"/>
              <w:right w:val="single" w:sz="4" w:space="0" w:color="auto"/>
            </w:tcBorders>
          </w:tcPr>
          <w:p w:rsidR="0051730D" w:rsidRPr="009040B8" w:rsidRDefault="0051730D" w:rsidP="0051730D">
            <w:pPr>
              <w:jc w:val="center"/>
              <w:rPr>
                <w:rFonts w:ascii="Verdana" w:hAnsi="Verdana" w:cs="Arial"/>
              </w:rPr>
            </w:pPr>
            <w:r w:rsidRPr="009040B8">
              <w:rPr>
                <w:rFonts w:ascii="Verdana" w:hAnsi="Verdana" w:cs="Arial"/>
              </w:rPr>
              <w:t xml:space="preserve">Warstwa </w:t>
            </w:r>
            <w:r>
              <w:rPr>
                <w:rFonts w:ascii="Verdana" w:hAnsi="Verdana" w:cs="Arial"/>
              </w:rPr>
              <w:t>podbudowy</w:t>
            </w:r>
          </w:p>
        </w:tc>
        <w:tc>
          <w:tcPr>
            <w:tcW w:w="2551" w:type="dxa"/>
          </w:tcPr>
          <w:p w:rsidR="0051730D" w:rsidRPr="009040B8" w:rsidRDefault="0051730D" w:rsidP="0051730D">
            <w:pPr>
              <w:jc w:val="center"/>
              <w:rPr>
                <w:rFonts w:ascii="Verdana" w:hAnsi="Verdana" w:cs="Arial"/>
              </w:rPr>
            </w:pPr>
            <w:r w:rsidRPr="009040B8">
              <w:rPr>
                <w:rFonts w:ascii="Verdana" w:hAnsi="Verdana" w:cs="Arial"/>
              </w:rPr>
              <w:t>+5</w:t>
            </w:r>
          </w:p>
        </w:tc>
        <w:tc>
          <w:tcPr>
            <w:tcW w:w="2410" w:type="dxa"/>
          </w:tcPr>
          <w:p w:rsidR="0051730D" w:rsidRPr="009040B8" w:rsidRDefault="0051730D" w:rsidP="0051730D">
            <w:pPr>
              <w:jc w:val="center"/>
              <w:rPr>
                <w:rFonts w:ascii="Verdana" w:hAnsi="Verdana" w:cs="Arial"/>
              </w:rPr>
            </w:pPr>
            <w:r w:rsidRPr="009040B8">
              <w:rPr>
                <w:rFonts w:ascii="Verdana" w:hAnsi="Verdana" w:cs="Arial"/>
              </w:rPr>
              <w:t>&gt;+5</w:t>
            </w:r>
          </w:p>
        </w:tc>
      </w:tr>
    </w:tbl>
    <w:p w:rsidR="0051730D" w:rsidRPr="009040B8" w:rsidRDefault="0051730D" w:rsidP="0051730D">
      <w:pPr>
        <w:spacing w:before="120" w:line="360" w:lineRule="auto"/>
        <w:jc w:val="both"/>
        <w:rPr>
          <w:rFonts w:ascii="Verdana" w:hAnsi="Verdana" w:cs="Arial"/>
        </w:rPr>
      </w:pPr>
      <w:r w:rsidRPr="009040B8">
        <w:rPr>
          <w:rFonts w:ascii="Verdana" w:hAnsi="Verdana" w:cs="Arial"/>
        </w:rPr>
        <w:t>Właściwości wykonanej warstwy powinny spełniać warunki podane w tablicy 1</w:t>
      </w:r>
      <w:r>
        <w:rPr>
          <w:rFonts w:ascii="Verdana" w:hAnsi="Verdana" w:cs="Arial"/>
        </w:rPr>
        <w:t>4</w:t>
      </w:r>
      <w:r w:rsidRPr="009040B8">
        <w:rPr>
          <w:rFonts w:ascii="Verdana" w:hAnsi="Verdana" w:cs="Arial"/>
        </w:rPr>
        <w:t>.</w:t>
      </w:r>
    </w:p>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4</w:t>
      </w:r>
      <w:r w:rsidRPr="009040B8">
        <w:rPr>
          <w:rFonts w:ascii="Verdana" w:hAnsi="Verdana" w:cs="Arial"/>
        </w:rPr>
        <w:t xml:space="preserve">.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773"/>
        <w:gridCol w:w="2059"/>
        <w:gridCol w:w="2268"/>
      </w:tblGrid>
      <w:tr w:rsidR="0051730D" w:rsidRPr="009040B8" w:rsidTr="0051730D">
        <w:tc>
          <w:tcPr>
            <w:tcW w:w="2088" w:type="dxa"/>
            <w:vAlign w:val="center"/>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Typ i wymiar mieszanki</w:t>
            </w:r>
          </w:p>
        </w:tc>
        <w:tc>
          <w:tcPr>
            <w:tcW w:w="1773" w:type="dxa"/>
          </w:tcPr>
          <w:p w:rsidR="0051730D" w:rsidRPr="009040B8" w:rsidRDefault="0051730D" w:rsidP="0051730D">
            <w:pPr>
              <w:jc w:val="center"/>
              <w:rPr>
                <w:rFonts w:ascii="Verdana" w:hAnsi="Verdana" w:cs="Arial"/>
              </w:rPr>
            </w:pPr>
            <w:r w:rsidRPr="009040B8">
              <w:rPr>
                <w:rFonts w:ascii="Verdana" w:hAnsi="Verdana" w:cs="Arial"/>
              </w:rPr>
              <w:t>Projektowana grubość warstwy technologicznej [mm]</w:t>
            </w:r>
          </w:p>
        </w:tc>
        <w:tc>
          <w:tcPr>
            <w:tcW w:w="2059" w:type="dxa"/>
          </w:tcPr>
          <w:p w:rsidR="0051730D" w:rsidRPr="009040B8" w:rsidRDefault="0051730D" w:rsidP="0051730D">
            <w:pPr>
              <w:spacing w:before="120"/>
              <w:jc w:val="center"/>
              <w:rPr>
                <w:rFonts w:ascii="Verdana" w:hAnsi="Verdana" w:cs="Arial"/>
              </w:rPr>
            </w:pPr>
            <w:r w:rsidRPr="009040B8">
              <w:rPr>
                <w:rFonts w:ascii="Verdana" w:hAnsi="Verdana" w:cs="Arial"/>
              </w:rPr>
              <w:t>Wskaźnik zagęszczenia</w:t>
            </w:r>
          </w:p>
          <w:p w:rsidR="0051730D" w:rsidRPr="009040B8" w:rsidRDefault="0051730D" w:rsidP="0051730D">
            <w:pPr>
              <w:jc w:val="center"/>
              <w:rPr>
                <w:rFonts w:ascii="Verdana" w:hAnsi="Verdana" w:cs="Arial"/>
              </w:rPr>
            </w:pPr>
            <w:r w:rsidRPr="009040B8">
              <w:rPr>
                <w:rFonts w:ascii="Verdana" w:hAnsi="Verdana" w:cs="Arial"/>
              </w:rPr>
              <w:t>[%]</w:t>
            </w:r>
          </w:p>
        </w:tc>
        <w:tc>
          <w:tcPr>
            <w:tcW w:w="2268" w:type="dxa"/>
          </w:tcPr>
          <w:p w:rsidR="0051730D" w:rsidRPr="009040B8" w:rsidRDefault="0051730D" w:rsidP="0051730D">
            <w:pPr>
              <w:jc w:val="center"/>
              <w:rPr>
                <w:rFonts w:ascii="Verdana" w:hAnsi="Verdana" w:cs="Arial"/>
              </w:rPr>
            </w:pPr>
            <w:r w:rsidRPr="009040B8">
              <w:rPr>
                <w:rFonts w:ascii="Verdana" w:hAnsi="Verdana" w:cs="Arial"/>
              </w:rPr>
              <w:t>Zawartość wolnych przestrzeni                     w warstwie</w:t>
            </w:r>
          </w:p>
          <w:p w:rsidR="0051730D" w:rsidRPr="009040B8" w:rsidRDefault="0051730D" w:rsidP="0051730D">
            <w:pPr>
              <w:jc w:val="center"/>
              <w:rPr>
                <w:rFonts w:ascii="Verdana" w:hAnsi="Verdana" w:cs="Arial"/>
              </w:rPr>
            </w:pPr>
            <w:r w:rsidRPr="009040B8">
              <w:rPr>
                <w:rFonts w:ascii="Verdana" w:hAnsi="Verdana" w:cs="Arial"/>
              </w:rPr>
              <w:t>[%(v/v)]</w:t>
            </w:r>
          </w:p>
        </w:tc>
      </w:tr>
      <w:tr w:rsidR="0051730D" w:rsidRPr="009040B8" w:rsidTr="0051730D">
        <w:tc>
          <w:tcPr>
            <w:tcW w:w="2088" w:type="dxa"/>
            <w:vAlign w:val="center"/>
          </w:tcPr>
          <w:p w:rsidR="0051730D" w:rsidRPr="009040B8" w:rsidRDefault="0051730D" w:rsidP="0051730D">
            <w:pPr>
              <w:spacing w:before="60" w:after="60"/>
              <w:jc w:val="center"/>
              <w:rPr>
                <w:rFonts w:ascii="Verdana" w:hAnsi="Verdana" w:cs="Arial"/>
              </w:rPr>
            </w:pPr>
            <w:r w:rsidRPr="009040B8">
              <w:rPr>
                <w:rFonts w:ascii="Verdana" w:hAnsi="Verdana" w:cs="Arial"/>
              </w:rPr>
              <w:t xml:space="preserve">AC </w:t>
            </w:r>
            <w:r>
              <w:rPr>
                <w:rFonts w:ascii="Verdana" w:hAnsi="Verdana" w:cs="Arial"/>
              </w:rPr>
              <w:t>22 P</w:t>
            </w:r>
            <w:r w:rsidRPr="009040B8">
              <w:rPr>
                <w:rFonts w:ascii="Verdana" w:hAnsi="Verdana" w:cs="Arial"/>
              </w:rPr>
              <w:t>,  KR 3</w:t>
            </w:r>
            <w:r>
              <w:rPr>
                <w:rFonts w:ascii="Verdana" w:hAnsi="Verdana" w:cs="Arial"/>
              </w:rPr>
              <w:t>÷</w:t>
            </w:r>
            <w:r w:rsidRPr="009040B8">
              <w:rPr>
                <w:rFonts w:ascii="Verdana" w:hAnsi="Verdana" w:cs="Arial"/>
              </w:rPr>
              <w:t>4</w:t>
            </w:r>
          </w:p>
        </w:tc>
        <w:tc>
          <w:tcPr>
            <w:tcW w:w="1773" w:type="dxa"/>
            <w:vAlign w:val="center"/>
          </w:tcPr>
          <w:p w:rsidR="0051730D" w:rsidRPr="009040B8" w:rsidRDefault="0051730D" w:rsidP="0051730D">
            <w:pPr>
              <w:spacing w:before="60" w:after="60"/>
              <w:jc w:val="center"/>
              <w:rPr>
                <w:rFonts w:ascii="Verdana" w:hAnsi="Verdana" w:cs="Arial"/>
              </w:rPr>
            </w:pPr>
            <w:r>
              <w:rPr>
                <w:rFonts w:ascii="Verdana" w:hAnsi="Verdana" w:cs="Arial"/>
              </w:rPr>
              <w:t>7</w:t>
            </w:r>
            <w:r w:rsidRPr="009040B8">
              <w:rPr>
                <w:rFonts w:ascii="Verdana" w:hAnsi="Verdana" w:cs="Arial"/>
              </w:rPr>
              <w:t xml:space="preserve">0 ÷ </w:t>
            </w:r>
            <w:r>
              <w:rPr>
                <w:rFonts w:ascii="Verdana" w:hAnsi="Verdana" w:cs="Arial"/>
              </w:rPr>
              <w:t>10</w:t>
            </w:r>
            <w:r w:rsidRPr="009040B8">
              <w:rPr>
                <w:rFonts w:ascii="Verdana" w:hAnsi="Verdana" w:cs="Arial"/>
              </w:rPr>
              <w:t>0</w:t>
            </w:r>
          </w:p>
        </w:tc>
        <w:tc>
          <w:tcPr>
            <w:tcW w:w="2059" w:type="dxa"/>
            <w:vAlign w:val="center"/>
          </w:tcPr>
          <w:p w:rsidR="0051730D" w:rsidRPr="009040B8" w:rsidRDefault="0051730D" w:rsidP="0051730D">
            <w:pPr>
              <w:spacing w:before="60" w:after="60"/>
              <w:jc w:val="center"/>
              <w:rPr>
                <w:rFonts w:ascii="Verdana" w:hAnsi="Verdana" w:cs="Arial"/>
              </w:rPr>
            </w:pPr>
            <w:r w:rsidRPr="009040B8">
              <w:rPr>
                <w:rFonts w:ascii="Verdana" w:hAnsi="Verdana" w:cs="Arial"/>
              </w:rPr>
              <w:t>≥ 98,0</w:t>
            </w:r>
          </w:p>
        </w:tc>
        <w:tc>
          <w:tcPr>
            <w:tcW w:w="2268" w:type="dxa"/>
            <w:vAlign w:val="center"/>
          </w:tcPr>
          <w:p w:rsidR="0051730D" w:rsidRPr="009040B8" w:rsidRDefault="0051730D" w:rsidP="0051730D">
            <w:pPr>
              <w:spacing w:before="60" w:after="60"/>
              <w:jc w:val="center"/>
              <w:rPr>
                <w:rFonts w:ascii="Verdana" w:hAnsi="Verdana" w:cs="Arial"/>
              </w:rPr>
            </w:pPr>
            <w:r>
              <w:rPr>
                <w:rFonts w:ascii="Verdana" w:hAnsi="Verdana" w:cs="Arial"/>
              </w:rPr>
              <w:t>3</w:t>
            </w:r>
            <w:r w:rsidRPr="009040B8">
              <w:rPr>
                <w:rFonts w:ascii="Verdana" w:hAnsi="Verdana" w:cs="Arial"/>
              </w:rPr>
              <w:t xml:space="preserve">,0 ÷ </w:t>
            </w:r>
            <w:r>
              <w:rPr>
                <w:rFonts w:ascii="Verdana" w:hAnsi="Verdana" w:cs="Arial"/>
              </w:rPr>
              <w:t>8</w:t>
            </w:r>
            <w:r w:rsidRPr="009040B8">
              <w:rPr>
                <w:rFonts w:ascii="Verdana" w:hAnsi="Verdana" w:cs="Arial"/>
              </w:rPr>
              <w:t>,0</w:t>
            </w:r>
          </w:p>
        </w:tc>
      </w:tr>
    </w:tbl>
    <w:p w:rsidR="0051730D" w:rsidRPr="009040B8" w:rsidRDefault="0051730D" w:rsidP="0051730D">
      <w:pPr>
        <w:spacing w:before="120"/>
        <w:jc w:val="both"/>
        <w:rPr>
          <w:rFonts w:ascii="Verdana" w:hAnsi="Verdana" w:cs="Arial"/>
        </w:rPr>
      </w:pPr>
      <w:r w:rsidRPr="009040B8">
        <w:rPr>
          <w:rFonts w:ascii="Verdana" w:hAnsi="Verdana" w:cs="Aria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51730D" w:rsidRPr="009040B8" w:rsidRDefault="0051730D" w:rsidP="0051730D">
      <w:pPr>
        <w:jc w:val="both"/>
        <w:rPr>
          <w:rFonts w:ascii="Verdana" w:hAnsi="Verdana" w:cs="Arial"/>
        </w:rPr>
      </w:pPr>
      <w:r w:rsidRPr="009040B8">
        <w:rPr>
          <w:rFonts w:ascii="Verdana" w:hAnsi="Verdana" w:cs="Arial"/>
        </w:rPr>
        <w:t>Grubość wykonywanej warstwy powinna być sprawdzana co 25 m, w co najmniej trzech miejscach (w osi i przy brzegach warstwy).</w:t>
      </w:r>
    </w:p>
    <w:p w:rsidR="0051730D" w:rsidRPr="009040B8" w:rsidRDefault="0051730D" w:rsidP="0051730D">
      <w:pPr>
        <w:jc w:val="both"/>
        <w:rPr>
          <w:rFonts w:ascii="Verdana" w:hAnsi="Verdana" w:cs="Arial"/>
        </w:rPr>
      </w:pPr>
      <w:r w:rsidRPr="009040B8">
        <w:rPr>
          <w:rFonts w:ascii="Verdana" w:hAnsi="Verdana" w:cs="Arial"/>
        </w:rPr>
        <w:t xml:space="preserve">Warstwy wałowane powinny być równomiernie zagęszczone walcami drogowymi. Do warstw z betonu asfaltowego należy stosować walce drogowe stalowe gładkie z możliwością wibracji, oscylacji lub walce ogumione. </w:t>
      </w:r>
    </w:p>
    <w:p w:rsidR="0051730D" w:rsidRPr="009040B8" w:rsidRDefault="0051730D" w:rsidP="0051730D">
      <w:pPr>
        <w:jc w:val="both"/>
        <w:rPr>
          <w:rFonts w:ascii="Verdana" w:hAnsi="Verdana" w:cs="Arial"/>
        </w:rPr>
      </w:pPr>
    </w:p>
    <w:p w:rsidR="0051730D" w:rsidRPr="009040B8" w:rsidRDefault="0051730D" w:rsidP="0051730D">
      <w:pPr>
        <w:keepNext/>
        <w:jc w:val="both"/>
        <w:outlineLvl w:val="1"/>
        <w:rPr>
          <w:rFonts w:ascii="Verdana" w:hAnsi="Verdana" w:cs="Arial"/>
          <w:b/>
          <w:bCs/>
          <w:iCs/>
        </w:rPr>
      </w:pPr>
      <w:bookmarkStart w:id="283" w:name="_Toc316558791"/>
      <w:r w:rsidRPr="009040B8">
        <w:rPr>
          <w:rFonts w:ascii="Verdana" w:hAnsi="Verdana" w:cs="Arial"/>
          <w:b/>
          <w:bCs/>
          <w:iCs/>
        </w:rPr>
        <w:t>5.8. Połączenia technologiczne</w:t>
      </w:r>
      <w:bookmarkEnd w:id="283"/>
    </w:p>
    <w:p w:rsidR="0051730D" w:rsidRPr="009040B8" w:rsidRDefault="0051730D" w:rsidP="0051730D">
      <w:pPr>
        <w:jc w:val="both"/>
        <w:rPr>
          <w:rFonts w:ascii="Verdana" w:hAnsi="Verdana" w:cs="Arial"/>
          <w:color w:val="000000"/>
        </w:rPr>
      </w:pPr>
      <w:r w:rsidRPr="009040B8">
        <w:rPr>
          <w:rFonts w:ascii="Verdana" w:hAnsi="Verdana" w:cs="Arial"/>
          <w:color w:val="000000"/>
        </w:rPr>
        <w:t xml:space="preserve">Połączenia technologiczne należy wykonać  wg  pkt. 2.5 niniejszej SST .  </w:t>
      </w:r>
    </w:p>
    <w:p w:rsidR="0051730D" w:rsidRPr="00655BC3" w:rsidRDefault="0051730D" w:rsidP="0051730D">
      <w:pPr>
        <w:jc w:val="both"/>
        <w:rPr>
          <w:rFonts w:ascii="Verdana" w:hAnsi="Verdana" w:cs="Arial"/>
        </w:rPr>
      </w:pPr>
    </w:p>
    <w:p w:rsidR="0051730D" w:rsidRPr="009040B8" w:rsidRDefault="0051730D" w:rsidP="0051730D">
      <w:pPr>
        <w:keepNext/>
        <w:widowControl w:val="0"/>
        <w:jc w:val="both"/>
        <w:outlineLvl w:val="0"/>
        <w:rPr>
          <w:rFonts w:ascii="Verdana" w:hAnsi="Verdana" w:cs="Arial"/>
          <w:b/>
          <w:snapToGrid w:val="0"/>
        </w:rPr>
      </w:pPr>
      <w:bookmarkStart w:id="284" w:name="_Toc421940501"/>
      <w:bookmarkStart w:id="285" w:name="_Toc24955913"/>
      <w:bookmarkStart w:id="286" w:name="_Toc25128887"/>
      <w:bookmarkStart w:id="287" w:name="_Toc25373385"/>
      <w:bookmarkStart w:id="288" w:name="_Toc25379401"/>
      <w:bookmarkStart w:id="289" w:name="_Toc174333138"/>
      <w:bookmarkStart w:id="290" w:name="_Toc179183771"/>
      <w:bookmarkStart w:id="291" w:name="_Toc198436140"/>
      <w:bookmarkStart w:id="292" w:name="_Toc217274568"/>
      <w:bookmarkStart w:id="293" w:name="_Toc237920704"/>
      <w:bookmarkStart w:id="294" w:name="_Toc316558792"/>
      <w:r w:rsidRPr="009040B8">
        <w:rPr>
          <w:rFonts w:ascii="Verdana" w:hAnsi="Verdana" w:cs="Arial"/>
          <w:b/>
          <w:snapToGrid w:val="0"/>
        </w:rPr>
        <w:t xml:space="preserve">6. </w:t>
      </w:r>
      <w:bookmarkEnd w:id="284"/>
      <w:bookmarkEnd w:id="285"/>
      <w:bookmarkEnd w:id="286"/>
      <w:bookmarkEnd w:id="287"/>
      <w:bookmarkEnd w:id="288"/>
      <w:bookmarkEnd w:id="289"/>
      <w:bookmarkEnd w:id="290"/>
      <w:bookmarkEnd w:id="291"/>
      <w:bookmarkEnd w:id="292"/>
      <w:bookmarkEnd w:id="293"/>
      <w:r w:rsidRPr="009040B8">
        <w:rPr>
          <w:rFonts w:ascii="Verdana" w:hAnsi="Verdana" w:cs="Arial"/>
          <w:b/>
          <w:snapToGrid w:val="0"/>
        </w:rPr>
        <w:t>K</w:t>
      </w:r>
      <w:bookmarkEnd w:id="294"/>
      <w:r w:rsidRPr="009040B8">
        <w:rPr>
          <w:rFonts w:ascii="Verdana" w:hAnsi="Verdana" w:cs="Arial"/>
          <w:b/>
          <w:snapToGrid w:val="0"/>
        </w:rPr>
        <w:t>ontrola jakości robót</w:t>
      </w:r>
    </w:p>
    <w:p w:rsidR="0051730D" w:rsidRPr="009040B8" w:rsidRDefault="0051730D" w:rsidP="0051730D">
      <w:pPr>
        <w:keepNext/>
        <w:numPr>
          <w:ilvl w:val="12"/>
          <w:numId w:val="0"/>
        </w:numPr>
        <w:jc w:val="both"/>
        <w:outlineLvl w:val="1"/>
        <w:rPr>
          <w:rFonts w:ascii="Verdana" w:hAnsi="Verdana" w:cs="Arial"/>
          <w:b/>
          <w:bCs/>
          <w:iCs/>
        </w:rPr>
      </w:pPr>
      <w:bookmarkStart w:id="295" w:name="_Toc316558793"/>
      <w:r w:rsidRPr="009040B8">
        <w:rPr>
          <w:rFonts w:ascii="Verdana" w:hAnsi="Verdana" w:cs="Arial"/>
          <w:b/>
          <w:bCs/>
          <w:iCs/>
        </w:rPr>
        <w:t>6.1. Ogólne zasady kontroli jakości robót</w:t>
      </w:r>
      <w:bookmarkEnd w:id="295"/>
    </w:p>
    <w:p w:rsidR="0051730D" w:rsidRPr="009040B8" w:rsidRDefault="0051730D" w:rsidP="0051730D">
      <w:pPr>
        <w:numPr>
          <w:ilvl w:val="12"/>
          <w:numId w:val="0"/>
        </w:numPr>
        <w:jc w:val="both"/>
        <w:rPr>
          <w:rFonts w:ascii="Verdana" w:hAnsi="Verdana" w:cs="Arial"/>
        </w:rPr>
      </w:pPr>
      <w:r w:rsidRPr="009040B8">
        <w:rPr>
          <w:rFonts w:ascii="Verdana" w:hAnsi="Verdana" w:cs="Arial"/>
        </w:rPr>
        <w:t>Ogólne zasady kontroli jakości robót podano w SST   D-M-00.00.00 „Wymagania ogólne” [1] pkt 6.</w:t>
      </w:r>
    </w:p>
    <w:p w:rsidR="0051730D" w:rsidRPr="009040B8" w:rsidRDefault="0051730D" w:rsidP="0051730D">
      <w:pPr>
        <w:numPr>
          <w:ilvl w:val="12"/>
          <w:numId w:val="0"/>
        </w:numPr>
        <w:jc w:val="both"/>
        <w:rPr>
          <w:rFonts w:ascii="Verdana" w:hAnsi="Verdana" w:cs="Arial"/>
        </w:rPr>
      </w:pPr>
    </w:p>
    <w:p w:rsidR="0051730D" w:rsidRPr="009040B8" w:rsidRDefault="0051730D" w:rsidP="0051730D">
      <w:pPr>
        <w:keepNext/>
        <w:numPr>
          <w:ilvl w:val="12"/>
          <w:numId w:val="0"/>
        </w:numPr>
        <w:jc w:val="both"/>
        <w:outlineLvl w:val="1"/>
        <w:rPr>
          <w:rFonts w:ascii="Verdana" w:hAnsi="Verdana" w:cs="Arial"/>
          <w:b/>
          <w:bCs/>
          <w:iCs/>
        </w:rPr>
      </w:pPr>
      <w:bookmarkStart w:id="296" w:name="_Toc316558794"/>
      <w:r w:rsidRPr="009040B8">
        <w:rPr>
          <w:rFonts w:ascii="Verdana" w:hAnsi="Verdana" w:cs="Arial"/>
          <w:b/>
          <w:bCs/>
          <w:iCs/>
        </w:rPr>
        <w:t>6.2. Badania przed przystąpieniem do robót</w:t>
      </w:r>
      <w:bookmarkEnd w:id="296"/>
    </w:p>
    <w:p w:rsidR="0051730D" w:rsidRPr="006D2270" w:rsidRDefault="0051730D" w:rsidP="0051730D">
      <w:pPr>
        <w:numPr>
          <w:ilvl w:val="12"/>
          <w:numId w:val="0"/>
        </w:numPr>
        <w:rPr>
          <w:rFonts w:ascii="Verdana" w:hAnsi="Verdana" w:cs="Arial"/>
        </w:rPr>
      </w:pPr>
      <w:r w:rsidRPr="006D2270">
        <w:rPr>
          <w:rFonts w:ascii="Verdana" w:hAnsi="Verdana" w:cs="Arial"/>
        </w:rPr>
        <w:t>Przed przystąpieniem do robót Wykonawca powinien:</w:t>
      </w:r>
    </w:p>
    <w:p w:rsidR="0051730D" w:rsidRPr="006D2270" w:rsidRDefault="0051730D" w:rsidP="0051730D">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uzyskać wymagane dokumenty, dopuszczające wyroby budowlane do obrotu i powszechnego stosowania (stwierdzenie o oznakowaniu materiału znakiem CE lub znakiem budowlanym B, certyfikat zgodności, deklarację zgodności, aprobatę techniczną, ew. badania materiałów wykonane przez dostawców itp.),</w:t>
      </w:r>
    </w:p>
    <w:p w:rsidR="0051730D" w:rsidRPr="006D2270" w:rsidRDefault="0051730D" w:rsidP="0051730D">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przeprowadzić badania typu mieszanki MMA na zgodność niniejszą SST i przedstawić do akceptacji dla Przedstawiciela Zamawiającego/Inspektora Nadzoru</w:t>
      </w:r>
      <w:r>
        <w:rPr>
          <w:rFonts w:ascii="Verdana" w:hAnsi="Verdana" w:cs="Arial"/>
        </w:rPr>
        <w:t>,</w:t>
      </w:r>
    </w:p>
    <w:p w:rsidR="0051730D" w:rsidRDefault="0051730D" w:rsidP="0051730D">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wykonać własne badania </w:t>
      </w:r>
      <w:r>
        <w:rPr>
          <w:rFonts w:ascii="Verdana" w:hAnsi="Verdana" w:cs="Arial"/>
        </w:rPr>
        <w:t xml:space="preserve">wszystkich </w:t>
      </w:r>
      <w:r w:rsidRPr="006D2270">
        <w:rPr>
          <w:rFonts w:ascii="Verdana" w:hAnsi="Verdana" w:cs="Arial"/>
        </w:rPr>
        <w:t xml:space="preserve">właściwości materiałów przeznaczonych do wykonania robót, </w:t>
      </w:r>
    </w:p>
    <w:p w:rsidR="0051730D" w:rsidRPr="006D2270" w:rsidRDefault="0051730D" w:rsidP="0051730D">
      <w:pPr>
        <w:numPr>
          <w:ilvl w:val="0"/>
          <w:numId w:val="1"/>
        </w:numPr>
        <w:overflowPunct w:val="0"/>
        <w:autoSpaceDE w:val="0"/>
        <w:autoSpaceDN w:val="0"/>
        <w:adjustRightInd w:val="0"/>
        <w:jc w:val="both"/>
        <w:textAlignment w:val="baseline"/>
        <w:rPr>
          <w:rFonts w:ascii="Verdana" w:hAnsi="Verdana" w:cs="Arial"/>
        </w:rPr>
      </w:pPr>
      <w:r>
        <w:rPr>
          <w:rFonts w:ascii="Verdana" w:hAnsi="Verdana" w:cs="Arial"/>
        </w:rPr>
        <w:t>Producent MMA powinien prowadzić bieżącą kontrolę wszystkich materiałów wsadowych użytych do produkcji mieszanki mineralno-asfaltowej.</w:t>
      </w:r>
    </w:p>
    <w:p w:rsidR="0051730D" w:rsidRDefault="0051730D" w:rsidP="0051730D">
      <w:pPr>
        <w:numPr>
          <w:ilvl w:val="12"/>
          <w:numId w:val="0"/>
        </w:numPr>
        <w:jc w:val="both"/>
        <w:rPr>
          <w:rFonts w:ascii="Verdana" w:hAnsi="Verdana" w:cs="Arial"/>
        </w:rPr>
      </w:pPr>
      <w:r>
        <w:rPr>
          <w:rFonts w:ascii="Verdana" w:hAnsi="Verdana" w:cs="Arial"/>
        </w:rPr>
        <w:t xml:space="preserve">Badania wszystkich materiałów wsadowych, wykonane przez Producenta MMA, niezależnie od Producenta danego wyrobu, nie mogą być starsze niż 6 miesięcy w chwili złożenia. Badania materiałów wsadowych w ramach badań własnych Producenta MMA należy powtarzać jeden raz na rok. </w:t>
      </w:r>
    </w:p>
    <w:p w:rsidR="0051730D" w:rsidRPr="009040B8" w:rsidRDefault="0051730D" w:rsidP="0051730D">
      <w:pPr>
        <w:numPr>
          <w:ilvl w:val="12"/>
          <w:numId w:val="0"/>
        </w:numPr>
        <w:jc w:val="both"/>
        <w:rPr>
          <w:rFonts w:ascii="Verdana" w:hAnsi="Verdana" w:cs="Arial"/>
        </w:rPr>
      </w:pPr>
      <w:r w:rsidRPr="009040B8">
        <w:rPr>
          <w:rFonts w:ascii="Verdana" w:hAnsi="Verdana" w:cs="Arial"/>
        </w:rPr>
        <w:lastRenderedPageBreak/>
        <w:t>Wszystkie dokumenty oraz wyniki badań Wykonawca przedstawia Przedstawicielowi Zamawiającego/ Inspektorowi Nadzoru do akceptacji.</w:t>
      </w:r>
    </w:p>
    <w:p w:rsidR="0051730D" w:rsidRPr="009040B8" w:rsidRDefault="0051730D" w:rsidP="0051730D">
      <w:pPr>
        <w:numPr>
          <w:ilvl w:val="12"/>
          <w:numId w:val="0"/>
        </w:numPr>
        <w:jc w:val="both"/>
        <w:rPr>
          <w:rFonts w:ascii="Verdana" w:hAnsi="Verdana" w:cs="Arial"/>
        </w:rPr>
      </w:pPr>
    </w:p>
    <w:p w:rsidR="0051730D" w:rsidRPr="009040B8" w:rsidRDefault="0051730D" w:rsidP="0051730D">
      <w:pPr>
        <w:keepNext/>
        <w:numPr>
          <w:ilvl w:val="12"/>
          <w:numId w:val="0"/>
        </w:numPr>
        <w:outlineLvl w:val="1"/>
        <w:rPr>
          <w:rFonts w:ascii="Verdana" w:hAnsi="Verdana" w:cs="Arial"/>
          <w:b/>
          <w:bCs/>
          <w:iCs/>
        </w:rPr>
      </w:pPr>
      <w:bookmarkStart w:id="297" w:name="_Toc316558752"/>
      <w:r w:rsidRPr="009040B8">
        <w:rPr>
          <w:rFonts w:ascii="Verdana" w:hAnsi="Verdana" w:cs="Arial"/>
          <w:b/>
          <w:bCs/>
          <w:iCs/>
        </w:rPr>
        <w:t>6.3. Badania w czasie robót</w:t>
      </w:r>
      <w:bookmarkEnd w:id="297"/>
    </w:p>
    <w:p w:rsidR="0051730D" w:rsidRPr="009040B8" w:rsidRDefault="0051730D" w:rsidP="0051730D">
      <w:pPr>
        <w:rPr>
          <w:rFonts w:ascii="Verdana" w:hAnsi="Verdana" w:cs="Arial"/>
        </w:rPr>
      </w:pPr>
      <w:r w:rsidRPr="009040B8">
        <w:rPr>
          <w:rFonts w:ascii="Verdana" w:hAnsi="Verdana" w:cs="Arial"/>
          <w:b/>
        </w:rPr>
        <w:t>6.3.1. Uwagi ogólne</w:t>
      </w:r>
    </w:p>
    <w:p w:rsidR="0051730D" w:rsidRPr="009040B8" w:rsidRDefault="0051730D" w:rsidP="0051730D">
      <w:pPr>
        <w:rPr>
          <w:rFonts w:ascii="Verdana" w:hAnsi="Verdana" w:cs="Arial"/>
        </w:rPr>
      </w:pPr>
      <w:r w:rsidRPr="009040B8">
        <w:rPr>
          <w:rFonts w:ascii="Verdana" w:hAnsi="Verdana" w:cs="Arial"/>
        </w:rPr>
        <w:t>Badania dzielą się na:</w:t>
      </w:r>
    </w:p>
    <w:p w:rsidR="0051730D" w:rsidRPr="009040B8" w:rsidRDefault="0051730D" w:rsidP="002122BD">
      <w:pPr>
        <w:numPr>
          <w:ilvl w:val="0"/>
          <w:numId w:val="35"/>
        </w:numPr>
        <w:overflowPunct w:val="0"/>
        <w:autoSpaceDE w:val="0"/>
        <w:autoSpaceDN w:val="0"/>
        <w:adjustRightInd w:val="0"/>
        <w:jc w:val="both"/>
        <w:textAlignment w:val="baseline"/>
        <w:rPr>
          <w:rFonts w:ascii="Verdana" w:hAnsi="Verdana" w:cs="Arial"/>
        </w:rPr>
      </w:pPr>
      <w:r w:rsidRPr="009040B8">
        <w:rPr>
          <w:rFonts w:ascii="Verdana" w:hAnsi="Verdana" w:cs="Arial"/>
        </w:rPr>
        <w:t>badania wykonawcy (w ramach własnego nadzoru),</w:t>
      </w:r>
    </w:p>
    <w:p w:rsidR="0051730D" w:rsidRPr="009040B8" w:rsidRDefault="0051730D" w:rsidP="002122BD">
      <w:pPr>
        <w:numPr>
          <w:ilvl w:val="0"/>
          <w:numId w:val="35"/>
        </w:numPr>
        <w:overflowPunct w:val="0"/>
        <w:autoSpaceDE w:val="0"/>
        <w:autoSpaceDN w:val="0"/>
        <w:adjustRightInd w:val="0"/>
        <w:jc w:val="both"/>
        <w:textAlignment w:val="baseline"/>
        <w:rPr>
          <w:rFonts w:ascii="Verdana" w:hAnsi="Verdana" w:cs="Arial"/>
        </w:rPr>
      </w:pPr>
      <w:r w:rsidRPr="009040B8">
        <w:rPr>
          <w:rFonts w:ascii="Verdana" w:hAnsi="Verdana" w:cs="Arial"/>
        </w:rPr>
        <w:t>badania kontrolne (w ramach nadzoru Zleceniodawcy – Przedstawiciela Zamawiającego/Inspektora Nadzoru).</w:t>
      </w:r>
    </w:p>
    <w:p w:rsidR="0051730D" w:rsidRPr="009040B8" w:rsidRDefault="0051730D" w:rsidP="0051730D">
      <w:pPr>
        <w:overflowPunct w:val="0"/>
        <w:autoSpaceDE w:val="0"/>
        <w:autoSpaceDN w:val="0"/>
        <w:adjustRightInd w:val="0"/>
        <w:jc w:val="both"/>
        <w:textAlignment w:val="baseline"/>
        <w:rPr>
          <w:rFonts w:ascii="Verdana" w:hAnsi="Verdana" w:cs="Arial"/>
        </w:rPr>
      </w:pPr>
    </w:p>
    <w:p w:rsidR="0051730D" w:rsidRPr="009040B8" w:rsidRDefault="0051730D" w:rsidP="0051730D">
      <w:pPr>
        <w:rPr>
          <w:rFonts w:ascii="Verdana" w:hAnsi="Verdana" w:cs="Arial"/>
        </w:rPr>
      </w:pPr>
      <w:r w:rsidRPr="009040B8">
        <w:rPr>
          <w:rFonts w:ascii="Verdana" w:hAnsi="Verdana" w:cs="Arial"/>
          <w:b/>
        </w:rPr>
        <w:t>6.3.2. Badania Wykonawcy</w:t>
      </w:r>
    </w:p>
    <w:p w:rsidR="0051730D" w:rsidRPr="009040B8" w:rsidRDefault="0051730D" w:rsidP="0051730D">
      <w:pPr>
        <w:jc w:val="both"/>
        <w:rPr>
          <w:rFonts w:ascii="Verdana" w:hAnsi="Verdana" w:cs="Arial"/>
        </w:rPr>
      </w:pPr>
      <w:r w:rsidRPr="009040B8">
        <w:rPr>
          <w:rFonts w:ascii="Verdana" w:hAnsi="Verdana" w:cs="Arial"/>
        </w:rPr>
        <w:t>Badania Wykonawcy są wykonywane przez Wykonawcę lub jego zleceniobiorców celem sprawdzenia, czy jakość materiałów budowlanych (mieszanek mineralno-asfaltowych i ich składników, lepiszczy, materiałów do uszczelnień itp.) oraz gotowej warstwy (wbudowane warstwy asfaltowe, połączenia itp.) spełniają wymagania określone w SST.</w:t>
      </w:r>
    </w:p>
    <w:p w:rsidR="0051730D" w:rsidRDefault="0051730D" w:rsidP="0051730D">
      <w:pPr>
        <w:jc w:val="both"/>
        <w:rPr>
          <w:rFonts w:ascii="Verdana" w:hAnsi="Verdana" w:cs="Arial"/>
        </w:rPr>
      </w:pPr>
      <w:r>
        <w:rPr>
          <w:rFonts w:ascii="Verdana" w:hAnsi="Verdana" w:cs="Arial"/>
        </w:rPr>
        <w:t xml:space="preserve">Badania wykonywane przez Wykonawcę w ramach kontroli jakości w rozumieniu niniejszych SST należy przeprowadzać na próbkach pobranych podczas wbudowywania mieszanki na budowie z częstotliwością zgodną z SST. </w:t>
      </w:r>
    </w:p>
    <w:p w:rsidR="0051730D" w:rsidRDefault="0051730D" w:rsidP="0051730D">
      <w:pPr>
        <w:jc w:val="both"/>
        <w:rPr>
          <w:rFonts w:ascii="Verdana" w:hAnsi="Verdana" w:cs="Arial"/>
        </w:rPr>
      </w:pPr>
      <w:r>
        <w:rPr>
          <w:rFonts w:ascii="Verdana" w:hAnsi="Verdana" w:cs="Arial"/>
        </w:rPr>
        <w:t xml:space="preserve">Tolerancje zawartości składników MMA, dla próbek pobranych z miejsca wbudowania oraz pobranych na WMA, względem składu zaprojektowanego powinny być zgodne </w:t>
      </w:r>
      <w:r>
        <w:rPr>
          <w:rFonts w:ascii="Verdana" w:hAnsi="Verdana" w:cs="Arial"/>
        </w:rPr>
        <w:br/>
        <w:t>z wymaganiami podanymi w niniejszej SST.</w:t>
      </w:r>
    </w:p>
    <w:p w:rsidR="0051730D" w:rsidRDefault="0051730D" w:rsidP="0051730D">
      <w:pPr>
        <w:jc w:val="both"/>
        <w:rPr>
          <w:rFonts w:ascii="Verdana" w:hAnsi="Verdana" w:cs="Arial"/>
        </w:rPr>
      </w:pPr>
      <w:r w:rsidRPr="009040B8">
        <w:rPr>
          <w:rFonts w:ascii="Verdana" w:hAnsi="Verdana" w:cs="Arial"/>
        </w:rPr>
        <w:t>Wykonawca powinien wykonywać te badania podczas realizacji robót, z niezbędną starannością i w wymaganym zakresie. Wyniki należy zapisywać w protokołach. W razie stwierdzenia uchybień w stosunku do wymagań SST, ich przyczyny należy niezwłocznie usunąć.</w:t>
      </w:r>
    </w:p>
    <w:p w:rsidR="0051730D" w:rsidRPr="009040B8" w:rsidRDefault="0051730D" w:rsidP="0051730D">
      <w:pPr>
        <w:jc w:val="both"/>
        <w:rPr>
          <w:rFonts w:ascii="Verdana" w:hAnsi="Verdana" w:cs="Arial"/>
        </w:rPr>
      </w:pPr>
      <w:r w:rsidRPr="009040B8">
        <w:rPr>
          <w:rFonts w:ascii="Verdana" w:hAnsi="Verdana" w:cs="Arial"/>
        </w:rPr>
        <w:t>Wykonawca jest zobowiązany prowadzić Zakładową Kontrolę Produkcji zgodnie z normą PN-EN 13108-21 [63.1].</w:t>
      </w:r>
      <w:r w:rsidRPr="00836366">
        <w:rPr>
          <w:rFonts w:ascii="Verdana" w:hAnsi="Verdana" w:cs="Arial"/>
        </w:rPr>
        <w:t xml:space="preserve"> </w:t>
      </w:r>
    </w:p>
    <w:p w:rsidR="0051730D" w:rsidRPr="009040B8" w:rsidRDefault="0051730D" w:rsidP="0051730D">
      <w:pPr>
        <w:jc w:val="both"/>
        <w:rPr>
          <w:rFonts w:ascii="Verdana" w:hAnsi="Verdana" w:cs="Arial"/>
        </w:rPr>
      </w:pPr>
      <w:r w:rsidRPr="006D2270">
        <w:rPr>
          <w:rFonts w:ascii="Verdana" w:hAnsi="Verdana" w:cs="Arial"/>
        </w:rPr>
        <w:t>Wyniki badań Wykonawcy należy przekazywać Przedstawiciel</w:t>
      </w:r>
      <w:r>
        <w:rPr>
          <w:rFonts w:ascii="Verdana" w:hAnsi="Verdana" w:cs="Arial"/>
        </w:rPr>
        <w:t xml:space="preserve">owi </w:t>
      </w:r>
      <w:r w:rsidRPr="006D2270">
        <w:rPr>
          <w:rFonts w:ascii="Verdana" w:hAnsi="Verdana" w:cs="Arial"/>
        </w:rPr>
        <w:t>Zamawiającego</w:t>
      </w:r>
      <w:r>
        <w:rPr>
          <w:rFonts w:ascii="Verdana" w:hAnsi="Verdana" w:cs="Arial"/>
        </w:rPr>
        <w:t xml:space="preserve">/ Inspektorowi </w:t>
      </w:r>
      <w:r w:rsidRPr="006D2270">
        <w:rPr>
          <w:rFonts w:ascii="Verdana" w:hAnsi="Verdana" w:cs="Arial"/>
        </w:rPr>
        <w:t>Nadzoru na jego żądanie. Przedstawiciel Zamawiającego/Inspektor Nadzoru może zdecydować o dokonaniu odbioru na podstawie badań Wykonawcy. W razie zastrzeżeń Przedstawiciel Zamawiającego/Inspektor Nadzoru może przeprowadzić badania kontrolne według punktu 6.3.3.</w:t>
      </w:r>
    </w:p>
    <w:p w:rsidR="0051730D" w:rsidRPr="009040B8" w:rsidRDefault="0051730D" w:rsidP="0051730D">
      <w:pPr>
        <w:jc w:val="both"/>
        <w:rPr>
          <w:rFonts w:ascii="Verdana" w:hAnsi="Verdana" w:cs="Arial"/>
        </w:rPr>
      </w:pPr>
      <w:r w:rsidRPr="009040B8">
        <w:rPr>
          <w:rFonts w:ascii="Verdana" w:hAnsi="Verdana" w:cs="Arial"/>
        </w:rPr>
        <w:t>Rodzaje badań Wykonawcy mieszanki mineralno-asfaltowej i wykonanej z niej warstwy podano w tab</w:t>
      </w:r>
      <w:r>
        <w:rPr>
          <w:rFonts w:ascii="Verdana" w:hAnsi="Verdana" w:cs="Arial"/>
        </w:rPr>
        <w:t>eli</w:t>
      </w:r>
      <w:r w:rsidRPr="009040B8">
        <w:rPr>
          <w:rFonts w:ascii="Verdana" w:hAnsi="Verdana" w:cs="Arial"/>
        </w:rPr>
        <w:t xml:space="preserve"> 1</w:t>
      </w:r>
      <w:r>
        <w:rPr>
          <w:rFonts w:ascii="Verdana" w:hAnsi="Verdana" w:cs="Arial"/>
        </w:rPr>
        <w:t>5</w:t>
      </w:r>
      <w:r w:rsidRPr="009040B8">
        <w:rPr>
          <w:rFonts w:ascii="Verdana" w:hAnsi="Verdana" w:cs="Arial"/>
        </w:rPr>
        <w:t>.</w:t>
      </w:r>
    </w:p>
    <w:p w:rsidR="0051730D" w:rsidRPr="009040B8" w:rsidRDefault="0051730D" w:rsidP="0051730D">
      <w:pPr>
        <w:spacing w:before="120"/>
        <w:rPr>
          <w:rFonts w:ascii="Verdana" w:hAnsi="Verdana" w:cs="Arial"/>
        </w:rPr>
      </w:pPr>
      <w:r w:rsidRPr="009040B8">
        <w:rPr>
          <w:rFonts w:ascii="Verdana" w:hAnsi="Verdana" w:cs="Arial"/>
        </w:rPr>
        <w:t>Tab</w:t>
      </w:r>
      <w:r>
        <w:rPr>
          <w:rFonts w:ascii="Verdana" w:hAnsi="Verdana" w:cs="Arial"/>
        </w:rPr>
        <w:t>eli</w:t>
      </w:r>
      <w:r w:rsidRPr="009040B8">
        <w:rPr>
          <w:rFonts w:ascii="Verdana" w:hAnsi="Verdana" w:cs="Arial"/>
        </w:rPr>
        <w:t xml:space="preserve"> 1</w:t>
      </w:r>
      <w:r>
        <w:rPr>
          <w:rFonts w:ascii="Verdana" w:hAnsi="Verdana" w:cs="Arial"/>
        </w:rPr>
        <w:t>5</w:t>
      </w:r>
      <w:r w:rsidRPr="009040B8">
        <w:rPr>
          <w:rFonts w:ascii="Verdana" w:hAnsi="Verdana" w:cs="Arial"/>
        </w:rPr>
        <w:t>. Rodzaje badań Wykonawcy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718"/>
        <w:gridCol w:w="2654"/>
      </w:tblGrid>
      <w:tr w:rsidR="0051730D" w:rsidRPr="009040B8" w:rsidTr="0051730D">
        <w:tc>
          <w:tcPr>
            <w:tcW w:w="790" w:type="dxa"/>
          </w:tcPr>
          <w:p w:rsidR="0051730D" w:rsidRPr="009040B8" w:rsidRDefault="0051730D" w:rsidP="0051730D">
            <w:pPr>
              <w:spacing w:before="40" w:after="40"/>
              <w:jc w:val="center"/>
              <w:rPr>
                <w:rFonts w:ascii="Verdana" w:hAnsi="Verdana" w:cs="Arial"/>
              </w:rPr>
            </w:pPr>
            <w:r w:rsidRPr="009040B8">
              <w:rPr>
                <w:rFonts w:ascii="Verdana" w:hAnsi="Verdana" w:cs="Arial"/>
              </w:rPr>
              <w:t>Lp.</w:t>
            </w:r>
          </w:p>
        </w:tc>
        <w:tc>
          <w:tcPr>
            <w:tcW w:w="5731"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Rodzaj badań</w:t>
            </w:r>
          </w:p>
        </w:tc>
        <w:tc>
          <w:tcPr>
            <w:tcW w:w="2657" w:type="dxa"/>
          </w:tcPr>
          <w:p w:rsidR="0051730D" w:rsidRPr="009040B8" w:rsidRDefault="0051730D" w:rsidP="0051730D">
            <w:pPr>
              <w:spacing w:before="40" w:after="40"/>
              <w:jc w:val="center"/>
              <w:rPr>
                <w:rFonts w:ascii="Verdana" w:hAnsi="Verdana" w:cs="Arial"/>
              </w:rPr>
            </w:pPr>
            <w:r w:rsidRPr="009040B8">
              <w:rPr>
                <w:rFonts w:ascii="Verdana" w:hAnsi="Verdana" w:cs="Arial"/>
              </w:rPr>
              <w:t>Minimalna częstotliwość badań i pomiarów</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b/>
              </w:rPr>
            </w:pPr>
            <w:r w:rsidRPr="009040B8">
              <w:rPr>
                <w:rFonts w:ascii="Verdana" w:hAnsi="Verdana" w:cs="Arial"/>
                <w:b/>
              </w:rPr>
              <w:t>1</w:t>
            </w:r>
          </w:p>
        </w:tc>
        <w:tc>
          <w:tcPr>
            <w:tcW w:w="8388" w:type="dxa"/>
            <w:gridSpan w:val="2"/>
            <w:vAlign w:val="center"/>
          </w:tcPr>
          <w:p w:rsidR="0051730D" w:rsidRPr="009040B8" w:rsidRDefault="0051730D" w:rsidP="0051730D">
            <w:pPr>
              <w:ind w:left="-38" w:right="-57"/>
              <w:rPr>
                <w:rFonts w:ascii="Verdana" w:hAnsi="Verdana" w:cs="Arial"/>
              </w:rPr>
            </w:pPr>
            <w:r w:rsidRPr="009040B8">
              <w:rPr>
                <w:rFonts w:ascii="Verdana" w:hAnsi="Verdana" w:cs="Arial"/>
                <w:b/>
              </w:rPr>
              <w:t>Przygotowanie do ułożenia warstwy</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1.1</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Pomiar temperatury powietrza i prędkości wiatru</w:t>
            </w:r>
          </w:p>
        </w:tc>
        <w:tc>
          <w:tcPr>
            <w:tcW w:w="2657" w:type="dxa"/>
            <w:vMerge w:val="restart"/>
            <w:vAlign w:val="center"/>
          </w:tcPr>
          <w:p w:rsidR="0051730D" w:rsidRPr="009040B8" w:rsidRDefault="0051730D" w:rsidP="0051730D">
            <w:pPr>
              <w:spacing w:before="40" w:after="40"/>
              <w:jc w:val="center"/>
              <w:rPr>
                <w:rFonts w:ascii="Verdana" w:hAnsi="Verdana" w:cs="Arial"/>
              </w:rPr>
            </w:pPr>
            <w:r>
              <w:rPr>
                <w:rFonts w:ascii="Verdana" w:hAnsi="Verdana" w:cs="Arial"/>
              </w:rPr>
              <w:t>d</w:t>
            </w:r>
            <w:r w:rsidRPr="009040B8">
              <w:rPr>
                <w:rFonts w:ascii="Verdana" w:hAnsi="Verdana" w:cs="Arial"/>
              </w:rPr>
              <w:t>la każdej działki roboczej</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1.2</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Badanie wydatku skropienia</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b/>
              </w:rPr>
            </w:pPr>
            <w:r w:rsidRPr="009040B8">
              <w:rPr>
                <w:rFonts w:ascii="Verdana" w:hAnsi="Verdana" w:cs="Arial"/>
                <w:b/>
              </w:rPr>
              <w:t>2</w:t>
            </w:r>
          </w:p>
        </w:tc>
        <w:tc>
          <w:tcPr>
            <w:tcW w:w="8388" w:type="dxa"/>
            <w:gridSpan w:val="2"/>
            <w:vAlign w:val="center"/>
          </w:tcPr>
          <w:p w:rsidR="0051730D" w:rsidRPr="009040B8" w:rsidRDefault="0051730D" w:rsidP="0051730D">
            <w:pPr>
              <w:spacing w:before="40" w:after="40"/>
              <w:rPr>
                <w:rFonts w:ascii="Verdana" w:hAnsi="Verdana" w:cs="Arial"/>
              </w:rPr>
            </w:pPr>
            <w:r w:rsidRPr="009040B8">
              <w:rPr>
                <w:rFonts w:ascii="Verdana" w:hAnsi="Verdana" w:cs="Arial"/>
                <w:b/>
              </w:rPr>
              <w:t>Mieszanka mineralno-asfaltowa</w:t>
            </w:r>
          </w:p>
        </w:tc>
      </w:tr>
      <w:tr w:rsidR="0051730D" w:rsidRPr="00890DD1"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2.1</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Uziarnienie</w:t>
            </w:r>
          </w:p>
        </w:tc>
        <w:tc>
          <w:tcPr>
            <w:tcW w:w="2657" w:type="dxa"/>
            <w:vMerge w:val="restart"/>
            <w:vAlign w:val="center"/>
          </w:tcPr>
          <w:p w:rsidR="0051730D" w:rsidRPr="00890DD1" w:rsidRDefault="0051730D" w:rsidP="0051730D">
            <w:pPr>
              <w:ind w:left="-38" w:right="-57"/>
              <w:jc w:val="center"/>
              <w:rPr>
                <w:rFonts w:ascii="Verdana" w:hAnsi="Verdana" w:cs="Arial"/>
              </w:rPr>
            </w:pPr>
            <w:r>
              <w:rPr>
                <w:rFonts w:ascii="Verdana" w:hAnsi="Verdana" w:cs="Arial"/>
              </w:rPr>
              <w:t>dla każdej działki roboczej (na próbce pobranej w miejscu wbudowania) i na każde rozpoczęte 1000 Mg wyprodukowanej MMA</w:t>
            </w:r>
          </w:p>
        </w:tc>
      </w:tr>
      <w:tr w:rsidR="0051730D" w:rsidRPr="00890DD1"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2.2</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Zawartość lepiszcza</w:t>
            </w:r>
          </w:p>
        </w:tc>
        <w:tc>
          <w:tcPr>
            <w:tcW w:w="2657" w:type="dxa"/>
            <w:vMerge/>
            <w:vAlign w:val="center"/>
          </w:tcPr>
          <w:p w:rsidR="0051730D" w:rsidRPr="00890DD1" w:rsidRDefault="0051730D" w:rsidP="0051730D">
            <w:pPr>
              <w:spacing w:before="40" w:after="40"/>
              <w:jc w:val="center"/>
              <w:rPr>
                <w:rFonts w:ascii="Verdana" w:hAnsi="Verdana" w:cs="Arial"/>
              </w:rPr>
            </w:pPr>
          </w:p>
        </w:tc>
      </w:tr>
      <w:tr w:rsidR="0051730D" w:rsidRPr="00890DD1"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2.3</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 xml:space="preserve">Gęstość i zawartość wolnych przestrzeni w próbce </w:t>
            </w:r>
            <w:proofErr w:type="spellStart"/>
            <w:r w:rsidRPr="009040B8">
              <w:rPr>
                <w:rFonts w:ascii="Verdana" w:hAnsi="Verdana" w:cs="Arial"/>
              </w:rPr>
              <w:t>Marshall’a</w:t>
            </w:r>
            <w:proofErr w:type="spellEnd"/>
          </w:p>
        </w:tc>
        <w:tc>
          <w:tcPr>
            <w:tcW w:w="2657" w:type="dxa"/>
            <w:vMerge/>
            <w:vAlign w:val="center"/>
          </w:tcPr>
          <w:p w:rsidR="0051730D" w:rsidRPr="00890DD1"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2.4</w:t>
            </w:r>
          </w:p>
        </w:tc>
        <w:tc>
          <w:tcPr>
            <w:tcW w:w="5731" w:type="dxa"/>
            <w:vAlign w:val="center"/>
          </w:tcPr>
          <w:p w:rsidR="0051730D" w:rsidRDefault="0051730D" w:rsidP="0051730D">
            <w:pPr>
              <w:rPr>
                <w:rFonts w:ascii="Verdana" w:hAnsi="Verdana" w:cs="Arial"/>
              </w:rPr>
            </w:pPr>
            <w:r w:rsidRPr="006D2270">
              <w:rPr>
                <w:rFonts w:ascii="Verdana" w:hAnsi="Verdana" w:cs="Arial"/>
              </w:rPr>
              <w:t>Właściwości lepiszcza</w:t>
            </w:r>
          </w:p>
          <w:p w:rsidR="0051730D" w:rsidRDefault="0051730D" w:rsidP="0051730D">
            <w:pPr>
              <w:rPr>
                <w:rFonts w:ascii="Verdana" w:hAnsi="Verdana" w:cs="Arial"/>
              </w:rPr>
            </w:pPr>
            <w:r>
              <w:rPr>
                <w:rFonts w:ascii="Verdana" w:hAnsi="Verdana" w:cs="Arial"/>
              </w:rPr>
              <w:t>- penetracja w 25</w:t>
            </w:r>
            <w:r>
              <w:rPr>
                <w:rFonts w:ascii="Verdana" w:hAnsi="Verdana" w:cs="Arial"/>
                <w:vertAlign w:val="superscript"/>
              </w:rPr>
              <w:t>o</w:t>
            </w:r>
            <w:r>
              <w:rPr>
                <w:rFonts w:ascii="Verdana" w:hAnsi="Verdana" w:cs="Arial"/>
              </w:rPr>
              <w:t xml:space="preserve">C lub temp. mięknienia wg </w:t>
            </w:r>
            <w:proofErr w:type="spellStart"/>
            <w:r>
              <w:rPr>
                <w:rFonts w:ascii="Verdana" w:hAnsi="Verdana" w:cs="Arial"/>
              </w:rPr>
              <w:t>PiK</w:t>
            </w:r>
            <w:proofErr w:type="spellEnd"/>
            <w:r>
              <w:rPr>
                <w:rFonts w:ascii="Verdana" w:hAnsi="Verdana" w:cs="Arial"/>
              </w:rPr>
              <w:t>,</w:t>
            </w:r>
          </w:p>
          <w:p w:rsidR="0051730D" w:rsidRPr="00986D0B" w:rsidRDefault="0051730D" w:rsidP="0051730D">
            <w:pPr>
              <w:rPr>
                <w:rFonts w:ascii="Verdana" w:hAnsi="Verdana" w:cs="Arial"/>
                <w:strike/>
              </w:rPr>
            </w:pPr>
            <w:r>
              <w:rPr>
                <w:rFonts w:ascii="Verdana" w:hAnsi="Verdana" w:cs="Arial"/>
              </w:rPr>
              <w:t>- nawrót sprężysty w 25</w:t>
            </w:r>
            <w:r>
              <w:rPr>
                <w:rFonts w:ascii="Verdana" w:hAnsi="Verdana" w:cs="Arial"/>
                <w:vertAlign w:val="superscript"/>
              </w:rPr>
              <w:t>o</w:t>
            </w:r>
            <w:r>
              <w:rPr>
                <w:rFonts w:ascii="Verdana" w:hAnsi="Verdana" w:cs="Arial"/>
              </w:rPr>
              <w:t>C</w:t>
            </w:r>
          </w:p>
        </w:tc>
        <w:tc>
          <w:tcPr>
            <w:tcW w:w="2657" w:type="dxa"/>
            <w:vAlign w:val="center"/>
          </w:tcPr>
          <w:p w:rsidR="0051730D" w:rsidRPr="006D2270" w:rsidRDefault="0051730D" w:rsidP="0051730D">
            <w:pPr>
              <w:spacing w:before="40" w:after="40"/>
              <w:jc w:val="center"/>
              <w:rPr>
                <w:rFonts w:ascii="Verdana" w:hAnsi="Verdana" w:cs="Arial"/>
              </w:rPr>
            </w:pPr>
            <w:r>
              <w:rPr>
                <w:rFonts w:ascii="Verdana" w:hAnsi="Verdana" w:cs="Arial"/>
              </w:rPr>
              <w:t>1 raz na 300 Mg</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2.5</w:t>
            </w:r>
          </w:p>
        </w:tc>
        <w:tc>
          <w:tcPr>
            <w:tcW w:w="5731" w:type="dxa"/>
            <w:vAlign w:val="center"/>
          </w:tcPr>
          <w:p w:rsidR="0051730D" w:rsidRPr="006D2270" w:rsidRDefault="0051730D" w:rsidP="0051730D">
            <w:pPr>
              <w:rPr>
                <w:rFonts w:ascii="Verdana" w:hAnsi="Verdana" w:cs="Arial"/>
              </w:rPr>
            </w:pPr>
            <w:r w:rsidRPr="006D2270">
              <w:rPr>
                <w:rFonts w:ascii="Verdana" w:hAnsi="Verdana" w:cs="Arial"/>
              </w:rPr>
              <w:t>Właściwości kruszyw</w:t>
            </w:r>
          </w:p>
        </w:tc>
        <w:tc>
          <w:tcPr>
            <w:tcW w:w="2657" w:type="dxa"/>
            <w:vAlign w:val="center"/>
          </w:tcPr>
          <w:p w:rsidR="0051730D" w:rsidRPr="006D2270" w:rsidRDefault="0051730D" w:rsidP="0051730D">
            <w:pPr>
              <w:spacing w:before="40" w:after="40"/>
              <w:jc w:val="center"/>
              <w:rPr>
                <w:rFonts w:ascii="Verdana" w:hAnsi="Verdana" w:cs="Arial"/>
              </w:rPr>
            </w:pPr>
            <w:r>
              <w:rPr>
                <w:rFonts w:ascii="Verdana" w:hAnsi="Verdana" w:cs="Arial"/>
              </w:rPr>
              <w:t xml:space="preserve">uziarnienie, kształt kruszywa, zawartość ziaren o powierzchni </w:t>
            </w:r>
            <w:proofErr w:type="spellStart"/>
            <w:r>
              <w:rPr>
                <w:rFonts w:ascii="Verdana" w:hAnsi="Verdana" w:cs="Arial"/>
              </w:rPr>
              <w:t>przekruszonej</w:t>
            </w:r>
            <w:proofErr w:type="spellEnd"/>
            <w:r>
              <w:rPr>
                <w:rFonts w:ascii="Verdana" w:hAnsi="Verdana" w:cs="Arial"/>
              </w:rPr>
              <w:t xml:space="preserve"> i łamanej 1 raz na 2000 Mg</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lastRenderedPageBreak/>
              <w:t>2.6</w:t>
            </w:r>
          </w:p>
        </w:tc>
        <w:tc>
          <w:tcPr>
            <w:tcW w:w="5731" w:type="dxa"/>
            <w:vAlign w:val="center"/>
          </w:tcPr>
          <w:p w:rsidR="0051730D" w:rsidRPr="006D2270" w:rsidRDefault="0051730D" w:rsidP="0051730D">
            <w:pPr>
              <w:rPr>
                <w:rFonts w:ascii="Verdana" w:hAnsi="Verdana" w:cs="Arial"/>
              </w:rPr>
            </w:pPr>
            <w:r w:rsidRPr="006D2270">
              <w:rPr>
                <w:rFonts w:ascii="Verdana" w:hAnsi="Verdana" w:cs="Arial"/>
              </w:rPr>
              <w:t>Właściwości wypełniacza</w:t>
            </w:r>
          </w:p>
        </w:tc>
        <w:tc>
          <w:tcPr>
            <w:tcW w:w="2657" w:type="dxa"/>
            <w:vAlign w:val="center"/>
          </w:tcPr>
          <w:p w:rsidR="0051730D" w:rsidRPr="006D2270" w:rsidRDefault="0051730D" w:rsidP="0051730D">
            <w:pPr>
              <w:spacing w:before="40" w:after="40"/>
              <w:jc w:val="center"/>
              <w:rPr>
                <w:rFonts w:ascii="Verdana" w:hAnsi="Verdana" w:cs="Arial"/>
              </w:rPr>
            </w:pPr>
            <w:r>
              <w:rPr>
                <w:rFonts w:ascii="Verdana" w:hAnsi="Verdana" w:cs="Arial"/>
              </w:rPr>
              <w:t>uziarnienie i wilgotność 1 raz na 300 Mg</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2.7</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Właściwości pyłów z odpylania (w przypadku stosowania)</w:t>
            </w:r>
          </w:p>
        </w:tc>
        <w:tc>
          <w:tcPr>
            <w:tcW w:w="2657" w:type="dxa"/>
            <w:vAlign w:val="center"/>
          </w:tcPr>
          <w:p w:rsidR="0051730D" w:rsidRPr="009040B8" w:rsidRDefault="0051730D" w:rsidP="0051730D">
            <w:pPr>
              <w:spacing w:before="40" w:after="40"/>
              <w:jc w:val="center"/>
              <w:rPr>
                <w:rFonts w:ascii="Verdana" w:hAnsi="Verdana" w:cs="Arial"/>
              </w:rPr>
            </w:pPr>
            <w:r>
              <w:rPr>
                <w:rFonts w:ascii="Verdana" w:hAnsi="Verdana" w:cs="Arial"/>
              </w:rPr>
              <w:t>1 r</w:t>
            </w:r>
            <w:r w:rsidRPr="009040B8">
              <w:rPr>
                <w:rFonts w:ascii="Verdana" w:hAnsi="Verdana" w:cs="Arial"/>
              </w:rPr>
              <w:t xml:space="preserve">az na 100 </w:t>
            </w:r>
            <w:r>
              <w:rPr>
                <w:rFonts w:ascii="Verdana" w:hAnsi="Verdana" w:cs="Arial"/>
              </w:rPr>
              <w:t>Mg</w:t>
            </w:r>
            <w:r w:rsidRPr="009040B8">
              <w:rPr>
                <w:rFonts w:ascii="Verdana" w:hAnsi="Verdana" w:cs="Arial"/>
              </w:rPr>
              <w:t xml:space="preserve"> pyłów</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2.8</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Ocena wizualna mieszanki mineralno-asfaltowej</w:t>
            </w:r>
          </w:p>
        </w:tc>
        <w:tc>
          <w:tcPr>
            <w:tcW w:w="2657" w:type="dxa"/>
            <w:vMerge w:val="restart"/>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każdy pojazd przy załadunku i w czasie wbudowywania</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2.9</w:t>
            </w:r>
          </w:p>
        </w:tc>
        <w:tc>
          <w:tcPr>
            <w:tcW w:w="5731" w:type="dxa"/>
            <w:vAlign w:val="center"/>
          </w:tcPr>
          <w:p w:rsidR="0051730D" w:rsidRPr="009040B8" w:rsidRDefault="0051730D" w:rsidP="0051730D">
            <w:pPr>
              <w:rPr>
                <w:rFonts w:ascii="Verdana" w:hAnsi="Verdana" w:cs="Arial"/>
                <w:b/>
              </w:rPr>
            </w:pPr>
            <w:r w:rsidRPr="009040B8">
              <w:rPr>
                <w:rFonts w:ascii="Verdana" w:hAnsi="Verdana" w:cs="Arial"/>
              </w:rPr>
              <w:t xml:space="preserve">Pomiar temperatury MMA podczas wykonywania nawierzchni (wg PN-EN 12697-13 [36]), </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2.10</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Odporność na działanie wody i mrozu (ITSR)</w:t>
            </w:r>
          </w:p>
        </w:tc>
        <w:tc>
          <w:tcPr>
            <w:tcW w:w="2657" w:type="dxa"/>
            <w:vAlign w:val="center"/>
          </w:tcPr>
          <w:p w:rsidR="0051730D" w:rsidRPr="009040B8" w:rsidRDefault="0051730D" w:rsidP="0051730D">
            <w:pPr>
              <w:spacing w:before="40" w:after="40"/>
              <w:jc w:val="center"/>
              <w:rPr>
                <w:rFonts w:ascii="Verdana" w:hAnsi="Verdana" w:cs="Arial"/>
              </w:rPr>
            </w:pPr>
            <w:r>
              <w:rPr>
                <w:rFonts w:ascii="Verdana" w:hAnsi="Verdana" w:cs="Arial"/>
              </w:rPr>
              <w:t>d</w:t>
            </w:r>
            <w:r w:rsidRPr="009040B8">
              <w:rPr>
                <w:rFonts w:ascii="Verdana" w:hAnsi="Verdana" w:cs="Arial"/>
              </w:rPr>
              <w:t>la próby technologicznej</w:t>
            </w:r>
            <w:r w:rsidRPr="009040B8">
              <w:rPr>
                <w:rFonts w:ascii="Verdana" w:hAnsi="Verdana" w:cs="Arial"/>
              </w:rPr>
              <w:br/>
              <w:t xml:space="preserve"> </w:t>
            </w:r>
            <w:r>
              <w:rPr>
                <w:rFonts w:ascii="Verdana" w:hAnsi="Verdana" w:cs="Arial"/>
              </w:rPr>
              <w:t>lub</w:t>
            </w:r>
            <w:r w:rsidRPr="009040B8">
              <w:rPr>
                <w:rFonts w:ascii="Verdana" w:hAnsi="Verdana" w:cs="Arial"/>
              </w:rPr>
              <w:t xml:space="preserve"> odcinka próbnego</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b/>
              </w:rPr>
            </w:pPr>
            <w:r w:rsidRPr="009040B8">
              <w:rPr>
                <w:rFonts w:ascii="Verdana" w:hAnsi="Verdana" w:cs="Arial"/>
                <w:b/>
              </w:rPr>
              <w:t>3</w:t>
            </w:r>
          </w:p>
        </w:tc>
        <w:tc>
          <w:tcPr>
            <w:tcW w:w="8388" w:type="dxa"/>
            <w:gridSpan w:val="2"/>
            <w:vAlign w:val="center"/>
          </w:tcPr>
          <w:p w:rsidR="0051730D" w:rsidRPr="009040B8" w:rsidRDefault="0051730D" w:rsidP="0051730D">
            <w:pPr>
              <w:spacing w:before="40" w:after="40"/>
              <w:rPr>
                <w:rFonts w:ascii="Verdana" w:hAnsi="Verdana" w:cs="Arial"/>
              </w:rPr>
            </w:pPr>
            <w:r w:rsidRPr="009040B8">
              <w:rPr>
                <w:rFonts w:ascii="Verdana" w:hAnsi="Verdana" w:cs="Arial"/>
                <w:b/>
              </w:rPr>
              <w:t>Warstwa asfaltowa</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3.1</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Ocena wizualna jednorodności powierzchni warstwy</w:t>
            </w:r>
          </w:p>
        </w:tc>
        <w:tc>
          <w:tcPr>
            <w:tcW w:w="2657" w:type="dxa"/>
            <w:vMerge w:val="restart"/>
            <w:vAlign w:val="center"/>
          </w:tcPr>
          <w:p w:rsidR="0051730D" w:rsidRPr="009040B8" w:rsidRDefault="0051730D" w:rsidP="0051730D">
            <w:pPr>
              <w:spacing w:before="40" w:after="40"/>
              <w:jc w:val="center"/>
              <w:rPr>
                <w:rFonts w:ascii="Verdana" w:hAnsi="Verdana" w:cs="Arial"/>
              </w:rPr>
            </w:pPr>
            <w:r>
              <w:rPr>
                <w:rFonts w:ascii="Verdana" w:hAnsi="Verdana" w:cs="Arial"/>
              </w:rPr>
              <w:t>o</w:t>
            </w:r>
            <w:r w:rsidRPr="009040B8">
              <w:rPr>
                <w:rFonts w:ascii="Verdana" w:hAnsi="Verdana" w:cs="Arial"/>
              </w:rPr>
              <w:t>cena ciągła</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3.2</w:t>
            </w:r>
          </w:p>
        </w:tc>
        <w:tc>
          <w:tcPr>
            <w:tcW w:w="5731" w:type="dxa"/>
            <w:vAlign w:val="center"/>
          </w:tcPr>
          <w:p w:rsidR="0051730D" w:rsidRPr="009040B8" w:rsidRDefault="0051730D" w:rsidP="0051730D">
            <w:pPr>
              <w:overflowPunct w:val="0"/>
              <w:autoSpaceDE w:val="0"/>
              <w:autoSpaceDN w:val="0"/>
              <w:adjustRightInd w:val="0"/>
              <w:ind w:right="-108"/>
              <w:jc w:val="both"/>
              <w:textAlignment w:val="baseline"/>
              <w:rPr>
                <w:rFonts w:ascii="Verdana" w:hAnsi="Verdana" w:cs="Arial"/>
              </w:rPr>
            </w:pPr>
            <w:r w:rsidRPr="009040B8">
              <w:rPr>
                <w:rFonts w:ascii="Verdana" w:hAnsi="Verdana" w:cs="Arial"/>
              </w:rPr>
              <w:t>Ocena wizualna jakości wykonania połączeń technologicznych.</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3.3</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Wskaźnik zagęszczenia</w:t>
            </w:r>
          </w:p>
        </w:tc>
        <w:tc>
          <w:tcPr>
            <w:tcW w:w="2657" w:type="dxa"/>
            <w:vMerge w:val="restart"/>
            <w:vAlign w:val="center"/>
          </w:tcPr>
          <w:p w:rsidR="0051730D" w:rsidRPr="009040B8" w:rsidRDefault="0051730D" w:rsidP="0051730D">
            <w:pPr>
              <w:ind w:left="-38" w:right="-57"/>
              <w:jc w:val="center"/>
              <w:rPr>
                <w:rFonts w:ascii="Verdana" w:hAnsi="Verdana" w:cs="Arial"/>
              </w:rPr>
            </w:pPr>
            <w:r>
              <w:rPr>
                <w:rFonts w:ascii="Verdana" w:hAnsi="Verdana" w:cs="Arial"/>
              </w:rPr>
              <w:t>d</w:t>
            </w:r>
            <w:r w:rsidRPr="006D2270">
              <w:rPr>
                <w:rFonts w:ascii="Verdana" w:hAnsi="Verdana" w:cs="Arial"/>
              </w:rPr>
              <w:t>la każdej działki roboczej</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3.4</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Grubość warstwy</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3.5</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Zawartość wolnych przestrzeni w warstwie</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3.6</w:t>
            </w:r>
          </w:p>
        </w:tc>
        <w:tc>
          <w:tcPr>
            <w:tcW w:w="5731" w:type="dxa"/>
            <w:vAlign w:val="center"/>
          </w:tcPr>
          <w:p w:rsidR="0051730D" w:rsidRPr="009040B8" w:rsidRDefault="0051730D" w:rsidP="0051730D">
            <w:pPr>
              <w:overflowPunct w:val="0"/>
              <w:autoSpaceDE w:val="0"/>
              <w:autoSpaceDN w:val="0"/>
              <w:adjustRightInd w:val="0"/>
              <w:jc w:val="both"/>
              <w:textAlignment w:val="baseline"/>
              <w:rPr>
                <w:rFonts w:ascii="Verdana" w:hAnsi="Verdana" w:cs="Arial"/>
              </w:rPr>
            </w:pPr>
            <w:r w:rsidRPr="009040B8">
              <w:rPr>
                <w:rFonts w:ascii="Verdana" w:hAnsi="Verdana" w:cs="Arial"/>
              </w:rPr>
              <w:t xml:space="preserve">Połączenia </w:t>
            </w:r>
            <w:proofErr w:type="spellStart"/>
            <w:r w:rsidRPr="009040B8">
              <w:rPr>
                <w:rFonts w:ascii="Verdana" w:hAnsi="Verdana" w:cs="Arial"/>
              </w:rPr>
              <w:t>międzywarstwowe</w:t>
            </w:r>
            <w:proofErr w:type="spellEnd"/>
          </w:p>
        </w:tc>
        <w:tc>
          <w:tcPr>
            <w:tcW w:w="2657" w:type="dxa"/>
            <w:vAlign w:val="center"/>
          </w:tcPr>
          <w:p w:rsidR="0051730D" w:rsidRPr="009040B8" w:rsidRDefault="0051730D" w:rsidP="0051730D">
            <w:pPr>
              <w:spacing w:before="40" w:after="40"/>
              <w:jc w:val="center"/>
              <w:rPr>
                <w:rFonts w:ascii="Verdana" w:hAnsi="Verdana" w:cs="Arial"/>
              </w:rPr>
            </w:pPr>
            <w:r>
              <w:rPr>
                <w:rFonts w:ascii="Verdana" w:hAnsi="Verdana" w:cs="Arial"/>
              </w:rPr>
              <w:t>d</w:t>
            </w:r>
            <w:r w:rsidRPr="006D2270">
              <w:rPr>
                <w:rFonts w:ascii="Verdana" w:hAnsi="Verdana" w:cs="Arial"/>
              </w:rPr>
              <w:t>la każdej działki roboczej</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3.7</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Odporność na deformacje trwałe</w:t>
            </w:r>
          </w:p>
        </w:tc>
        <w:tc>
          <w:tcPr>
            <w:tcW w:w="2657" w:type="dxa"/>
            <w:vAlign w:val="center"/>
          </w:tcPr>
          <w:p w:rsidR="0051730D" w:rsidRPr="009040B8" w:rsidRDefault="0051730D" w:rsidP="0051730D">
            <w:pPr>
              <w:spacing w:before="40" w:after="40"/>
              <w:jc w:val="center"/>
              <w:rPr>
                <w:rFonts w:ascii="Verdana" w:hAnsi="Verdana" w:cs="Arial"/>
              </w:rPr>
            </w:pPr>
            <w:r>
              <w:rPr>
                <w:rFonts w:ascii="Verdana" w:hAnsi="Verdana" w:cs="Arial"/>
              </w:rPr>
              <w:t>na każdy rozpoczęty kilometr</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3.8</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Spadki poprzeczne</w:t>
            </w:r>
          </w:p>
        </w:tc>
        <w:tc>
          <w:tcPr>
            <w:tcW w:w="2657"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co 50 m oraz w punktach głównych łuków poziomych</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3.9</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Równość podłużna</w:t>
            </w:r>
          </w:p>
        </w:tc>
        <w:tc>
          <w:tcPr>
            <w:tcW w:w="2657" w:type="dxa"/>
            <w:vAlign w:val="center"/>
          </w:tcPr>
          <w:p w:rsidR="0051730D" w:rsidRPr="009040B8" w:rsidRDefault="0051730D" w:rsidP="0051730D">
            <w:pPr>
              <w:spacing w:before="40" w:after="40"/>
              <w:jc w:val="center"/>
              <w:rPr>
                <w:rFonts w:ascii="Verdana" w:hAnsi="Verdana" w:cs="Arial"/>
              </w:rPr>
            </w:pPr>
            <w:r>
              <w:rPr>
                <w:rFonts w:ascii="Verdana" w:hAnsi="Verdana" w:cs="Arial"/>
              </w:rPr>
              <w:t>k</w:t>
            </w:r>
            <w:r w:rsidRPr="009040B8">
              <w:rPr>
                <w:rFonts w:ascii="Verdana" w:hAnsi="Verdana" w:cs="Arial"/>
              </w:rPr>
              <w:t xml:space="preserve">ażdy pas ruchu </w:t>
            </w:r>
            <w:r w:rsidRPr="009040B8">
              <w:rPr>
                <w:rFonts w:ascii="Verdana" w:hAnsi="Verdana" w:cs="Arial"/>
              </w:rPr>
              <w:br/>
              <w:t>wg p. 6.4.2.4.</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3.10</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Równość poprzeczna</w:t>
            </w:r>
          </w:p>
        </w:tc>
        <w:tc>
          <w:tcPr>
            <w:tcW w:w="2657" w:type="dxa"/>
            <w:vAlign w:val="center"/>
          </w:tcPr>
          <w:p w:rsidR="0051730D" w:rsidRPr="009040B8" w:rsidRDefault="0051730D" w:rsidP="0051730D">
            <w:pPr>
              <w:spacing w:before="40" w:after="40"/>
              <w:jc w:val="center"/>
              <w:rPr>
                <w:rFonts w:ascii="Verdana" w:hAnsi="Verdana" w:cs="Arial"/>
              </w:rPr>
            </w:pPr>
            <w:r>
              <w:rPr>
                <w:rFonts w:ascii="Verdana" w:hAnsi="Verdana" w:cs="Arial"/>
              </w:rPr>
              <w:t>k</w:t>
            </w:r>
            <w:r w:rsidRPr="009040B8">
              <w:rPr>
                <w:rFonts w:ascii="Verdana" w:hAnsi="Verdana" w:cs="Arial"/>
              </w:rPr>
              <w:t xml:space="preserve">ażdy pas ruchu </w:t>
            </w:r>
            <w:r w:rsidRPr="009040B8">
              <w:rPr>
                <w:rFonts w:ascii="Verdana" w:hAnsi="Verdana" w:cs="Arial"/>
              </w:rPr>
              <w:br/>
              <w:t>wg p. 6.4.2.5.</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3.11</w:t>
            </w:r>
          </w:p>
        </w:tc>
        <w:tc>
          <w:tcPr>
            <w:tcW w:w="5731" w:type="dxa"/>
            <w:vAlign w:val="center"/>
          </w:tcPr>
          <w:p w:rsidR="0051730D" w:rsidRPr="009040B8" w:rsidRDefault="0051730D" w:rsidP="0051730D">
            <w:pPr>
              <w:overflowPunct w:val="0"/>
              <w:autoSpaceDE w:val="0"/>
              <w:autoSpaceDN w:val="0"/>
              <w:adjustRightInd w:val="0"/>
              <w:jc w:val="both"/>
              <w:textAlignment w:val="baseline"/>
              <w:rPr>
                <w:rFonts w:ascii="Verdana" w:hAnsi="Verdana" w:cs="Arial"/>
              </w:rPr>
            </w:pPr>
            <w:r w:rsidRPr="009040B8">
              <w:rPr>
                <w:rFonts w:ascii="Verdana" w:hAnsi="Verdana" w:cs="Arial"/>
              </w:rPr>
              <w:t>Szerokość warstwy i rzędne wysokościowe</w:t>
            </w:r>
          </w:p>
        </w:tc>
        <w:tc>
          <w:tcPr>
            <w:tcW w:w="2657"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wg 6.4.2.6.</w:t>
            </w:r>
          </w:p>
        </w:tc>
      </w:tr>
    </w:tbl>
    <w:p w:rsidR="0051730D" w:rsidRPr="009040B8" w:rsidRDefault="0051730D" w:rsidP="0051730D">
      <w:pPr>
        <w:rPr>
          <w:rFonts w:ascii="Verdana" w:hAnsi="Verdana" w:cs="Arial"/>
          <w:b/>
        </w:rPr>
      </w:pPr>
    </w:p>
    <w:p w:rsidR="0051730D" w:rsidRDefault="0051730D" w:rsidP="0051730D">
      <w:pPr>
        <w:jc w:val="both"/>
        <w:rPr>
          <w:rFonts w:ascii="Verdana" w:hAnsi="Verdana" w:cs="Arial"/>
        </w:rPr>
      </w:pPr>
      <w:r w:rsidRPr="009040B8">
        <w:rPr>
          <w:rFonts w:ascii="Verdana" w:hAnsi="Verdana" w:cs="Arial"/>
        </w:rPr>
        <w:t>Wszystkie wymienione w tabeli nr 1</w:t>
      </w:r>
      <w:r>
        <w:rPr>
          <w:rFonts w:ascii="Verdana" w:hAnsi="Verdana" w:cs="Arial"/>
        </w:rPr>
        <w:t>5</w:t>
      </w:r>
      <w:r w:rsidRPr="009040B8">
        <w:rPr>
          <w:rFonts w:ascii="Verdana" w:hAnsi="Verdana" w:cs="Arial"/>
        </w:rPr>
        <w:t xml:space="preserve"> badania i pomiary Wykonawcy powinny </w:t>
      </w:r>
      <w:r>
        <w:rPr>
          <w:rFonts w:ascii="Verdana" w:hAnsi="Verdana" w:cs="Arial"/>
        </w:rPr>
        <w:t>spełniać wymagania niniejszej SST,</w:t>
      </w:r>
      <w:r w:rsidRPr="006D2270">
        <w:rPr>
          <w:rFonts w:ascii="Verdana" w:hAnsi="Verdana" w:cs="Arial"/>
        </w:rPr>
        <w:t xml:space="preserve"> </w:t>
      </w:r>
      <w:r>
        <w:rPr>
          <w:rFonts w:ascii="Verdana" w:hAnsi="Verdana" w:cs="Arial"/>
        </w:rPr>
        <w:t>oraz</w:t>
      </w:r>
      <w:r w:rsidRPr="006D2270">
        <w:rPr>
          <w:rFonts w:ascii="Verdana" w:hAnsi="Verdana" w:cs="Arial"/>
        </w:rPr>
        <w:t xml:space="preserve"> udokumentowane w formie papierowej i załączone do dokumentów odbiorowych. Forma dokumentacji z powyższych badań i pomiarów powinna być uzgodniona z Inspektorem Nadzoru.</w:t>
      </w:r>
    </w:p>
    <w:p w:rsidR="0051730D" w:rsidRDefault="0051730D" w:rsidP="0051730D">
      <w:pPr>
        <w:jc w:val="both"/>
        <w:rPr>
          <w:rFonts w:ascii="Verdana" w:hAnsi="Verdana" w:cs="Arial"/>
        </w:rPr>
      </w:pPr>
    </w:p>
    <w:p w:rsidR="0051730D" w:rsidRPr="009040B8" w:rsidRDefault="0051730D" w:rsidP="0051730D">
      <w:pPr>
        <w:jc w:val="both"/>
        <w:rPr>
          <w:rFonts w:ascii="Verdana" w:hAnsi="Verdana" w:cs="Arial"/>
          <w:b/>
        </w:rPr>
      </w:pPr>
      <w:r w:rsidRPr="009040B8">
        <w:rPr>
          <w:rFonts w:ascii="Verdana" w:hAnsi="Verdana" w:cs="Arial"/>
          <w:b/>
        </w:rPr>
        <w:t>6.3.3. Badania kontrolne</w:t>
      </w:r>
    </w:p>
    <w:p w:rsidR="0051730D" w:rsidRPr="009040B8" w:rsidRDefault="0051730D" w:rsidP="0051730D">
      <w:pPr>
        <w:jc w:val="both"/>
        <w:rPr>
          <w:rFonts w:ascii="Verdana" w:hAnsi="Verdana" w:cs="Arial"/>
        </w:rPr>
      </w:pPr>
      <w:r w:rsidRPr="009040B8">
        <w:rPr>
          <w:rFonts w:ascii="Verdana" w:hAnsi="Verdana" w:cs="Arial"/>
        </w:rPr>
        <w:t>Badania kontrolne są badaniami Przedstawiciela Zamawiającego/Inspektora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SST. Badania kontrolne prowadzone są w laboratorium Zamawiającego. Wyniki tych badań są podstawą odbioru. Nadzór nad pobieraniem próbek i wykonaniem badań na miejscu budowy zajmuje się Przedstawiciel Zamawiającego/ Inspektor Nadzoru w obecności Wykonawcy. Wykonawca ma obowiązek swoim sprzętem pobrać wszystkie możliwe próbki do badań kontrolnych, w miejscach wskazanych przez Przedstawiciela Zamawiającego/Inspektora Nadzoru. Badania odbywają się również wtedy, gdy Wykonawca zostanie w porę powiadomiony o ich terminie, jednak nie będzie przy nich obecny.</w:t>
      </w:r>
    </w:p>
    <w:p w:rsidR="0051730D" w:rsidRPr="009040B8" w:rsidRDefault="0051730D" w:rsidP="0051730D">
      <w:pPr>
        <w:jc w:val="both"/>
        <w:rPr>
          <w:rFonts w:ascii="Verdana" w:hAnsi="Verdana" w:cs="Arial"/>
        </w:rPr>
      </w:pPr>
      <w:r w:rsidRPr="009040B8">
        <w:rPr>
          <w:rFonts w:ascii="Verdana" w:hAnsi="Verdana" w:cs="Arial"/>
        </w:rPr>
        <w:t>Rodzaj badań kontrolnych mieszanki mineralno-asfaltowej i wykonanej z niej warstwy podano w tab</w:t>
      </w:r>
      <w:r>
        <w:rPr>
          <w:rFonts w:ascii="Verdana" w:hAnsi="Verdana" w:cs="Arial"/>
        </w:rPr>
        <w:t>eli</w:t>
      </w:r>
      <w:r w:rsidRPr="009040B8">
        <w:rPr>
          <w:rFonts w:ascii="Verdana" w:hAnsi="Verdana" w:cs="Arial"/>
        </w:rPr>
        <w:t xml:space="preserve"> 1</w:t>
      </w:r>
      <w:r>
        <w:rPr>
          <w:rFonts w:ascii="Verdana" w:hAnsi="Verdana" w:cs="Arial"/>
        </w:rPr>
        <w:t>6</w:t>
      </w:r>
      <w:r w:rsidRPr="009040B8">
        <w:rPr>
          <w:rFonts w:ascii="Verdana" w:hAnsi="Verdana" w:cs="Arial"/>
        </w:rPr>
        <w:t>.</w:t>
      </w:r>
    </w:p>
    <w:p w:rsidR="0051730D" w:rsidRPr="009040B8" w:rsidRDefault="0051730D" w:rsidP="0051730D">
      <w:pPr>
        <w:jc w:val="both"/>
        <w:rPr>
          <w:rFonts w:ascii="Verdana" w:hAnsi="Verdana" w:cs="Arial"/>
        </w:rPr>
      </w:pPr>
    </w:p>
    <w:p w:rsidR="0051730D" w:rsidRPr="009040B8" w:rsidRDefault="0051730D" w:rsidP="0051730D">
      <w:pPr>
        <w:rPr>
          <w:rFonts w:ascii="Verdana" w:hAnsi="Verdana" w:cs="Arial"/>
        </w:rPr>
      </w:pPr>
      <w:r w:rsidRPr="009040B8">
        <w:rPr>
          <w:rFonts w:ascii="Verdana" w:hAnsi="Verdana" w:cs="Arial"/>
        </w:rPr>
        <w:t>Tab</w:t>
      </w:r>
      <w:r>
        <w:rPr>
          <w:rFonts w:ascii="Verdana" w:hAnsi="Verdana" w:cs="Arial"/>
        </w:rPr>
        <w:t>eli</w:t>
      </w:r>
      <w:r w:rsidRPr="009040B8">
        <w:rPr>
          <w:rFonts w:ascii="Verdana" w:hAnsi="Verdana" w:cs="Arial"/>
        </w:rPr>
        <w:t xml:space="preserve"> 1</w:t>
      </w:r>
      <w:r>
        <w:rPr>
          <w:rFonts w:ascii="Verdana" w:hAnsi="Verdana" w:cs="Arial"/>
        </w:rPr>
        <w:t>6</w:t>
      </w:r>
      <w:r w:rsidRPr="009040B8">
        <w:rPr>
          <w:rFonts w:ascii="Verdana" w:hAnsi="Verdana" w:cs="Arial"/>
        </w:rPr>
        <w:t>. Rodzaje badań kontrolnych (Zamawiającego)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719"/>
        <w:gridCol w:w="2653"/>
      </w:tblGrid>
      <w:tr w:rsidR="0051730D" w:rsidRPr="009040B8" w:rsidTr="0051730D">
        <w:tc>
          <w:tcPr>
            <w:tcW w:w="790" w:type="dxa"/>
          </w:tcPr>
          <w:p w:rsidR="0051730D" w:rsidRPr="009040B8" w:rsidRDefault="0051730D" w:rsidP="0051730D">
            <w:pPr>
              <w:spacing w:before="40" w:after="40"/>
              <w:jc w:val="center"/>
              <w:rPr>
                <w:rFonts w:ascii="Verdana" w:hAnsi="Verdana" w:cs="Arial"/>
              </w:rPr>
            </w:pPr>
            <w:r w:rsidRPr="009040B8">
              <w:rPr>
                <w:rFonts w:ascii="Verdana" w:hAnsi="Verdana" w:cs="Arial"/>
              </w:rPr>
              <w:lastRenderedPageBreak/>
              <w:t>Lp.</w:t>
            </w:r>
          </w:p>
        </w:tc>
        <w:tc>
          <w:tcPr>
            <w:tcW w:w="5731"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Rodzaj badań</w:t>
            </w:r>
          </w:p>
        </w:tc>
        <w:tc>
          <w:tcPr>
            <w:tcW w:w="2657" w:type="dxa"/>
          </w:tcPr>
          <w:p w:rsidR="0051730D" w:rsidRPr="009040B8" w:rsidRDefault="0051730D" w:rsidP="0051730D">
            <w:pPr>
              <w:spacing w:before="40" w:after="40"/>
              <w:jc w:val="center"/>
              <w:rPr>
                <w:rFonts w:ascii="Verdana" w:hAnsi="Verdana" w:cs="Arial"/>
              </w:rPr>
            </w:pPr>
            <w:r w:rsidRPr="009040B8">
              <w:rPr>
                <w:rFonts w:ascii="Verdana" w:hAnsi="Verdana" w:cs="Arial"/>
              </w:rPr>
              <w:t>Minimalna częstotliwość badań i pomiarów</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b/>
              </w:rPr>
            </w:pPr>
            <w:r w:rsidRPr="009040B8">
              <w:rPr>
                <w:rFonts w:ascii="Verdana" w:hAnsi="Verdana" w:cs="Arial"/>
                <w:b/>
              </w:rPr>
              <w:t>1</w:t>
            </w:r>
          </w:p>
        </w:tc>
        <w:tc>
          <w:tcPr>
            <w:tcW w:w="8388" w:type="dxa"/>
            <w:gridSpan w:val="2"/>
            <w:vAlign w:val="center"/>
          </w:tcPr>
          <w:p w:rsidR="0051730D" w:rsidRPr="009040B8" w:rsidRDefault="0051730D" w:rsidP="0051730D">
            <w:pPr>
              <w:ind w:left="-38" w:right="-57"/>
              <w:rPr>
                <w:rFonts w:ascii="Verdana" w:hAnsi="Verdana" w:cs="Arial"/>
              </w:rPr>
            </w:pPr>
            <w:r w:rsidRPr="009040B8">
              <w:rPr>
                <w:rFonts w:ascii="Verdana" w:hAnsi="Verdana" w:cs="Arial"/>
                <w:b/>
              </w:rPr>
              <w:t>Przygotowanie do ułożenia warstwy</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1.1</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Pomiar temperatury powietrza i prędkości wiatru</w:t>
            </w:r>
          </w:p>
        </w:tc>
        <w:tc>
          <w:tcPr>
            <w:tcW w:w="2657" w:type="dxa"/>
            <w:vMerge w:val="restart"/>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Wg potrzeb na polecenie Inspektora Nadzoru</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1.2</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Badanie wydatku skropienia</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b/>
              </w:rPr>
            </w:pPr>
            <w:r w:rsidRPr="009040B8">
              <w:rPr>
                <w:rFonts w:ascii="Verdana" w:hAnsi="Verdana" w:cs="Arial"/>
                <w:b/>
              </w:rPr>
              <w:t>2</w:t>
            </w:r>
          </w:p>
        </w:tc>
        <w:tc>
          <w:tcPr>
            <w:tcW w:w="8388" w:type="dxa"/>
            <w:gridSpan w:val="2"/>
            <w:vAlign w:val="center"/>
          </w:tcPr>
          <w:p w:rsidR="0051730D" w:rsidRPr="009040B8" w:rsidRDefault="0051730D" w:rsidP="0051730D">
            <w:pPr>
              <w:spacing w:before="40" w:after="40"/>
              <w:rPr>
                <w:rFonts w:ascii="Verdana" w:hAnsi="Verdana" w:cs="Arial"/>
              </w:rPr>
            </w:pPr>
            <w:r w:rsidRPr="009040B8">
              <w:rPr>
                <w:rFonts w:ascii="Verdana" w:hAnsi="Verdana" w:cs="Arial"/>
                <w:b/>
              </w:rPr>
              <w:t>Mieszanka mineralno-asfaltowa</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2.1</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Uziarnienie</w:t>
            </w:r>
          </w:p>
        </w:tc>
        <w:tc>
          <w:tcPr>
            <w:tcW w:w="2657" w:type="dxa"/>
            <w:vMerge w:val="restart"/>
            <w:vAlign w:val="center"/>
          </w:tcPr>
          <w:p w:rsidR="0051730D" w:rsidRPr="009040B8" w:rsidRDefault="0051730D" w:rsidP="0051730D">
            <w:pPr>
              <w:ind w:left="-38" w:right="-57"/>
              <w:jc w:val="center"/>
              <w:rPr>
                <w:rFonts w:ascii="Verdana" w:hAnsi="Verdana" w:cs="Arial"/>
              </w:rPr>
            </w:pPr>
            <w:r w:rsidRPr="009040B8">
              <w:rPr>
                <w:rFonts w:ascii="Verdana" w:hAnsi="Verdana" w:cs="Arial"/>
              </w:rPr>
              <w:t xml:space="preserve">Jedno badanie na zadaniu i/lub na każde rozpoczęte </w:t>
            </w:r>
            <w:r w:rsidRPr="009040B8">
              <w:rPr>
                <w:rFonts w:ascii="Verdana" w:hAnsi="Verdana" w:cs="Arial"/>
              </w:rPr>
              <w:br/>
              <w:t>1</w:t>
            </w:r>
            <w:r>
              <w:rPr>
                <w:rFonts w:ascii="Verdana" w:hAnsi="Verdana" w:cs="Arial"/>
              </w:rPr>
              <w:t>5</w:t>
            </w:r>
            <w:r w:rsidRPr="009040B8">
              <w:rPr>
                <w:rFonts w:ascii="Verdana" w:hAnsi="Verdana" w:cs="Arial"/>
              </w:rPr>
              <w:t xml:space="preserve"> 000 m</w:t>
            </w:r>
            <w:r w:rsidRPr="009040B8">
              <w:rPr>
                <w:rFonts w:ascii="Verdana" w:hAnsi="Verdana" w:cs="Arial"/>
                <w:vertAlign w:val="superscript"/>
              </w:rPr>
              <w:t>2</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2.2</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Zawartość lepiszcza</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2.3</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 xml:space="preserve">Gęstość i zawartość wolnych przestrzeni w próbce </w:t>
            </w:r>
            <w:proofErr w:type="spellStart"/>
            <w:r w:rsidRPr="009040B8">
              <w:rPr>
                <w:rFonts w:ascii="Verdana" w:hAnsi="Verdana" w:cs="Arial"/>
              </w:rPr>
              <w:t>Marshall’a</w:t>
            </w:r>
            <w:proofErr w:type="spellEnd"/>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2.4</w:t>
            </w:r>
          </w:p>
        </w:tc>
        <w:tc>
          <w:tcPr>
            <w:tcW w:w="5731" w:type="dxa"/>
            <w:vAlign w:val="center"/>
          </w:tcPr>
          <w:p w:rsidR="0051730D" w:rsidRPr="009040B8" w:rsidRDefault="0051730D" w:rsidP="0051730D">
            <w:pPr>
              <w:rPr>
                <w:rFonts w:ascii="Verdana" w:hAnsi="Verdana" w:cs="Arial"/>
                <w:strike/>
              </w:rPr>
            </w:pPr>
            <w:r w:rsidRPr="009040B8">
              <w:rPr>
                <w:rFonts w:ascii="Verdana" w:hAnsi="Verdana" w:cs="Arial"/>
              </w:rPr>
              <w:t>Właściwości lepiszcza</w:t>
            </w:r>
          </w:p>
        </w:tc>
        <w:tc>
          <w:tcPr>
            <w:tcW w:w="2657" w:type="dxa"/>
            <w:vMerge w:val="restart"/>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Wg potrzeb na polecenie Inspektora Nadzoru</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2.5</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Właściwości kruszyw</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2.6</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Właściwości wypełniacza</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2.7</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Właściwości pyłów z odpylania (w przypadku stosowania)</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2.8</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Ocena wizualna mieszanki mineralno-asfaltowej</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2.9</w:t>
            </w:r>
          </w:p>
        </w:tc>
        <w:tc>
          <w:tcPr>
            <w:tcW w:w="5731" w:type="dxa"/>
            <w:vAlign w:val="center"/>
          </w:tcPr>
          <w:p w:rsidR="0051730D" w:rsidRPr="009040B8" w:rsidRDefault="0051730D" w:rsidP="0051730D">
            <w:pPr>
              <w:rPr>
                <w:rFonts w:ascii="Verdana" w:hAnsi="Verdana" w:cs="Arial"/>
                <w:b/>
              </w:rPr>
            </w:pPr>
            <w:r w:rsidRPr="009040B8">
              <w:rPr>
                <w:rFonts w:ascii="Verdana" w:hAnsi="Verdana" w:cs="Arial"/>
              </w:rPr>
              <w:t>Pomiar temperatury MMA podczas wykonywania nawierzchni (wg PN-EN 12697-13 [36] oraz pomiar powierzchniowy z wykorzystaniem kamery termowizyjnej)</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2.10</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Odporność na działanie wody i mrozu (ITSR)</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b/>
              </w:rPr>
            </w:pPr>
            <w:r w:rsidRPr="009040B8">
              <w:rPr>
                <w:rFonts w:ascii="Verdana" w:hAnsi="Verdana" w:cs="Arial"/>
                <w:b/>
              </w:rPr>
              <w:t>3</w:t>
            </w:r>
          </w:p>
        </w:tc>
        <w:tc>
          <w:tcPr>
            <w:tcW w:w="8388" w:type="dxa"/>
            <w:gridSpan w:val="2"/>
            <w:vAlign w:val="center"/>
          </w:tcPr>
          <w:p w:rsidR="0051730D" w:rsidRPr="009040B8" w:rsidRDefault="0051730D" w:rsidP="0051730D">
            <w:pPr>
              <w:spacing w:before="40" w:after="40"/>
              <w:rPr>
                <w:rFonts w:ascii="Verdana" w:hAnsi="Verdana" w:cs="Arial"/>
              </w:rPr>
            </w:pPr>
            <w:r w:rsidRPr="009040B8">
              <w:rPr>
                <w:rFonts w:ascii="Verdana" w:hAnsi="Verdana" w:cs="Arial"/>
                <w:b/>
              </w:rPr>
              <w:t>Warstwa asfaltowa</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3.1</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Ocena wizualna jednorodności powierzchni warstwy</w:t>
            </w:r>
          </w:p>
        </w:tc>
        <w:tc>
          <w:tcPr>
            <w:tcW w:w="2657" w:type="dxa"/>
            <w:vMerge w:val="restart"/>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Wg potrzeb na polecenie Inspektora Nadzoru</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3.2</w:t>
            </w:r>
          </w:p>
        </w:tc>
        <w:tc>
          <w:tcPr>
            <w:tcW w:w="5731" w:type="dxa"/>
            <w:vAlign w:val="center"/>
          </w:tcPr>
          <w:p w:rsidR="0051730D" w:rsidRPr="009040B8" w:rsidRDefault="0051730D" w:rsidP="0051730D">
            <w:pPr>
              <w:overflowPunct w:val="0"/>
              <w:autoSpaceDE w:val="0"/>
              <w:autoSpaceDN w:val="0"/>
              <w:adjustRightInd w:val="0"/>
              <w:ind w:right="-108"/>
              <w:jc w:val="both"/>
              <w:textAlignment w:val="baseline"/>
              <w:rPr>
                <w:rFonts w:ascii="Verdana" w:hAnsi="Verdana" w:cs="Arial"/>
              </w:rPr>
            </w:pPr>
            <w:r w:rsidRPr="009040B8">
              <w:rPr>
                <w:rFonts w:ascii="Verdana" w:hAnsi="Verdana" w:cs="Arial"/>
              </w:rPr>
              <w:t>Ocena wizualna jakości wykonania połączeń technologicznych.</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3.3</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Wskaźnik zagęszczenia</w:t>
            </w:r>
          </w:p>
        </w:tc>
        <w:tc>
          <w:tcPr>
            <w:tcW w:w="2657" w:type="dxa"/>
            <w:vMerge w:val="restart"/>
            <w:vAlign w:val="center"/>
          </w:tcPr>
          <w:p w:rsidR="0051730D" w:rsidRPr="009040B8" w:rsidRDefault="0051730D" w:rsidP="0051730D">
            <w:pPr>
              <w:ind w:left="-38" w:right="-57"/>
              <w:jc w:val="center"/>
              <w:rPr>
                <w:rFonts w:ascii="Verdana" w:hAnsi="Verdana" w:cs="Arial"/>
              </w:rPr>
            </w:pPr>
            <w:r w:rsidRPr="009040B8">
              <w:rPr>
                <w:rFonts w:ascii="Verdana" w:hAnsi="Verdana" w:cs="Arial"/>
              </w:rPr>
              <w:t xml:space="preserve">Jedno badanie na zadaniu i/lub na każde rozpoczęte </w:t>
            </w:r>
            <w:r w:rsidRPr="009040B8">
              <w:rPr>
                <w:rFonts w:ascii="Verdana" w:hAnsi="Verdana" w:cs="Arial"/>
              </w:rPr>
              <w:br/>
              <w:t>1</w:t>
            </w:r>
            <w:r>
              <w:rPr>
                <w:rFonts w:ascii="Verdana" w:hAnsi="Verdana" w:cs="Arial"/>
              </w:rPr>
              <w:t>5</w:t>
            </w:r>
            <w:r w:rsidRPr="009040B8">
              <w:rPr>
                <w:rFonts w:ascii="Verdana" w:hAnsi="Verdana" w:cs="Arial"/>
              </w:rPr>
              <w:t xml:space="preserve"> 000 m</w:t>
            </w:r>
            <w:r w:rsidRPr="009040B8">
              <w:rPr>
                <w:rFonts w:ascii="Verdana" w:hAnsi="Verdana" w:cs="Arial"/>
                <w:vertAlign w:val="superscript"/>
              </w:rPr>
              <w:t>2</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3.4</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Grubość warstwy</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3.5</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Zawartość wolnych przestrzeni w warstwie</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3.6</w:t>
            </w:r>
          </w:p>
        </w:tc>
        <w:tc>
          <w:tcPr>
            <w:tcW w:w="5731" w:type="dxa"/>
            <w:vAlign w:val="center"/>
          </w:tcPr>
          <w:p w:rsidR="0051730D" w:rsidRPr="009040B8" w:rsidRDefault="0051730D" w:rsidP="0051730D">
            <w:pPr>
              <w:overflowPunct w:val="0"/>
              <w:autoSpaceDE w:val="0"/>
              <w:autoSpaceDN w:val="0"/>
              <w:adjustRightInd w:val="0"/>
              <w:jc w:val="both"/>
              <w:textAlignment w:val="baseline"/>
              <w:rPr>
                <w:rFonts w:ascii="Verdana" w:hAnsi="Verdana" w:cs="Arial"/>
              </w:rPr>
            </w:pPr>
            <w:r w:rsidRPr="009040B8">
              <w:rPr>
                <w:rFonts w:ascii="Verdana" w:hAnsi="Verdana" w:cs="Arial"/>
              </w:rPr>
              <w:t xml:space="preserve">Połączenia </w:t>
            </w:r>
            <w:proofErr w:type="spellStart"/>
            <w:r w:rsidRPr="009040B8">
              <w:rPr>
                <w:rFonts w:ascii="Verdana" w:hAnsi="Verdana" w:cs="Arial"/>
              </w:rPr>
              <w:t>międzywarstwowe</w:t>
            </w:r>
            <w:proofErr w:type="spellEnd"/>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3.7</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Odporność na deformacje trwałe</w:t>
            </w:r>
          </w:p>
        </w:tc>
        <w:tc>
          <w:tcPr>
            <w:tcW w:w="2657" w:type="dxa"/>
            <w:vMerge w:val="restart"/>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Wg potrzeb na polecenie Inspektora Nadzoru</w:t>
            </w: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3.8</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Spadki poprzeczne</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3.9</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Równość podłużna</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3.10</w:t>
            </w:r>
          </w:p>
        </w:tc>
        <w:tc>
          <w:tcPr>
            <w:tcW w:w="5731" w:type="dxa"/>
            <w:vAlign w:val="center"/>
          </w:tcPr>
          <w:p w:rsidR="0051730D" w:rsidRPr="009040B8" w:rsidRDefault="0051730D" w:rsidP="0051730D">
            <w:pPr>
              <w:rPr>
                <w:rFonts w:ascii="Verdana" w:hAnsi="Verdana" w:cs="Arial"/>
              </w:rPr>
            </w:pPr>
            <w:r w:rsidRPr="009040B8">
              <w:rPr>
                <w:rFonts w:ascii="Verdana" w:hAnsi="Verdana" w:cs="Arial"/>
              </w:rPr>
              <w:t>Równość poprzeczna</w:t>
            </w:r>
          </w:p>
        </w:tc>
        <w:tc>
          <w:tcPr>
            <w:tcW w:w="2657" w:type="dxa"/>
            <w:vMerge/>
            <w:vAlign w:val="center"/>
          </w:tcPr>
          <w:p w:rsidR="0051730D" w:rsidRPr="009040B8" w:rsidRDefault="0051730D" w:rsidP="0051730D">
            <w:pPr>
              <w:spacing w:before="40" w:after="40"/>
              <w:jc w:val="center"/>
              <w:rPr>
                <w:rFonts w:ascii="Verdana" w:hAnsi="Verdana" w:cs="Arial"/>
              </w:rPr>
            </w:pPr>
          </w:p>
        </w:tc>
      </w:tr>
      <w:tr w:rsidR="0051730D" w:rsidRPr="009040B8" w:rsidTr="0051730D">
        <w:tc>
          <w:tcPr>
            <w:tcW w:w="790" w:type="dxa"/>
            <w:vAlign w:val="center"/>
          </w:tcPr>
          <w:p w:rsidR="0051730D" w:rsidRPr="009040B8" w:rsidRDefault="0051730D" w:rsidP="0051730D">
            <w:pPr>
              <w:spacing w:before="40" w:after="40"/>
              <w:jc w:val="center"/>
              <w:rPr>
                <w:rFonts w:ascii="Verdana" w:hAnsi="Verdana" w:cs="Arial"/>
              </w:rPr>
            </w:pPr>
            <w:r w:rsidRPr="009040B8">
              <w:rPr>
                <w:rFonts w:ascii="Verdana" w:hAnsi="Verdana" w:cs="Arial"/>
              </w:rPr>
              <w:t>3.11</w:t>
            </w:r>
          </w:p>
        </w:tc>
        <w:tc>
          <w:tcPr>
            <w:tcW w:w="5731" w:type="dxa"/>
            <w:vAlign w:val="center"/>
          </w:tcPr>
          <w:p w:rsidR="0051730D" w:rsidRPr="009040B8" w:rsidRDefault="0051730D" w:rsidP="0051730D">
            <w:pPr>
              <w:overflowPunct w:val="0"/>
              <w:autoSpaceDE w:val="0"/>
              <w:autoSpaceDN w:val="0"/>
              <w:adjustRightInd w:val="0"/>
              <w:jc w:val="both"/>
              <w:textAlignment w:val="baseline"/>
              <w:rPr>
                <w:rFonts w:ascii="Verdana" w:hAnsi="Verdana" w:cs="Arial"/>
              </w:rPr>
            </w:pPr>
            <w:r w:rsidRPr="009040B8">
              <w:rPr>
                <w:rFonts w:ascii="Verdana" w:hAnsi="Verdana" w:cs="Arial"/>
              </w:rPr>
              <w:t>Szerokość warstwy i rzędne wysokościowe</w:t>
            </w:r>
          </w:p>
        </w:tc>
        <w:tc>
          <w:tcPr>
            <w:tcW w:w="2657" w:type="dxa"/>
            <w:vMerge/>
            <w:vAlign w:val="center"/>
          </w:tcPr>
          <w:p w:rsidR="0051730D" w:rsidRPr="009040B8" w:rsidRDefault="0051730D" w:rsidP="0051730D">
            <w:pPr>
              <w:spacing w:before="40" w:after="40"/>
              <w:jc w:val="center"/>
              <w:rPr>
                <w:rFonts w:ascii="Verdana" w:hAnsi="Verdana" w:cs="Arial"/>
              </w:rPr>
            </w:pPr>
          </w:p>
        </w:tc>
      </w:tr>
    </w:tbl>
    <w:p w:rsidR="0051730D" w:rsidRPr="009040B8" w:rsidRDefault="0051730D" w:rsidP="0051730D">
      <w:pPr>
        <w:rPr>
          <w:rFonts w:ascii="Verdana" w:hAnsi="Verdana" w:cs="Arial"/>
          <w:b/>
        </w:rPr>
      </w:pPr>
    </w:p>
    <w:p w:rsidR="0051730D" w:rsidRPr="009040B8" w:rsidRDefault="0051730D" w:rsidP="0051730D">
      <w:pPr>
        <w:jc w:val="both"/>
        <w:rPr>
          <w:rFonts w:ascii="Verdana" w:hAnsi="Verdana" w:cs="Arial"/>
        </w:rPr>
      </w:pPr>
      <w:r w:rsidRPr="009040B8">
        <w:rPr>
          <w:rFonts w:ascii="Verdana" w:hAnsi="Verdana" w:cs="Arial"/>
          <w:b/>
        </w:rPr>
        <w:t>6.3.4. Badania kontrolne dodatkowe</w:t>
      </w:r>
      <w:r w:rsidRPr="009040B8">
        <w:rPr>
          <w:rFonts w:ascii="Verdana" w:hAnsi="Verdana" w:cs="Arial"/>
        </w:rPr>
        <w:t xml:space="preserve">  </w:t>
      </w:r>
    </w:p>
    <w:p w:rsidR="0051730D" w:rsidRPr="009040B8" w:rsidRDefault="0051730D" w:rsidP="0051730D">
      <w:pPr>
        <w:jc w:val="both"/>
        <w:rPr>
          <w:rFonts w:ascii="Verdana" w:hAnsi="Verdana" w:cs="Arial"/>
        </w:rPr>
      </w:pPr>
      <w:r w:rsidRPr="009040B8">
        <w:rPr>
          <w:rFonts w:ascii="Verdana" w:hAnsi="Verdana" w:cs="Arial"/>
        </w:rPr>
        <w:t>W wypadku uznania, że jeden z wyników badań kontrolnych nie jest reprezentatywny dla ocenianego odcinka budowy, Wykonawca ma prawo żądać przeprowadzenia badań kontrolnych dodatkowych.</w:t>
      </w:r>
    </w:p>
    <w:p w:rsidR="0051730D" w:rsidRPr="009040B8" w:rsidRDefault="0051730D" w:rsidP="0051730D">
      <w:pPr>
        <w:jc w:val="both"/>
        <w:rPr>
          <w:rFonts w:ascii="Verdana" w:hAnsi="Verdana" w:cs="Arial"/>
        </w:rPr>
      </w:pPr>
      <w:r w:rsidRPr="009040B8">
        <w:rPr>
          <w:rFonts w:ascii="Verdana" w:hAnsi="Verdana" w:cs="Arial"/>
        </w:rPr>
        <w:t>Przedstawiciel Zamawiającego/Inspektor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51730D" w:rsidRPr="009040B8" w:rsidRDefault="0051730D" w:rsidP="0051730D">
      <w:pPr>
        <w:jc w:val="both"/>
        <w:rPr>
          <w:rFonts w:ascii="Verdana" w:hAnsi="Verdana" w:cs="Arial"/>
        </w:rPr>
      </w:pPr>
      <w:r w:rsidRPr="009040B8">
        <w:rPr>
          <w:rFonts w:ascii="Verdana" w:hAnsi="Verdana" w:cs="Arial"/>
        </w:rPr>
        <w:t>Do odbioru uwzględniane są wyniki badań kontrolnych i badań kontrolnych dodatkowych do wyznaczonych odcinków częściowych.</w:t>
      </w:r>
    </w:p>
    <w:p w:rsidR="0051730D" w:rsidRPr="009040B8" w:rsidRDefault="0051730D" w:rsidP="0051730D">
      <w:pPr>
        <w:jc w:val="both"/>
        <w:rPr>
          <w:rFonts w:ascii="Verdana" w:hAnsi="Verdana" w:cs="Arial"/>
        </w:rPr>
      </w:pPr>
      <w:r w:rsidRPr="009040B8">
        <w:rPr>
          <w:rFonts w:ascii="Verdana" w:hAnsi="Verdana" w:cs="Arial"/>
        </w:rPr>
        <w:t>Koszty badań kontrolnych dodatkowych zażądanych przez Wykonawcę ponosi Wykonawca.</w:t>
      </w:r>
    </w:p>
    <w:p w:rsidR="0051730D" w:rsidRPr="009040B8" w:rsidRDefault="0051730D" w:rsidP="0051730D">
      <w:pPr>
        <w:spacing w:before="120"/>
        <w:rPr>
          <w:rFonts w:ascii="Verdana" w:hAnsi="Verdana" w:cs="Arial"/>
          <w:b/>
        </w:rPr>
      </w:pPr>
      <w:r w:rsidRPr="009040B8">
        <w:rPr>
          <w:rFonts w:ascii="Verdana" w:hAnsi="Verdana" w:cs="Arial"/>
          <w:b/>
        </w:rPr>
        <w:t>6.3.5. Badania arbitrażowe</w:t>
      </w:r>
    </w:p>
    <w:p w:rsidR="0051730D" w:rsidRPr="009040B8" w:rsidRDefault="0051730D" w:rsidP="0051730D">
      <w:pPr>
        <w:spacing w:before="120"/>
        <w:jc w:val="both"/>
        <w:rPr>
          <w:rFonts w:ascii="Verdana" w:hAnsi="Verdana" w:cs="Arial"/>
        </w:rPr>
      </w:pPr>
      <w:r w:rsidRPr="009040B8">
        <w:rPr>
          <w:rFonts w:ascii="Verdana" w:hAnsi="Verdana" w:cs="Arial"/>
        </w:rPr>
        <w:lastRenderedPageBreak/>
        <w:t>Badania arbitrażowe są powtórzeniem badań kontrolnych, co do których istnieją uzasadnione wątpliwości ze strony Przedstawiciela Zamawiającego/Inspektora Nadzoru lub Wykonawcy (np. na podstawie własnych badań). Badania arbitrażowe wykonuje na wniosek strony kontraktu niezależne, akredytowane laboratorium, które nie wykonywało badań kontrolnych.</w:t>
      </w:r>
    </w:p>
    <w:p w:rsidR="0051730D" w:rsidRPr="009040B8" w:rsidRDefault="0051730D" w:rsidP="0051730D">
      <w:pPr>
        <w:spacing w:before="120"/>
        <w:jc w:val="both"/>
        <w:rPr>
          <w:rFonts w:ascii="Verdana" w:hAnsi="Verdana" w:cs="Arial"/>
        </w:rPr>
      </w:pPr>
      <w:r w:rsidRPr="009040B8">
        <w:rPr>
          <w:rFonts w:ascii="Verdana" w:hAnsi="Verdana" w:cs="Arial"/>
        </w:rPr>
        <w:t xml:space="preserve">Koszty badań arbitrażowych wraz ze wszystkimi kosztami ubocznymi ponosi Wykonawca. </w:t>
      </w:r>
    </w:p>
    <w:p w:rsidR="0051730D" w:rsidRPr="009040B8" w:rsidRDefault="0051730D" w:rsidP="0051730D">
      <w:pPr>
        <w:jc w:val="both"/>
        <w:rPr>
          <w:rFonts w:ascii="Verdana" w:hAnsi="Verdana" w:cs="Arial"/>
        </w:rPr>
      </w:pPr>
      <w:r w:rsidRPr="009040B8">
        <w:rPr>
          <w:rFonts w:ascii="Verdana" w:hAnsi="Verdana" w:cs="Arial"/>
        </w:rPr>
        <w:t>Wniosek o przeprowadzenie badań arbitrażowych dotyczących zawartości wolnych przestrzeni lub wskaźnika zagęszczenia należy złożyć w ciągu 1 miesiąca od wpływu reklamacji ze strony Zamawiającego.</w:t>
      </w:r>
    </w:p>
    <w:p w:rsidR="0051730D" w:rsidRPr="009040B8" w:rsidRDefault="0051730D" w:rsidP="0051730D">
      <w:pPr>
        <w:jc w:val="both"/>
        <w:rPr>
          <w:rFonts w:ascii="Verdana" w:hAnsi="Verdana" w:cs="Arial"/>
        </w:rPr>
      </w:pPr>
    </w:p>
    <w:p w:rsidR="0051730D" w:rsidRPr="009040B8" w:rsidRDefault="0051730D" w:rsidP="0051730D">
      <w:pPr>
        <w:rPr>
          <w:rFonts w:ascii="Verdana" w:hAnsi="Verdana" w:cs="Arial"/>
          <w:b/>
        </w:rPr>
      </w:pPr>
      <w:r w:rsidRPr="009040B8">
        <w:rPr>
          <w:rFonts w:ascii="Verdana" w:hAnsi="Verdana" w:cs="Arial"/>
          <w:b/>
        </w:rPr>
        <w:t>6.4. Właściwości i dopuszczalne odchyłki mieszanki mineralno-asfaltowej oraz wykonanej warstwy.</w:t>
      </w:r>
    </w:p>
    <w:p w:rsidR="0051730D" w:rsidRPr="009040B8" w:rsidRDefault="0051730D" w:rsidP="0051730D">
      <w:pPr>
        <w:rPr>
          <w:rFonts w:ascii="Verdana" w:hAnsi="Verdana" w:cs="Arial"/>
          <w:b/>
        </w:rPr>
      </w:pPr>
    </w:p>
    <w:p w:rsidR="0051730D" w:rsidRPr="009040B8" w:rsidRDefault="0051730D" w:rsidP="0051730D">
      <w:pPr>
        <w:spacing w:after="120"/>
        <w:jc w:val="both"/>
        <w:rPr>
          <w:rFonts w:ascii="Verdana" w:hAnsi="Verdana" w:cs="Arial"/>
          <w:b/>
        </w:rPr>
      </w:pPr>
      <w:r w:rsidRPr="009040B8">
        <w:rPr>
          <w:rFonts w:ascii="Verdana" w:hAnsi="Verdana" w:cs="Arial"/>
          <w:b/>
        </w:rPr>
        <w:t xml:space="preserve">6.4.1. Mieszanka mineralno-asfaltowa </w:t>
      </w:r>
    </w:p>
    <w:p w:rsidR="0051730D" w:rsidRDefault="0051730D" w:rsidP="0051730D">
      <w:pPr>
        <w:jc w:val="both"/>
        <w:rPr>
          <w:rFonts w:ascii="Verdana" w:hAnsi="Verdana" w:cs="Arial"/>
        </w:rPr>
      </w:pPr>
      <w:r w:rsidRPr="009040B8">
        <w:rPr>
          <w:rFonts w:ascii="Verdana" w:hAnsi="Verdana" w:cs="Arial"/>
        </w:rPr>
        <w:t>Właściwości materiałów należy oceniać na podstawie badań pobranych próbek mieszanki mineralno-asfaltowej przed wbudowaniem (wbudowanie oznacza wykonanie warstwy asfaltowej). Wyjątkowo dopuszcza się badania próbek pobranych z wykonanej warstwy asfaltowej.</w:t>
      </w:r>
      <w:r w:rsidRPr="009040B8">
        <w:rPr>
          <w:rFonts w:ascii="Verdana" w:hAnsi="Verdana" w:cs="Arial"/>
          <w:b/>
        </w:rPr>
        <w:t xml:space="preserve">                                                                                                                   </w:t>
      </w:r>
      <w:r w:rsidRPr="009040B8">
        <w:rPr>
          <w:rFonts w:ascii="Verdana" w:hAnsi="Verdana" w:cs="Aria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51730D" w:rsidRDefault="0051730D" w:rsidP="0051730D">
      <w:pPr>
        <w:ind w:left="1418" w:hanging="1418"/>
        <w:jc w:val="both"/>
        <w:rPr>
          <w:rFonts w:ascii="Verdana" w:hAnsi="Verdana" w:cs="Arial"/>
        </w:rPr>
      </w:pPr>
    </w:p>
    <w:p w:rsidR="0051730D" w:rsidRPr="009040B8" w:rsidRDefault="0051730D" w:rsidP="0051730D">
      <w:pPr>
        <w:ind w:left="1418" w:hanging="1418"/>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7</w:t>
      </w:r>
      <w:r w:rsidRPr="009040B8">
        <w:rPr>
          <w:rFonts w:ascii="Verdana" w:hAnsi="Verdana" w:cs="Arial"/>
        </w:rPr>
        <w:t xml:space="preserve">. Dopuszczalne odchyłki dotyczące zawartości </w:t>
      </w:r>
      <w:r>
        <w:rPr>
          <w:rFonts w:ascii="Verdana" w:hAnsi="Verdana" w:cs="Arial"/>
        </w:rPr>
        <w:t>asfaltu</w:t>
      </w:r>
      <w:r w:rsidRPr="009040B8">
        <w:rPr>
          <w:rFonts w:ascii="Verdana" w:hAnsi="Verdana" w:cs="Arial"/>
        </w:rPr>
        <w:t xml:space="preserve"> rozpuszczalnego, [%(m/m)]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2313"/>
        <w:gridCol w:w="2330"/>
        <w:gridCol w:w="2302"/>
      </w:tblGrid>
      <w:tr w:rsidR="0051730D" w:rsidRPr="009040B8" w:rsidTr="0051730D">
        <w:trPr>
          <w:trHeight w:val="340"/>
        </w:trPr>
        <w:tc>
          <w:tcPr>
            <w:tcW w:w="2445" w:type="dxa"/>
            <w:vMerge w:val="restart"/>
            <w:vAlign w:val="center"/>
          </w:tcPr>
          <w:p w:rsidR="0051730D" w:rsidRPr="009040B8" w:rsidRDefault="0051730D" w:rsidP="0051730D">
            <w:pPr>
              <w:jc w:val="center"/>
              <w:rPr>
                <w:rFonts w:ascii="Verdana" w:hAnsi="Verdana" w:cs="Arial"/>
              </w:rPr>
            </w:pPr>
            <w:r w:rsidRPr="009040B8">
              <w:rPr>
                <w:rFonts w:ascii="Verdana" w:hAnsi="Verdana" w:cs="Arial"/>
              </w:rPr>
              <w:t>Rodzaj mieszanki</w:t>
            </w:r>
          </w:p>
        </w:tc>
        <w:tc>
          <w:tcPr>
            <w:tcW w:w="7336" w:type="dxa"/>
            <w:gridSpan w:val="3"/>
            <w:vAlign w:val="center"/>
          </w:tcPr>
          <w:p w:rsidR="0051730D" w:rsidRPr="009040B8" w:rsidRDefault="0051730D" w:rsidP="0051730D">
            <w:pPr>
              <w:jc w:val="center"/>
              <w:rPr>
                <w:rFonts w:ascii="Verdana" w:hAnsi="Verdana" w:cs="Arial"/>
              </w:rPr>
            </w:pPr>
            <w:r w:rsidRPr="009040B8">
              <w:rPr>
                <w:rFonts w:ascii="Verdana" w:hAnsi="Verdana" w:cs="Arial"/>
              </w:rPr>
              <w:t>Odchyłki od wartości projektowanej</w:t>
            </w:r>
          </w:p>
        </w:tc>
      </w:tr>
      <w:tr w:rsidR="0051730D" w:rsidRPr="009040B8" w:rsidTr="0051730D">
        <w:trPr>
          <w:trHeight w:val="340"/>
        </w:trPr>
        <w:tc>
          <w:tcPr>
            <w:tcW w:w="2445" w:type="dxa"/>
            <w:vMerge/>
            <w:vAlign w:val="center"/>
          </w:tcPr>
          <w:p w:rsidR="0051730D" w:rsidRPr="009040B8" w:rsidRDefault="0051730D" w:rsidP="0051730D">
            <w:pPr>
              <w:jc w:val="center"/>
              <w:rPr>
                <w:rFonts w:ascii="Verdana" w:hAnsi="Verdana" w:cs="Arial"/>
              </w:rPr>
            </w:pPr>
          </w:p>
        </w:tc>
        <w:tc>
          <w:tcPr>
            <w:tcW w:w="2445" w:type="dxa"/>
            <w:vAlign w:val="center"/>
          </w:tcPr>
          <w:p w:rsidR="0051730D" w:rsidRPr="009040B8" w:rsidRDefault="0051730D" w:rsidP="0051730D">
            <w:pPr>
              <w:jc w:val="center"/>
              <w:rPr>
                <w:rFonts w:ascii="Verdana" w:hAnsi="Verdana" w:cs="Arial"/>
              </w:rPr>
            </w:pPr>
            <w:r w:rsidRPr="009040B8">
              <w:rPr>
                <w:rFonts w:ascii="Verdana" w:hAnsi="Verdana" w:cs="Arial"/>
              </w:rPr>
              <w:t>Bez potrąceń</w:t>
            </w:r>
          </w:p>
        </w:tc>
        <w:tc>
          <w:tcPr>
            <w:tcW w:w="2445" w:type="dxa"/>
            <w:vAlign w:val="center"/>
          </w:tcPr>
          <w:p w:rsidR="0051730D" w:rsidRPr="009040B8" w:rsidRDefault="0051730D" w:rsidP="0051730D">
            <w:pPr>
              <w:jc w:val="center"/>
              <w:rPr>
                <w:rFonts w:ascii="Verdana" w:hAnsi="Verdana" w:cs="Arial"/>
              </w:rPr>
            </w:pPr>
            <w:r w:rsidRPr="009040B8">
              <w:rPr>
                <w:rFonts w:ascii="Verdana" w:hAnsi="Verdana" w:cs="Arial"/>
              </w:rPr>
              <w:t>Stosuje się potrącenia</w:t>
            </w:r>
          </w:p>
        </w:tc>
        <w:tc>
          <w:tcPr>
            <w:tcW w:w="2446" w:type="dxa"/>
            <w:vAlign w:val="center"/>
          </w:tcPr>
          <w:p w:rsidR="0051730D" w:rsidRPr="009040B8" w:rsidRDefault="0051730D" w:rsidP="0051730D">
            <w:pPr>
              <w:jc w:val="center"/>
              <w:rPr>
                <w:rFonts w:ascii="Verdana" w:hAnsi="Verdana" w:cs="Arial"/>
              </w:rPr>
            </w:pPr>
            <w:r w:rsidRPr="009040B8">
              <w:rPr>
                <w:rFonts w:ascii="Verdana" w:hAnsi="Verdana" w:cs="Arial"/>
              </w:rPr>
              <w:t>Nie do odbioru</w:t>
            </w:r>
          </w:p>
        </w:tc>
      </w:tr>
      <w:tr w:rsidR="0051730D" w:rsidRPr="009040B8" w:rsidTr="0051730D">
        <w:trPr>
          <w:trHeight w:val="340"/>
        </w:trPr>
        <w:tc>
          <w:tcPr>
            <w:tcW w:w="2445" w:type="dxa"/>
            <w:vAlign w:val="center"/>
          </w:tcPr>
          <w:p w:rsidR="0051730D" w:rsidRPr="009040B8" w:rsidRDefault="0051730D" w:rsidP="0051730D">
            <w:pPr>
              <w:jc w:val="center"/>
              <w:rPr>
                <w:rFonts w:ascii="Verdana" w:hAnsi="Verdana" w:cs="Arial"/>
              </w:rPr>
            </w:pPr>
            <w:r w:rsidRPr="009040B8">
              <w:rPr>
                <w:rFonts w:ascii="Verdana" w:hAnsi="Verdana" w:cs="Arial"/>
              </w:rPr>
              <w:t xml:space="preserve">AC </w:t>
            </w:r>
            <w:r>
              <w:rPr>
                <w:rFonts w:ascii="Verdana" w:hAnsi="Verdana" w:cs="Arial"/>
              </w:rPr>
              <w:t>P</w:t>
            </w:r>
          </w:p>
        </w:tc>
        <w:tc>
          <w:tcPr>
            <w:tcW w:w="2445" w:type="dxa"/>
            <w:vAlign w:val="center"/>
          </w:tcPr>
          <w:p w:rsidR="0051730D" w:rsidRPr="009040B8" w:rsidRDefault="0051730D" w:rsidP="0051730D">
            <w:pPr>
              <w:jc w:val="center"/>
              <w:rPr>
                <w:rFonts w:ascii="Verdana" w:hAnsi="Verdana" w:cs="Arial"/>
              </w:rPr>
            </w:pPr>
            <w:r w:rsidRPr="009040B8">
              <w:rPr>
                <w:rFonts w:ascii="Verdana" w:hAnsi="Verdana" w:cs="Arial"/>
              </w:rPr>
              <w:t>≤ ±0,3</w:t>
            </w:r>
          </w:p>
        </w:tc>
        <w:tc>
          <w:tcPr>
            <w:tcW w:w="2445" w:type="dxa"/>
            <w:vAlign w:val="center"/>
          </w:tcPr>
          <w:p w:rsidR="0051730D" w:rsidRPr="009040B8" w:rsidRDefault="0051730D" w:rsidP="0051730D">
            <w:pPr>
              <w:jc w:val="center"/>
              <w:rPr>
                <w:rFonts w:ascii="Verdana" w:hAnsi="Verdana" w:cs="Arial"/>
              </w:rPr>
            </w:pPr>
            <w:r w:rsidRPr="009040B8">
              <w:rPr>
                <w:rFonts w:ascii="Verdana" w:hAnsi="Verdana" w:cs="Arial"/>
              </w:rPr>
              <w:t>±0,4 ÷ ±0,5</w:t>
            </w:r>
          </w:p>
        </w:tc>
        <w:tc>
          <w:tcPr>
            <w:tcW w:w="2446" w:type="dxa"/>
            <w:vAlign w:val="center"/>
          </w:tcPr>
          <w:p w:rsidR="0051730D" w:rsidRPr="009040B8" w:rsidRDefault="0051730D" w:rsidP="0051730D">
            <w:pPr>
              <w:jc w:val="center"/>
              <w:rPr>
                <w:rFonts w:ascii="Verdana" w:hAnsi="Verdana" w:cs="Arial"/>
              </w:rPr>
            </w:pPr>
            <w:r w:rsidRPr="009040B8">
              <w:rPr>
                <w:rFonts w:ascii="Verdana" w:hAnsi="Verdana" w:cs="Arial"/>
              </w:rPr>
              <w:t>≥ ±0,6</w:t>
            </w:r>
          </w:p>
        </w:tc>
      </w:tr>
    </w:tbl>
    <w:p w:rsidR="0051730D" w:rsidRPr="009040B8" w:rsidRDefault="0051730D" w:rsidP="0051730D">
      <w:pPr>
        <w:spacing w:after="120"/>
        <w:jc w:val="both"/>
        <w:rPr>
          <w:rFonts w:ascii="Verdana" w:hAnsi="Verdana" w:cs="Arial"/>
        </w:rPr>
      </w:pPr>
    </w:p>
    <w:p w:rsidR="0051730D" w:rsidRPr="009040B8" w:rsidRDefault="0051730D" w:rsidP="0051730D">
      <w:pPr>
        <w:ind w:left="1418" w:hanging="1418"/>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w:t>
      </w:r>
      <w:r>
        <w:rPr>
          <w:rFonts w:ascii="Verdana" w:hAnsi="Verdana" w:cs="Arial"/>
        </w:rPr>
        <w:t>18</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&lt; 0,063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51730D" w:rsidRPr="009040B8" w:rsidTr="0051730D">
        <w:trPr>
          <w:trHeight w:val="340"/>
        </w:trPr>
        <w:tc>
          <w:tcPr>
            <w:tcW w:w="2552" w:type="dxa"/>
            <w:vMerge w:val="restart"/>
            <w:vAlign w:val="center"/>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Rodzaj mieszanki</w:t>
            </w:r>
          </w:p>
          <w:p w:rsidR="0051730D" w:rsidRPr="009040B8" w:rsidRDefault="0051730D" w:rsidP="0051730D">
            <w:pPr>
              <w:jc w:val="center"/>
              <w:rPr>
                <w:rFonts w:ascii="Verdana" w:hAnsi="Verdana" w:cs="Arial"/>
              </w:rPr>
            </w:pPr>
          </w:p>
        </w:tc>
        <w:tc>
          <w:tcPr>
            <w:tcW w:w="7229"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Odchyłka od wartości projektowanej</w:t>
            </w:r>
          </w:p>
        </w:tc>
      </w:tr>
      <w:tr w:rsidR="0051730D" w:rsidRPr="009040B8" w:rsidTr="0051730D">
        <w:trPr>
          <w:trHeight w:val="340"/>
        </w:trPr>
        <w:tc>
          <w:tcPr>
            <w:tcW w:w="2552" w:type="dxa"/>
            <w:vMerge/>
            <w:vAlign w:val="center"/>
          </w:tcPr>
          <w:p w:rsidR="0051730D" w:rsidRPr="009040B8" w:rsidRDefault="0051730D" w:rsidP="0051730D">
            <w:pPr>
              <w:jc w:val="center"/>
              <w:rPr>
                <w:rFonts w:ascii="Verdana" w:hAnsi="Verdana" w:cs="Arial"/>
              </w:rPr>
            </w:pP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Bez potrąceń</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Stosuje się potrącenia</w:t>
            </w:r>
          </w:p>
        </w:tc>
      </w:tr>
      <w:tr w:rsidR="0051730D" w:rsidRPr="009040B8" w:rsidTr="0051730D">
        <w:trPr>
          <w:trHeight w:val="340"/>
        </w:trPr>
        <w:tc>
          <w:tcPr>
            <w:tcW w:w="2552" w:type="dxa"/>
            <w:vAlign w:val="center"/>
          </w:tcPr>
          <w:p w:rsidR="0051730D" w:rsidRPr="009040B8" w:rsidRDefault="0051730D" w:rsidP="0051730D">
            <w:pPr>
              <w:jc w:val="center"/>
              <w:rPr>
                <w:rFonts w:ascii="Verdana" w:hAnsi="Verdana" w:cs="Arial"/>
              </w:rPr>
            </w:pPr>
            <w:r w:rsidRPr="009040B8">
              <w:rPr>
                <w:rFonts w:ascii="Verdana" w:hAnsi="Verdana" w:cs="Arial"/>
              </w:rPr>
              <w:t xml:space="preserve">AC </w:t>
            </w:r>
            <w:r>
              <w:rPr>
                <w:rFonts w:ascii="Verdana" w:hAnsi="Verdana" w:cs="Arial"/>
              </w:rPr>
              <w:t>P</w:t>
            </w: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 ±1,5</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±1,6 ÷ ±3,0</w:t>
            </w:r>
          </w:p>
        </w:tc>
      </w:tr>
    </w:tbl>
    <w:p w:rsidR="0051730D" w:rsidRPr="009040B8" w:rsidRDefault="0051730D" w:rsidP="0051730D">
      <w:pPr>
        <w:jc w:val="both"/>
        <w:rPr>
          <w:rFonts w:ascii="Verdana" w:hAnsi="Verdana" w:cs="Arial"/>
        </w:rPr>
      </w:pPr>
    </w:p>
    <w:p w:rsidR="0051730D" w:rsidRPr="009040B8" w:rsidRDefault="0051730D" w:rsidP="0051730D">
      <w:pPr>
        <w:ind w:left="1276" w:hanging="1276"/>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w:t>
      </w:r>
      <w:r>
        <w:rPr>
          <w:rFonts w:ascii="Verdana" w:hAnsi="Verdana" w:cs="Arial"/>
        </w:rPr>
        <w:t>19</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&lt; 0,125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51730D" w:rsidRPr="009040B8" w:rsidTr="0051730D">
        <w:trPr>
          <w:trHeight w:val="340"/>
        </w:trPr>
        <w:tc>
          <w:tcPr>
            <w:tcW w:w="2552" w:type="dxa"/>
            <w:vMerge w:val="restart"/>
            <w:vAlign w:val="center"/>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Rodzaj mieszanki</w:t>
            </w:r>
          </w:p>
          <w:p w:rsidR="0051730D" w:rsidRPr="009040B8" w:rsidRDefault="0051730D" w:rsidP="0051730D">
            <w:pPr>
              <w:jc w:val="center"/>
              <w:rPr>
                <w:rFonts w:ascii="Verdana" w:hAnsi="Verdana" w:cs="Arial"/>
              </w:rPr>
            </w:pPr>
          </w:p>
        </w:tc>
        <w:tc>
          <w:tcPr>
            <w:tcW w:w="7229"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Odchyłka od wartości projektowanej</w:t>
            </w:r>
          </w:p>
        </w:tc>
      </w:tr>
      <w:tr w:rsidR="0051730D" w:rsidRPr="009040B8" w:rsidTr="0051730D">
        <w:trPr>
          <w:trHeight w:val="340"/>
        </w:trPr>
        <w:tc>
          <w:tcPr>
            <w:tcW w:w="2552" w:type="dxa"/>
            <w:vMerge/>
            <w:vAlign w:val="center"/>
          </w:tcPr>
          <w:p w:rsidR="0051730D" w:rsidRPr="009040B8" w:rsidRDefault="0051730D" w:rsidP="0051730D">
            <w:pPr>
              <w:jc w:val="center"/>
              <w:rPr>
                <w:rFonts w:ascii="Verdana" w:hAnsi="Verdana" w:cs="Arial"/>
              </w:rPr>
            </w:pP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Bez potrąceń</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Stosuje się potrącenia</w:t>
            </w:r>
          </w:p>
        </w:tc>
      </w:tr>
      <w:tr w:rsidR="0051730D" w:rsidRPr="009040B8" w:rsidTr="0051730D">
        <w:trPr>
          <w:trHeight w:val="340"/>
        </w:trPr>
        <w:tc>
          <w:tcPr>
            <w:tcW w:w="2552" w:type="dxa"/>
            <w:vAlign w:val="center"/>
          </w:tcPr>
          <w:p w:rsidR="0051730D" w:rsidRPr="009040B8" w:rsidRDefault="0051730D" w:rsidP="0051730D">
            <w:pPr>
              <w:jc w:val="center"/>
              <w:rPr>
                <w:rFonts w:ascii="Verdana" w:hAnsi="Verdana" w:cs="Arial"/>
              </w:rPr>
            </w:pPr>
            <w:r w:rsidRPr="009040B8">
              <w:rPr>
                <w:rFonts w:ascii="Verdana" w:hAnsi="Verdana" w:cs="Arial"/>
              </w:rPr>
              <w:t xml:space="preserve">AC </w:t>
            </w:r>
            <w:r>
              <w:rPr>
                <w:rFonts w:ascii="Verdana" w:hAnsi="Verdana" w:cs="Arial"/>
              </w:rPr>
              <w:t>P</w:t>
            </w: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 ±2</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±3 ÷ ±4</w:t>
            </w:r>
          </w:p>
        </w:tc>
      </w:tr>
    </w:tbl>
    <w:p w:rsidR="0051730D" w:rsidRPr="009040B8" w:rsidRDefault="0051730D" w:rsidP="0051730D">
      <w:pPr>
        <w:rPr>
          <w:rFonts w:ascii="Verdana" w:hAnsi="Verdana" w:cs="Arial"/>
        </w:rPr>
      </w:pPr>
    </w:p>
    <w:p w:rsidR="0051730D" w:rsidRPr="009040B8" w:rsidRDefault="0051730D" w:rsidP="0051730D">
      <w:pPr>
        <w:ind w:left="1134" w:hanging="1134"/>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w:t>
      </w:r>
      <w:r>
        <w:rPr>
          <w:rFonts w:ascii="Verdana" w:hAnsi="Verdana" w:cs="Arial"/>
        </w:rPr>
        <w:t>0</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&lt; 2,0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51730D" w:rsidRPr="009040B8" w:rsidTr="0051730D">
        <w:trPr>
          <w:trHeight w:val="340"/>
        </w:trPr>
        <w:tc>
          <w:tcPr>
            <w:tcW w:w="2552" w:type="dxa"/>
            <w:vMerge w:val="restart"/>
            <w:vAlign w:val="center"/>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Rodzaj mieszanki</w:t>
            </w:r>
          </w:p>
          <w:p w:rsidR="0051730D" w:rsidRPr="009040B8" w:rsidRDefault="0051730D" w:rsidP="0051730D">
            <w:pPr>
              <w:jc w:val="center"/>
              <w:rPr>
                <w:rFonts w:ascii="Verdana" w:hAnsi="Verdana" w:cs="Arial"/>
              </w:rPr>
            </w:pPr>
          </w:p>
        </w:tc>
        <w:tc>
          <w:tcPr>
            <w:tcW w:w="7229"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Odchyłka od wartości projektowanej</w:t>
            </w:r>
          </w:p>
        </w:tc>
      </w:tr>
      <w:tr w:rsidR="0051730D" w:rsidRPr="009040B8" w:rsidTr="0051730D">
        <w:trPr>
          <w:trHeight w:val="340"/>
        </w:trPr>
        <w:tc>
          <w:tcPr>
            <w:tcW w:w="2552" w:type="dxa"/>
            <w:vMerge/>
            <w:vAlign w:val="center"/>
          </w:tcPr>
          <w:p w:rsidR="0051730D" w:rsidRPr="009040B8" w:rsidRDefault="0051730D" w:rsidP="0051730D">
            <w:pPr>
              <w:jc w:val="center"/>
              <w:rPr>
                <w:rFonts w:ascii="Verdana" w:hAnsi="Verdana" w:cs="Arial"/>
              </w:rPr>
            </w:pP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Bez potrąceń</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Stosuje się potrącenia</w:t>
            </w:r>
          </w:p>
        </w:tc>
      </w:tr>
      <w:tr w:rsidR="0051730D" w:rsidRPr="009040B8" w:rsidTr="0051730D">
        <w:trPr>
          <w:trHeight w:val="340"/>
        </w:trPr>
        <w:tc>
          <w:tcPr>
            <w:tcW w:w="2552" w:type="dxa"/>
            <w:vAlign w:val="center"/>
          </w:tcPr>
          <w:p w:rsidR="0051730D" w:rsidRPr="009040B8" w:rsidRDefault="0051730D" w:rsidP="0051730D">
            <w:pPr>
              <w:jc w:val="center"/>
              <w:rPr>
                <w:rFonts w:ascii="Verdana" w:hAnsi="Verdana" w:cs="Arial"/>
              </w:rPr>
            </w:pPr>
            <w:r w:rsidRPr="009040B8">
              <w:rPr>
                <w:rFonts w:ascii="Verdana" w:hAnsi="Verdana" w:cs="Arial"/>
              </w:rPr>
              <w:t xml:space="preserve">AC </w:t>
            </w:r>
            <w:r>
              <w:rPr>
                <w:rFonts w:ascii="Verdana" w:hAnsi="Verdana" w:cs="Arial"/>
              </w:rPr>
              <w:t>P</w:t>
            </w: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 ±3</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±4 ÷ ±6</w:t>
            </w:r>
          </w:p>
        </w:tc>
      </w:tr>
    </w:tbl>
    <w:p w:rsidR="0051730D" w:rsidRPr="009040B8" w:rsidRDefault="0051730D" w:rsidP="0051730D">
      <w:pPr>
        <w:jc w:val="both"/>
        <w:rPr>
          <w:rFonts w:ascii="Verdana" w:hAnsi="Verdana" w:cs="Arial"/>
        </w:rPr>
      </w:pPr>
    </w:p>
    <w:p w:rsidR="0051730D" w:rsidRPr="009040B8" w:rsidRDefault="0051730D" w:rsidP="0051730D">
      <w:pPr>
        <w:ind w:left="1134" w:hanging="1134"/>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w:t>
      </w:r>
      <w:r>
        <w:rPr>
          <w:rFonts w:ascii="Verdana" w:hAnsi="Verdana" w:cs="Arial"/>
        </w:rPr>
        <w:t>1</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&lt; D/2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51730D" w:rsidRPr="009040B8" w:rsidTr="0051730D">
        <w:trPr>
          <w:trHeight w:val="340"/>
        </w:trPr>
        <w:tc>
          <w:tcPr>
            <w:tcW w:w="2552" w:type="dxa"/>
            <w:vMerge w:val="restart"/>
            <w:vAlign w:val="center"/>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Rodzaj mieszanki</w:t>
            </w:r>
          </w:p>
          <w:p w:rsidR="0051730D" w:rsidRPr="009040B8" w:rsidRDefault="0051730D" w:rsidP="0051730D">
            <w:pPr>
              <w:jc w:val="center"/>
              <w:rPr>
                <w:rFonts w:ascii="Verdana" w:hAnsi="Verdana" w:cs="Arial"/>
              </w:rPr>
            </w:pPr>
          </w:p>
        </w:tc>
        <w:tc>
          <w:tcPr>
            <w:tcW w:w="7229"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Odchyłka od wartości projektowanej</w:t>
            </w:r>
          </w:p>
        </w:tc>
      </w:tr>
      <w:tr w:rsidR="0051730D" w:rsidRPr="009040B8" w:rsidTr="0051730D">
        <w:trPr>
          <w:trHeight w:val="340"/>
        </w:trPr>
        <w:tc>
          <w:tcPr>
            <w:tcW w:w="2552" w:type="dxa"/>
            <w:vMerge/>
            <w:vAlign w:val="center"/>
          </w:tcPr>
          <w:p w:rsidR="0051730D" w:rsidRPr="009040B8" w:rsidRDefault="0051730D" w:rsidP="0051730D">
            <w:pPr>
              <w:jc w:val="center"/>
              <w:rPr>
                <w:rFonts w:ascii="Verdana" w:hAnsi="Verdana" w:cs="Arial"/>
              </w:rPr>
            </w:pP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Bez potrąceń</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Stosuje się potrącenia</w:t>
            </w:r>
          </w:p>
        </w:tc>
      </w:tr>
      <w:tr w:rsidR="0051730D" w:rsidRPr="009040B8" w:rsidTr="0051730D">
        <w:trPr>
          <w:trHeight w:val="340"/>
        </w:trPr>
        <w:tc>
          <w:tcPr>
            <w:tcW w:w="2552" w:type="dxa"/>
            <w:vAlign w:val="center"/>
          </w:tcPr>
          <w:p w:rsidR="0051730D" w:rsidRPr="009040B8" w:rsidRDefault="0051730D" w:rsidP="0051730D">
            <w:pPr>
              <w:jc w:val="center"/>
              <w:rPr>
                <w:rFonts w:ascii="Verdana" w:hAnsi="Verdana" w:cs="Arial"/>
              </w:rPr>
            </w:pPr>
            <w:r w:rsidRPr="009040B8">
              <w:rPr>
                <w:rFonts w:ascii="Verdana" w:hAnsi="Verdana" w:cs="Arial"/>
              </w:rPr>
              <w:lastRenderedPageBreak/>
              <w:t xml:space="preserve">AC </w:t>
            </w:r>
            <w:r>
              <w:rPr>
                <w:rFonts w:ascii="Verdana" w:hAnsi="Verdana" w:cs="Arial"/>
              </w:rPr>
              <w:t>P</w:t>
            </w: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 ±3</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±4 ÷ ±6</w:t>
            </w:r>
          </w:p>
        </w:tc>
      </w:tr>
    </w:tbl>
    <w:p w:rsidR="0051730D" w:rsidRPr="009040B8" w:rsidRDefault="0051730D" w:rsidP="0051730D">
      <w:pPr>
        <w:jc w:val="both"/>
        <w:rPr>
          <w:rFonts w:ascii="Verdana" w:hAnsi="Verdana" w:cs="Arial"/>
        </w:rPr>
      </w:pPr>
    </w:p>
    <w:p w:rsidR="0051730D" w:rsidRPr="009040B8" w:rsidRDefault="0051730D" w:rsidP="0051730D">
      <w:pPr>
        <w:ind w:left="1134" w:hanging="1134"/>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w:t>
      </w:r>
      <w:r>
        <w:rPr>
          <w:rFonts w:ascii="Verdana" w:hAnsi="Verdana" w:cs="Arial"/>
        </w:rPr>
        <w:t>2</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 xml:space="preserve">&lt; D mm, [%(m/m)]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51730D" w:rsidRPr="009040B8" w:rsidTr="0051730D">
        <w:trPr>
          <w:trHeight w:val="340"/>
        </w:trPr>
        <w:tc>
          <w:tcPr>
            <w:tcW w:w="2552" w:type="dxa"/>
            <w:vMerge w:val="restart"/>
            <w:vAlign w:val="center"/>
          </w:tcPr>
          <w:p w:rsidR="0051730D" w:rsidRPr="009040B8" w:rsidRDefault="0051730D" w:rsidP="0051730D">
            <w:pPr>
              <w:jc w:val="center"/>
              <w:rPr>
                <w:rFonts w:ascii="Verdana" w:hAnsi="Verdana" w:cs="Arial"/>
              </w:rPr>
            </w:pPr>
          </w:p>
          <w:p w:rsidR="0051730D" w:rsidRPr="009040B8" w:rsidRDefault="0051730D" w:rsidP="0051730D">
            <w:pPr>
              <w:jc w:val="center"/>
              <w:rPr>
                <w:rFonts w:ascii="Verdana" w:hAnsi="Verdana" w:cs="Arial"/>
              </w:rPr>
            </w:pPr>
            <w:r w:rsidRPr="009040B8">
              <w:rPr>
                <w:rFonts w:ascii="Verdana" w:hAnsi="Verdana" w:cs="Arial"/>
              </w:rPr>
              <w:t>Rodzaj mieszanki</w:t>
            </w:r>
          </w:p>
          <w:p w:rsidR="0051730D" w:rsidRPr="009040B8" w:rsidRDefault="0051730D" w:rsidP="0051730D">
            <w:pPr>
              <w:jc w:val="center"/>
              <w:rPr>
                <w:rFonts w:ascii="Verdana" w:hAnsi="Verdana" w:cs="Arial"/>
              </w:rPr>
            </w:pPr>
          </w:p>
        </w:tc>
        <w:tc>
          <w:tcPr>
            <w:tcW w:w="7229" w:type="dxa"/>
            <w:gridSpan w:val="2"/>
            <w:vAlign w:val="center"/>
          </w:tcPr>
          <w:p w:rsidR="0051730D" w:rsidRPr="009040B8" w:rsidRDefault="0051730D" w:rsidP="0051730D">
            <w:pPr>
              <w:jc w:val="center"/>
              <w:rPr>
                <w:rFonts w:ascii="Verdana" w:hAnsi="Verdana" w:cs="Arial"/>
              </w:rPr>
            </w:pPr>
            <w:r w:rsidRPr="009040B8">
              <w:rPr>
                <w:rFonts w:ascii="Verdana" w:hAnsi="Verdana" w:cs="Arial"/>
              </w:rPr>
              <w:t>Odchyłka od wartości projektowanej</w:t>
            </w:r>
          </w:p>
        </w:tc>
      </w:tr>
      <w:tr w:rsidR="0051730D" w:rsidRPr="009040B8" w:rsidTr="0051730D">
        <w:trPr>
          <w:trHeight w:val="340"/>
        </w:trPr>
        <w:tc>
          <w:tcPr>
            <w:tcW w:w="2552" w:type="dxa"/>
            <w:vMerge/>
            <w:vAlign w:val="center"/>
          </w:tcPr>
          <w:p w:rsidR="0051730D" w:rsidRPr="009040B8" w:rsidRDefault="0051730D" w:rsidP="0051730D">
            <w:pPr>
              <w:jc w:val="center"/>
              <w:rPr>
                <w:rFonts w:ascii="Verdana" w:hAnsi="Verdana" w:cs="Arial"/>
              </w:rPr>
            </w:pP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Bez potrąceń</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Stosuje się potrącenia</w:t>
            </w:r>
          </w:p>
        </w:tc>
      </w:tr>
      <w:tr w:rsidR="0051730D" w:rsidRPr="009040B8" w:rsidTr="0051730D">
        <w:trPr>
          <w:trHeight w:val="340"/>
        </w:trPr>
        <w:tc>
          <w:tcPr>
            <w:tcW w:w="2552" w:type="dxa"/>
            <w:vAlign w:val="center"/>
          </w:tcPr>
          <w:p w:rsidR="0051730D" w:rsidRPr="009040B8" w:rsidRDefault="0051730D" w:rsidP="0051730D">
            <w:pPr>
              <w:jc w:val="center"/>
              <w:rPr>
                <w:rFonts w:ascii="Verdana" w:hAnsi="Verdana" w:cs="Arial"/>
              </w:rPr>
            </w:pPr>
            <w:r w:rsidRPr="009040B8">
              <w:rPr>
                <w:rFonts w:ascii="Verdana" w:hAnsi="Verdana" w:cs="Arial"/>
              </w:rPr>
              <w:t xml:space="preserve">AC </w:t>
            </w:r>
            <w:r>
              <w:rPr>
                <w:rFonts w:ascii="Verdana" w:hAnsi="Verdana" w:cs="Arial"/>
              </w:rPr>
              <w:t>P</w:t>
            </w:r>
          </w:p>
        </w:tc>
        <w:tc>
          <w:tcPr>
            <w:tcW w:w="3614" w:type="dxa"/>
            <w:vAlign w:val="center"/>
          </w:tcPr>
          <w:p w:rsidR="0051730D" w:rsidRPr="009040B8" w:rsidRDefault="0051730D" w:rsidP="0051730D">
            <w:pPr>
              <w:jc w:val="center"/>
              <w:rPr>
                <w:rFonts w:ascii="Verdana" w:hAnsi="Verdana" w:cs="Arial"/>
              </w:rPr>
            </w:pPr>
            <w:r w:rsidRPr="009040B8">
              <w:rPr>
                <w:rFonts w:ascii="Verdana" w:hAnsi="Verdana" w:cs="Arial"/>
              </w:rPr>
              <w:t>≤ ±3</w:t>
            </w:r>
          </w:p>
        </w:tc>
        <w:tc>
          <w:tcPr>
            <w:tcW w:w="3615" w:type="dxa"/>
            <w:vAlign w:val="center"/>
          </w:tcPr>
          <w:p w:rsidR="0051730D" w:rsidRPr="009040B8" w:rsidRDefault="0051730D" w:rsidP="0051730D">
            <w:pPr>
              <w:jc w:val="center"/>
              <w:rPr>
                <w:rFonts w:ascii="Verdana" w:hAnsi="Verdana" w:cs="Arial"/>
              </w:rPr>
            </w:pPr>
            <w:r w:rsidRPr="009040B8">
              <w:rPr>
                <w:rFonts w:ascii="Verdana" w:hAnsi="Verdana" w:cs="Arial"/>
              </w:rPr>
              <w:t>±4 ÷ ±6</w:t>
            </w:r>
          </w:p>
        </w:tc>
      </w:tr>
    </w:tbl>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rPr>
      </w:pPr>
      <w:r w:rsidRPr="009040B8">
        <w:rPr>
          <w:rFonts w:ascii="Verdana" w:hAnsi="Verdana" w:cs="Arial"/>
        </w:rPr>
        <w:t xml:space="preserve">Uziarnienie każdej próbki pobranej z luźnej mieszanki mineralno-asfaltowej nie może odbiegać od wartości projektowanej, z uwzględnieniem dopuszczalnych odchyłek podanych w </w:t>
      </w:r>
      <w:r>
        <w:rPr>
          <w:rFonts w:ascii="Verdana" w:hAnsi="Verdana" w:cs="Arial"/>
        </w:rPr>
        <w:t>t</w:t>
      </w:r>
      <w:r w:rsidRPr="009040B8">
        <w:rPr>
          <w:rFonts w:ascii="Verdana" w:hAnsi="Verdana" w:cs="Arial"/>
        </w:rPr>
        <w:t>ab</w:t>
      </w:r>
      <w:r>
        <w:rPr>
          <w:rFonts w:ascii="Verdana" w:hAnsi="Verdana" w:cs="Arial"/>
        </w:rPr>
        <w:t>elach</w:t>
      </w:r>
      <w:r w:rsidRPr="009040B8">
        <w:rPr>
          <w:rFonts w:ascii="Verdana" w:hAnsi="Verdana" w:cs="Arial"/>
        </w:rPr>
        <w:t xml:space="preserve"> </w:t>
      </w:r>
      <w:r>
        <w:rPr>
          <w:rFonts w:ascii="Verdana" w:hAnsi="Verdana" w:cs="Arial"/>
        </w:rPr>
        <w:t>18</w:t>
      </w:r>
      <w:r w:rsidRPr="009040B8">
        <w:rPr>
          <w:rFonts w:ascii="Verdana" w:hAnsi="Verdana" w:cs="Arial"/>
        </w:rPr>
        <w:t>-2</w:t>
      </w:r>
      <w:r>
        <w:rPr>
          <w:rFonts w:ascii="Verdana" w:hAnsi="Verdana" w:cs="Arial"/>
        </w:rPr>
        <w:t>2</w:t>
      </w:r>
      <w:r w:rsidRPr="009040B8">
        <w:rPr>
          <w:rFonts w:ascii="Verdana" w:hAnsi="Verdana" w:cs="Arial"/>
        </w:rPr>
        <w:t>.</w:t>
      </w:r>
    </w:p>
    <w:p w:rsidR="0051730D" w:rsidRPr="009040B8" w:rsidRDefault="0051730D" w:rsidP="0051730D">
      <w:pPr>
        <w:jc w:val="both"/>
        <w:rPr>
          <w:rFonts w:ascii="Verdana" w:hAnsi="Verdana" w:cs="Arial"/>
        </w:rPr>
      </w:pPr>
      <w:r w:rsidRPr="009040B8">
        <w:rPr>
          <w:rFonts w:ascii="Verdana" w:hAnsi="Verdana" w:cs="Arial"/>
        </w:rPr>
        <w:t xml:space="preserve">Wymagania dotyczące udziału kruszywa i wypełniacza powinny być spełnione jednocześnie. Zawartość </w:t>
      </w:r>
      <w:r>
        <w:rPr>
          <w:rFonts w:ascii="Verdana" w:hAnsi="Verdana" w:cs="Arial"/>
        </w:rPr>
        <w:t xml:space="preserve">asfaltu </w:t>
      </w:r>
      <w:r w:rsidRPr="009040B8">
        <w:rPr>
          <w:rFonts w:ascii="Verdana" w:hAnsi="Verdana" w:cs="Arial"/>
        </w:rPr>
        <w:t>rozpuszczalnego z każdej próbki pobranej z mieszanki mineralno-asfaltowej lub wyjątkowo z próbki pobranej z nawierzchni nie może odbiegać od wartości asfaltu rozpuszczalnego określonego w recepcie, z uwzględnieniem podanych dopuszczalnych odchyłek w tab</w:t>
      </w:r>
      <w:r>
        <w:rPr>
          <w:rFonts w:ascii="Verdana" w:hAnsi="Verdana" w:cs="Arial"/>
        </w:rPr>
        <w:t>eli</w:t>
      </w:r>
      <w:r w:rsidRPr="009040B8">
        <w:rPr>
          <w:rFonts w:ascii="Verdana" w:hAnsi="Verdana" w:cs="Arial"/>
        </w:rPr>
        <w:t xml:space="preserve"> 1</w:t>
      </w:r>
      <w:r>
        <w:rPr>
          <w:rFonts w:ascii="Verdana" w:hAnsi="Verdana" w:cs="Arial"/>
        </w:rPr>
        <w:t>7</w:t>
      </w:r>
      <w:r w:rsidRPr="009040B8">
        <w:rPr>
          <w:rFonts w:ascii="Verdana" w:hAnsi="Verdana" w:cs="Arial"/>
        </w:rPr>
        <w:t>.</w:t>
      </w:r>
    </w:p>
    <w:p w:rsidR="0051730D" w:rsidRPr="00F82D98" w:rsidRDefault="0051730D" w:rsidP="0051730D">
      <w:pPr>
        <w:jc w:val="both"/>
        <w:rPr>
          <w:rFonts w:ascii="Verdana" w:hAnsi="Verdana" w:cs="Arial"/>
          <w:u w:val="single"/>
        </w:rPr>
      </w:pPr>
      <w:r w:rsidRPr="00F82D98">
        <w:rPr>
          <w:rFonts w:ascii="Verdana" w:hAnsi="Verdana" w:cs="Arial"/>
          <w:u w:val="single"/>
        </w:rPr>
        <w:t>UWAGA!</w:t>
      </w:r>
    </w:p>
    <w:p w:rsidR="0051730D" w:rsidRPr="00F61EA3" w:rsidRDefault="0051730D" w:rsidP="0051730D">
      <w:pPr>
        <w:ind w:left="567"/>
        <w:jc w:val="both"/>
        <w:rPr>
          <w:rFonts w:ascii="Verdana" w:hAnsi="Verdana" w:cs="Arial"/>
        </w:rPr>
      </w:pPr>
      <w:r w:rsidRPr="00F61EA3">
        <w:rPr>
          <w:rFonts w:ascii="Verdana" w:hAnsi="Verdana" w:cs="Arial"/>
        </w:rPr>
        <w:t>Po przekroczeniu odchyłek dopuszczalnych Wykonawca przedstawi program naprawczy lub usunie warstwy niewłaściwie wykonane.</w:t>
      </w:r>
    </w:p>
    <w:p w:rsidR="0051730D" w:rsidRPr="009040B8" w:rsidRDefault="0051730D" w:rsidP="0051730D">
      <w:pPr>
        <w:ind w:left="567"/>
        <w:jc w:val="both"/>
        <w:rPr>
          <w:rFonts w:ascii="Verdana" w:hAnsi="Verdana" w:cs="Arial"/>
          <w:b/>
        </w:rPr>
      </w:pPr>
    </w:p>
    <w:p w:rsidR="0051730D" w:rsidRPr="009040B8" w:rsidRDefault="0051730D" w:rsidP="0051730D">
      <w:pPr>
        <w:jc w:val="both"/>
        <w:rPr>
          <w:rFonts w:ascii="Verdana" w:hAnsi="Verdana" w:cs="Arial"/>
        </w:rPr>
      </w:pPr>
      <w:r w:rsidRPr="009040B8">
        <w:rPr>
          <w:rFonts w:ascii="Verdana" w:hAnsi="Verdana" w:cs="Arial"/>
        </w:rPr>
        <w:t>Potrącenia na nieprawidłową zawartość asfaltu</w:t>
      </w:r>
      <w:r>
        <w:rPr>
          <w:rFonts w:ascii="Verdana" w:hAnsi="Verdana" w:cs="Arial"/>
        </w:rPr>
        <w:t xml:space="preserve"> rozpuszczalnego</w:t>
      </w:r>
      <w:r w:rsidRPr="009040B8">
        <w:rPr>
          <w:rFonts w:ascii="Verdana" w:hAnsi="Verdana" w:cs="Arial"/>
        </w:rPr>
        <w:t xml:space="preserve"> oblicza się na podstawie następującego wzoru</w:t>
      </w:r>
      <w:r>
        <w:rPr>
          <w:rFonts w:ascii="Verdana" w:hAnsi="Verdana" w:cs="Arial"/>
        </w:rPr>
        <w:t>:</w:t>
      </w:r>
    </w:p>
    <w:p w:rsidR="0051730D" w:rsidRPr="009040B8" w:rsidRDefault="0051730D" w:rsidP="0051730D">
      <w:pPr>
        <w:jc w:val="both"/>
        <w:rPr>
          <w:rFonts w:ascii="Verdana" w:hAnsi="Verdana" w:cs="Arial"/>
        </w:rPr>
      </w:pPr>
      <w:r w:rsidRPr="009040B8">
        <w:rPr>
          <w:rFonts w:ascii="Verdana" w:hAnsi="Verdana" w:cs="Arial"/>
        </w:rPr>
        <w:t>P = A*p</w:t>
      </w:r>
      <w:r w:rsidRPr="009040B8">
        <w:rPr>
          <w:rFonts w:ascii="Verdana" w:hAnsi="Verdana" w:cs="Arial"/>
          <w:vertAlign w:val="subscript"/>
        </w:rPr>
        <w:t>a</w:t>
      </w:r>
      <w:r w:rsidRPr="009040B8">
        <w:rPr>
          <w:rFonts w:ascii="Verdana" w:hAnsi="Verdana" w:cs="Arial"/>
        </w:rPr>
        <w:t>*</w:t>
      </w:r>
      <w:proofErr w:type="spellStart"/>
      <w:r w:rsidRPr="009040B8">
        <w:rPr>
          <w:rFonts w:ascii="Verdana" w:hAnsi="Verdana" w:cs="Arial"/>
        </w:rPr>
        <w:t>c</w:t>
      </w:r>
      <w:r w:rsidRPr="009040B8">
        <w:rPr>
          <w:rFonts w:ascii="Verdana" w:hAnsi="Verdana" w:cs="Arial"/>
          <w:vertAlign w:val="subscript"/>
        </w:rPr>
        <w:t>j</w:t>
      </w:r>
      <w:proofErr w:type="spellEnd"/>
      <w:r w:rsidRPr="009040B8">
        <w:rPr>
          <w:rFonts w:ascii="Verdana" w:hAnsi="Verdana" w:cs="Arial"/>
          <w:vertAlign w:val="subscript"/>
        </w:rPr>
        <w:t xml:space="preserve"> </w:t>
      </w:r>
    </w:p>
    <w:p w:rsidR="0051730D" w:rsidRPr="009040B8" w:rsidRDefault="0051730D" w:rsidP="0051730D">
      <w:pPr>
        <w:jc w:val="both"/>
        <w:rPr>
          <w:rFonts w:ascii="Verdana" w:hAnsi="Verdana" w:cs="Arial"/>
        </w:rPr>
      </w:pPr>
      <w:r w:rsidRPr="009040B8">
        <w:rPr>
          <w:rFonts w:ascii="Verdana" w:hAnsi="Verdana" w:cs="Arial"/>
        </w:rPr>
        <w:t xml:space="preserve">A </w:t>
      </w:r>
      <w:r>
        <w:rPr>
          <w:rFonts w:ascii="Verdana" w:hAnsi="Verdana" w:cs="Arial"/>
        </w:rPr>
        <w:t>–</w:t>
      </w:r>
      <w:r w:rsidRPr="009040B8">
        <w:rPr>
          <w:rFonts w:ascii="Verdana" w:hAnsi="Verdana" w:cs="Arial"/>
        </w:rPr>
        <w:t xml:space="preserve"> powierzchnia</w:t>
      </w:r>
      <w:r>
        <w:rPr>
          <w:rFonts w:ascii="Verdana" w:hAnsi="Verdana" w:cs="Arial"/>
        </w:rPr>
        <w:t xml:space="preserve"> w m</w:t>
      </w:r>
      <w:r>
        <w:rPr>
          <w:rFonts w:ascii="Verdana" w:hAnsi="Verdana" w:cs="Arial"/>
          <w:vertAlign w:val="superscript"/>
        </w:rPr>
        <w:t>2</w:t>
      </w:r>
      <w:r w:rsidRPr="009040B8">
        <w:rPr>
          <w:rFonts w:ascii="Verdana" w:hAnsi="Verdana" w:cs="Arial"/>
        </w:rPr>
        <w:t xml:space="preserve"> </w:t>
      </w:r>
    </w:p>
    <w:p w:rsidR="0051730D" w:rsidRPr="009040B8" w:rsidRDefault="0051730D" w:rsidP="0051730D">
      <w:pPr>
        <w:jc w:val="both"/>
        <w:rPr>
          <w:rFonts w:ascii="Verdana" w:hAnsi="Verdana" w:cs="Arial"/>
        </w:rPr>
      </w:pPr>
      <w:r w:rsidRPr="009040B8">
        <w:rPr>
          <w:rFonts w:ascii="Verdana" w:hAnsi="Verdana" w:cs="Arial"/>
        </w:rPr>
        <w:t>p</w:t>
      </w:r>
      <w:r w:rsidRPr="009040B8">
        <w:rPr>
          <w:rFonts w:ascii="Verdana" w:hAnsi="Verdana" w:cs="Arial"/>
          <w:vertAlign w:val="subscript"/>
        </w:rPr>
        <w:t>a</w:t>
      </w:r>
      <w:r w:rsidRPr="009040B8">
        <w:rPr>
          <w:rFonts w:ascii="Verdana" w:hAnsi="Verdana" w:cs="Arial"/>
        </w:rPr>
        <w:t xml:space="preserve"> - współczynnik do obliczania potrąceń za niewłaściwą ilość </w:t>
      </w:r>
      <w:r>
        <w:rPr>
          <w:rFonts w:ascii="Verdana" w:hAnsi="Verdana" w:cs="Arial"/>
        </w:rPr>
        <w:t>asfaltu rozpuszczalnego</w:t>
      </w:r>
      <w:r w:rsidRPr="009040B8">
        <w:rPr>
          <w:rFonts w:ascii="Verdana" w:hAnsi="Verdana" w:cs="Arial"/>
        </w:rPr>
        <w:t xml:space="preserve"> </w:t>
      </w:r>
    </w:p>
    <w:p w:rsidR="0051730D" w:rsidRPr="009040B8" w:rsidRDefault="0051730D" w:rsidP="0051730D">
      <w:pPr>
        <w:jc w:val="both"/>
        <w:rPr>
          <w:rFonts w:ascii="Verdana" w:hAnsi="Verdana" w:cs="Arial"/>
        </w:rPr>
      </w:pPr>
      <w:proofErr w:type="spellStart"/>
      <w:r w:rsidRPr="009040B8">
        <w:rPr>
          <w:rFonts w:ascii="Verdana" w:hAnsi="Verdana" w:cs="Arial"/>
        </w:rPr>
        <w:t>c</w:t>
      </w:r>
      <w:r w:rsidRPr="009040B8">
        <w:rPr>
          <w:rFonts w:ascii="Verdana" w:hAnsi="Verdana" w:cs="Arial"/>
          <w:vertAlign w:val="subscript"/>
        </w:rPr>
        <w:t>j</w:t>
      </w:r>
      <w:proofErr w:type="spellEnd"/>
      <w:r w:rsidRPr="009040B8">
        <w:rPr>
          <w:rFonts w:ascii="Verdana" w:hAnsi="Verdana" w:cs="Arial"/>
        </w:rPr>
        <w:t xml:space="preserve"> - cena jednostkowa </w:t>
      </w:r>
    </w:p>
    <w:p w:rsidR="0051730D" w:rsidRPr="009040B8" w:rsidRDefault="0051730D" w:rsidP="0051730D">
      <w:pPr>
        <w:jc w:val="both"/>
        <w:rPr>
          <w:rFonts w:ascii="Verdana" w:hAnsi="Verdana" w:cs="Arial"/>
        </w:rPr>
      </w:pPr>
      <w:r w:rsidRPr="009040B8">
        <w:rPr>
          <w:rFonts w:ascii="Verdana" w:hAnsi="Verdana" w:cs="Arial"/>
        </w:rPr>
        <w:t>P - potrącenia</w:t>
      </w:r>
    </w:p>
    <w:tbl>
      <w:tblPr>
        <w:tblW w:w="7568" w:type="dxa"/>
        <w:jc w:val="center"/>
        <w:tblCellMar>
          <w:left w:w="70" w:type="dxa"/>
          <w:right w:w="70" w:type="dxa"/>
        </w:tblCellMar>
        <w:tblLook w:val="0000" w:firstRow="0" w:lastRow="0" w:firstColumn="0" w:lastColumn="0" w:noHBand="0" w:noVBand="0"/>
      </w:tblPr>
      <w:tblGrid>
        <w:gridCol w:w="5073"/>
        <w:gridCol w:w="858"/>
        <w:gridCol w:w="858"/>
        <w:gridCol w:w="779"/>
      </w:tblGrid>
      <w:tr w:rsidR="0051730D" w:rsidRPr="009040B8" w:rsidTr="0051730D">
        <w:trPr>
          <w:trHeight w:val="255"/>
          <w:jc w:val="center"/>
        </w:trPr>
        <w:tc>
          <w:tcPr>
            <w:tcW w:w="7568" w:type="dxa"/>
            <w:gridSpan w:val="4"/>
            <w:tcBorders>
              <w:top w:val="nil"/>
              <w:left w:val="nil"/>
              <w:bottom w:val="nil"/>
              <w:right w:val="nil"/>
            </w:tcBorders>
            <w:noWrap/>
            <w:vAlign w:val="bottom"/>
          </w:tcPr>
          <w:p w:rsidR="0051730D" w:rsidRPr="009040B8" w:rsidRDefault="0051730D" w:rsidP="0051730D">
            <w:pPr>
              <w:jc w:val="both"/>
              <w:rPr>
                <w:rFonts w:ascii="Verdana" w:hAnsi="Verdana" w:cs="Arial"/>
              </w:rPr>
            </w:pPr>
            <w:r w:rsidRPr="009040B8">
              <w:rPr>
                <w:rFonts w:ascii="Verdana" w:hAnsi="Verdana" w:cs="Arial"/>
              </w:rPr>
              <w:t xml:space="preserve">Współczynnik "pa" do obliczania potrąceń za niewłaściwą ilość </w:t>
            </w:r>
            <w:r>
              <w:rPr>
                <w:rFonts w:ascii="Verdana" w:hAnsi="Verdana" w:cs="Arial"/>
              </w:rPr>
              <w:t>asfaltu rozpuszczalnego</w:t>
            </w:r>
          </w:p>
        </w:tc>
      </w:tr>
      <w:tr w:rsidR="0051730D" w:rsidRPr="009040B8" w:rsidTr="0051730D">
        <w:trPr>
          <w:trHeight w:val="255"/>
          <w:jc w:val="center"/>
        </w:trPr>
        <w:tc>
          <w:tcPr>
            <w:tcW w:w="5073" w:type="dxa"/>
            <w:tcBorders>
              <w:top w:val="single" w:sz="4" w:space="0" w:color="auto"/>
              <w:left w:val="single" w:sz="4" w:space="0" w:color="auto"/>
              <w:bottom w:val="single" w:sz="4" w:space="0" w:color="auto"/>
              <w:right w:val="single" w:sz="4" w:space="0" w:color="auto"/>
            </w:tcBorders>
            <w:noWrap/>
            <w:vAlign w:val="bottom"/>
          </w:tcPr>
          <w:p w:rsidR="0051730D" w:rsidRPr="009040B8" w:rsidRDefault="0051730D" w:rsidP="0051730D">
            <w:pPr>
              <w:jc w:val="both"/>
              <w:rPr>
                <w:rFonts w:ascii="Verdana" w:hAnsi="Verdana" w:cs="Arial"/>
              </w:rPr>
            </w:pPr>
            <w:r w:rsidRPr="009040B8">
              <w:rPr>
                <w:rFonts w:ascii="Verdana" w:hAnsi="Verdana" w:cs="Arial"/>
              </w:rPr>
              <w:t>Odchylenie od recepty w %</w:t>
            </w:r>
          </w:p>
        </w:tc>
        <w:tc>
          <w:tcPr>
            <w:tcW w:w="858" w:type="dxa"/>
            <w:tcBorders>
              <w:top w:val="single" w:sz="4" w:space="0" w:color="auto"/>
              <w:left w:val="nil"/>
              <w:bottom w:val="single" w:sz="4" w:space="0" w:color="auto"/>
              <w:right w:val="single" w:sz="4" w:space="0" w:color="auto"/>
            </w:tcBorders>
            <w:noWrap/>
            <w:vAlign w:val="center"/>
          </w:tcPr>
          <w:p w:rsidR="0051730D" w:rsidRPr="009040B8" w:rsidRDefault="0051730D" w:rsidP="0051730D">
            <w:pPr>
              <w:jc w:val="center"/>
              <w:rPr>
                <w:rFonts w:ascii="Verdana" w:hAnsi="Verdana" w:cs="Arial"/>
                <w:bCs/>
              </w:rPr>
            </w:pPr>
            <w:r w:rsidRPr="009040B8">
              <w:rPr>
                <w:rFonts w:ascii="Verdana" w:hAnsi="Verdana" w:cs="Arial"/>
                <w:bCs/>
              </w:rPr>
              <w:t>0,4</w:t>
            </w:r>
          </w:p>
        </w:tc>
        <w:tc>
          <w:tcPr>
            <w:tcW w:w="858" w:type="dxa"/>
            <w:tcBorders>
              <w:top w:val="single" w:sz="4" w:space="0" w:color="auto"/>
              <w:left w:val="nil"/>
              <w:bottom w:val="single" w:sz="4" w:space="0" w:color="auto"/>
              <w:right w:val="single" w:sz="4" w:space="0" w:color="auto"/>
            </w:tcBorders>
            <w:noWrap/>
            <w:vAlign w:val="center"/>
          </w:tcPr>
          <w:p w:rsidR="0051730D" w:rsidRPr="009040B8" w:rsidRDefault="0051730D" w:rsidP="0051730D">
            <w:pPr>
              <w:jc w:val="center"/>
              <w:rPr>
                <w:rFonts w:ascii="Verdana" w:hAnsi="Verdana" w:cs="Arial"/>
                <w:bCs/>
              </w:rPr>
            </w:pPr>
            <w:r w:rsidRPr="009040B8">
              <w:rPr>
                <w:rFonts w:ascii="Verdana" w:hAnsi="Verdana" w:cs="Arial"/>
                <w:bCs/>
              </w:rPr>
              <w:t>0,5</w:t>
            </w:r>
          </w:p>
        </w:tc>
        <w:tc>
          <w:tcPr>
            <w:tcW w:w="779" w:type="dxa"/>
            <w:tcBorders>
              <w:top w:val="single" w:sz="4" w:space="0" w:color="auto"/>
              <w:left w:val="nil"/>
              <w:bottom w:val="single" w:sz="4" w:space="0" w:color="auto"/>
              <w:right w:val="single" w:sz="4" w:space="0" w:color="auto"/>
            </w:tcBorders>
            <w:noWrap/>
            <w:vAlign w:val="center"/>
          </w:tcPr>
          <w:p w:rsidR="0051730D" w:rsidRPr="009040B8" w:rsidRDefault="0051730D" w:rsidP="0051730D">
            <w:pPr>
              <w:jc w:val="center"/>
              <w:rPr>
                <w:rFonts w:ascii="Verdana" w:hAnsi="Verdana" w:cs="Arial"/>
                <w:i/>
                <w:iCs/>
              </w:rPr>
            </w:pPr>
            <w:r w:rsidRPr="009040B8">
              <w:rPr>
                <w:rFonts w:ascii="Verdana" w:hAnsi="Verdana" w:cs="Arial"/>
                <w:i/>
                <w:iCs/>
              </w:rPr>
              <w:t>-</w:t>
            </w:r>
          </w:p>
        </w:tc>
      </w:tr>
      <w:tr w:rsidR="0051730D" w:rsidRPr="009040B8" w:rsidTr="0051730D">
        <w:trPr>
          <w:trHeight w:val="255"/>
          <w:jc w:val="center"/>
        </w:trPr>
        <w:tc>
          <w:tcPr>
            <w:tcW w:w="5073" w:type="dxa"/>
            <w:tcBorders>
              <w:top w:val="nil"/>
              <w:left w:val="single" w:sz="4" w:space="0" w:color="auto"/>
              <w:bottom w:val="single" w:sz="4" w:space="0" w:color="auto"/>
              <w:right w:val="single" w:sz="4" w:space="0" w:color="auto"/>
            </w:tcBorders>
            <w:noWrap/>
            <w:vAlign w:val="bottom"/>
          </w:tcPr>
          <w:p w:rsidR="0051730D" w:rsidRPr="009040B8" w:rsidRDefault="0051730D" w:rsidP="0051730D">
            <w:pPr>
              <w:jc w:val="both"/>
              <w:rPr>
                <w:rFonts w:ascii="Verdana" w:hAnsi="Verdana" w:cs="Arial"/>
              </w:rPr>
            </w:pPr>
            <w:r w:rsidRPr="009040B8">
              <w:rPr>
                <w:rFonts w:ascii="Verdana" w:hAnsi="Verdana" w:cs="Arial"/>
              </w:rPr>
              <w:t>p</w:t>
            </w:r>
            <w:r w:rsidRPr="009040B8">
              <w:rPr>
                <w:rFonts w:ascii="Verdana" w:hAnsi="Verdana" w:cs="Arial"/>
                <w:vertAlign w:val="subscript"/>
              </w:rPr>
              <w:t>a</w:t>
            </w:r>
          </w:p>
        </w:tc>
        <w:tc>
          <w:tcPr>
            <w:tcW w:w="858" w:type="dxa"/>
            <w:tcBorders>
              <w:top w:val="nil"/>
              <w:left w:val="nil"/>
              <w:bottom w:val="single" w:sz="4" w:space="0" w:color="auto"/>
              <w:right w:val="single" w:sz="4" w:space="0" w:color="auto"/>
            </w:tcBorders>
            <w:noWrap/>
            <w:vAlign w:val="center"/>
          </w:tcPr>
          <w:p w:rsidR="0051730D" w:rsidRPr="009040B8" w:rsidRDefault="0051730D" w:rsidP="0051730D">
            <w:pPr>
              <w:jc w:val="center"/>
              <w:rPr>
                <w:rFonts w:ascii="Verdana" w:hAnsi="Verdana" w:cs="Arial"/>
                <w:bCs/>
              </w:rPr>
            </w:pPr>
            <w:r w:rsidRPr="009040B8">
              <w:rPr>
                <w:rFonts w:ascii="Verdana" w:hAnsi="Verdana" w:cs="Arial"/>
                <w:bCs/>
              </w:rPr>
              <w:t>0,08</w:t>
            </w:r>
          </w:p>
        </w:tc>
        <w:tc>
          <w:tcPr>
            <w:tcW w:w="858" w:type="dxa"/>
            <w:tcBorders>
              <w:top w:val="nil"/>
              <w:left w:val="nil"/>
              <w:bottom w:val="single" w:sz="4" w:space="0" w:color="auto"/>
              <w:right w:val="single" w:sz="4" w:space="0" w:color="auto"/>
            </w:tcBorders>
            <w:noWrap/>
            <w:vAlign w:val="center"/>
          </w:tcPr>
          <w:p w:rsidR="0051730D" w:rsidRPr="009040B8" w:rsidRDefault="0051730D" w:rsidP="0051730D">
            <w:pPr>
              <w:jc w:val="center"/>
              <w:rPr>
                <w:rFonts w:ascii="Verdana" w:hAnsi="Verdana" w:cs="Arial"/>
                <w:bCs/>
              </w:rPr>
            </w:pPr>
            <w:r w:rsidRPr="009040B8">
              <w:rPr>
                <w:rFonts w:ascii="Verdana" w:hAnsi="Verdana" w:cs="Arial"/>
                <w:bCs/>
              </w:rPr>
              <w:t>0,16</w:t>
            </w:r>
          </w:p>
        </w:tc>
        <w:tc>
          <w:tcPr>
            <w:tcW w:w="779" w:type="dxa"/>
            <w:tcBorders>
              <w:top w:val="nil"/>
              <w:left w:val="nil"/>
              <w:bottom w:val="single" w:sz="4" w:space="0" w:color="auto"/>
              <w:right w:val="single" w:sz="4" w:space="0" w:color="auto"/>
            </w:tcBorders>
            <w:noWrap/>
            <w:vAlign w:val="center"/>
          </w:tcPr>
          <w:p w:rsidR="0051730D" w:rsidRPr="009040B8" w:rsidRDefault="0051730D" w:rsidP="0051730D">
            <w:pPr>
              <w:jc w:val="center"/>
              <w:rPr>
                <w:rFonts w:ascii="Verdana" w:hAnsi="Verdana" w:cs="Arial"/>
                <w:i/>
                <w:iCs/>
              </w:rPr>
            </w:pPr>
            <w:r w:rsidRPr="009040B8">
              <w:rPr>
                <w:rFonts w:ascii="Verdana" w:hAnsi="Verdana" w:cs="Arial"/>
                <w:i/>
                <w:iCs/>
              </w:rPr>
              <w:t>-</w:t>
            </w:r>
          </w:p>
        </w:tc>
      </w:tr>
    </w:tbl>
    <w:p w:rsidR="0051730D" w:rsidRPr="009040B8" w:rsidRDefault="0051730D" w:rsidP="0051730D">
      <w:pPr>
        <w:jc w:val="both"/>
        <w:rPr>
          <w:rFonts w:ascii="Verdana" w:hAnsi="Verdana" w:cs="Arial"/>
          <w:highlight w:val="red"/>
        </w:rPr>
      </w:pPr>
    </w:p>
    <w:p w:rsidR="0051730D" w:rsidRPr="009040B8" w:rsidRDefault="0051730D" w:rsidP="0051730D">
      <w:pPr>
        <w:jc w:val="both"/>
        <w:rPr>
          <w:rFonts w:ascii="Verdana" w:hAnsi="Verdana" w:cs="Arial"/>
        </w:rPr>
      </w:pPr>
      <w:r w:rsidRPr="009040B8">
        <w:rPr>
          <w:rFonts w:ascii="Verdana" w:hAnsi="Verdana" w:cs="Arial"/>
        </w:rPr>
        <w:t>Potrącenia na nieprawidłową zawartość kruszyw w mieszance mineralno-asfaltowej oblicza się na podstawie następującego wzoru</w:t>
      </w:r>
      <w:r>
        <w:rPr>
          <w:rFonts w:ascii="Verdana" w:hAnsi="Verdana" w:cs="Arial"/>
        </w:rPr>
        <w:t>:</w:t>
      </w:r>
    </w:p>
    <w:p w:rsidR="0051730D" w:rsidRPr="009040B8" w:rsidRDefault="0051730D" w:rsidP="0051730D">
      <w:pPr>
        <w:jc w:val="both"/>
        <w:rPr>
          <w:rFonts w:ascii="Verdana" w:hAnsi="Verdana" w:cs="Arial"/>
        </w:rPr>
      </w:pPr>
      <w:r w:rsidRPr="009040B8">
        <w:rPr>
          <w:rFonts w:ascii="Verdana" w:hAnsi="Verdana" w:cs="Arial"/>
        </w:rPr>
        <w:t>P = A*</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hAnsi="Verdana" w:cs="Arial"/>
          <w:vertAlign w:val="subscript"/>
        </w:rPr>
        <w:t xml:space="preserve"> (w)*</w:t>
      </w:r>
      <w:proofErr w:type="spellStart"/>
      <w:r w:rsidRPr="009040B8">
        <w:rPr>
          <w:rFonts w:ascii="Verdana" w:hAnsi="Verdana" w:cs="Arial"/>
        </w:rPr>
        <w:t>c</w:t>
      </w:r>
      <w:r w:rsidRPr="009040B8">
        <w:rPr>
          <w:rFonts w:ascii="Verdana" w:hAnsi="Verdana" w:cs="Arial"/>
          <w:vertAlign w:val="subscript"/>
        </w:rPr>
        <w:t>j</w:t>
      </w:r>
      <w:proofErr w:type="spellEnd"/>
    </w:p>
    <w:p w:rsidR="0051730D" w:rsidRPr="00347FA3" w:rsidRDefault="0051730D" w:rsidP="0051730D">
      <w:pPr>
        <w:jc w:val="both"/>
        <w:rPr>
          <w:rFonts w:ascii="Verdana" w:hAnsi="Verdana" w:cs="Arial"/>
          <w:vertAlign w:val="superscript"/>
        </w:rPr>
      </w:pPr>
      <w:r w:rsidRPr="009040B8">
        <w:rPr>
          <w:rFonts w:ascii="Verdana" w:hAnsi="Verdana" w:cs="Arial"/>
        </w:rPr>
        <w:t xml:space="preserve">A - powierzchnia </w:t>
      </w:r>
      <w:r>
        <w:rPr>
          <w:rFonts w:ascii="Verdana" w:hAnsi="Verdana" w:cs="Arial"/>
        </w:rPr>
        <w:t>w m</w:t>
      </w:r>
      <w:r>
        <w:rPr>
          <w:rFonts w:ascii="Verdana" w:hAnsi="Verdana" w:cs="Arial"/>
          <w:vertAlign w:val="superscript"/>
        </w:rPr>
        <w:t>2</w:t>
      </w:r>
    </w:p>
    <w:p w:rsidR="0051730D" w:rsidRPr="009040B8" w:rsidRDefault="0051730D" w:rsidP="0051730D">
      <w:pPr>
        <w:jc w:val="both"/>
        <w:rPr>
          <w:rFonts w:ascii="Verdana" w:hAnsi="Verdana" w:cs="Arial"/>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hAnsi="Verdana" w:cs="Arial"/>
        </w:rPr>
        <w:t xml:space="preserve"> - współczynnik do obliczania potrąceń za niewłaściwą ilość </w:t>
      </w:r>
      <w:r>
        <w:rPr>
          <w:rFonts w:ascii="Verdana" w:hAnsi="Verdana" w:cs="Arial"/>
        </w:rPr>
        <w:t xml:space="preserve">kruszywa </w:t>
      </w:r>
    </w:p>
    <w:p w:rsidR="0051730D" w:rsidRPr="009040B8" w:rsidRDefault="0051730D" w:rsidP="0051730D">
      <w:pPr>
        <w:jc w:val="both"/>
        <w:rPr>
          <w:rFonts w:ascii="Verdana" w:hAnsi="Verdana" w:cs="Arial"/>
        </w:rPr>
      </w:pPr>
      <w:proofErr w:type="spellStart"/>
      <w:r w:rsidRPr="009040B8">
        <w:rPr>
          <w:rFonts w:ascii="Verdana" w:hAnsi="Verdana" w:cs="Arial"/>
        </w:rPr>
        <w:t>p</w:t>
      </w:r>
      <w:r w:rsidRPr="009040B8">
        <w:rPr>
          <w:rFonts w:ascii="Verdana" w:hAnsi="Verdana" w:cs="Arial"/>
          <w:vertAlign w:val="subscript"/>
        </w:rPr>
        <w:t>w</w:t>
      </w:r>
      <w:proofErr w:type="spellEnd"/>
      <w:r w:rsidRPr="009040B8">
        <w:rPr>
          <w:rFonts w:ascii="Verdana" w:hAnsi="Verdana" w:cs="Arial"/>
        </w:rPr>
        <w:t xml:space="preserve"> - współczynnik do obliczania potrąceń za niewłaściwą ilość kruszywa </w:t>
      </w:r>
      <w:r>
        <w:rPr>
          <w:rFonts w:ascii="Verdana" w:hAnsi="Verdana" w:cs="Arial"/>
        </w:rPr>
        <w:t>&lt; 0,063</w:t>
      </w:r>
      <w:r w:rsidRPr="009040B8">
        <w:rPr>
          <w:rFonts w:ascii="Verdana" w:hAnsi="Verdana" w:cs="Arial"/>
        </w:rPr>
        <w:t xml:space="preserve"> mm</w:t>
      </w:r>
    </w:p>
    <w:p w:rsidR="0051730D" w:rsidRPr="009040B8" w:rsidRDefault="0051730D" w:rsidP="0051730D">
      <w:pPr>
        <w:jc w:val="both"/>
        <w:rPr>
          <w:rFonts w:ascii="Verdana" w:hAnsi="Verdana" w:cs="Arial"/>
        </w:rPr>
      </w:pPr>
      <w:proofErr w:type="spellStart"/>
      <w:r w:rsidRPr="009040B8">
        <w:rPr>
          <w:rFonts w:ascii="Verdana" w:hAnsi="Verdana" w:cs="Arial"/>
        </w:rPr>
        <w:t>c</w:t>
      </w:r>
      <w:r w:rsidRPr="009040B8">
        <w:rPr>
          <w:rFonts w:ascii="Verdana" w:hAnsi="Verdana" w:cs="Arial"/>
          <w:vertAlign w:val="subscript"/>
        </w:rPr>
        <w:t>j</w:t>
      </w:r>
      <w:proofErr w:type="spellEnd"/>
      <w:r w:rsidRPr="009040B8">
        <w:rPr>
          <w:rFonts w:ascii="Verdana" w:hAnsi="Verdana" w:cs="Arial"/>
        </w:rPr>
        <w:t xml:space="preserve"> - cena jednostkowa </w:t>
      </w:r>
    </w:p>
    <w:p w:rsidR="0051730D" w:rsidRPr="009040B8" w:rsidRDefault="0051730D" w:rsidP="0051730D">
      <w:pPr>
        <w:jc w:val="both"/>
        <w:rPr>
          <w:rFonts w:ascii="Verdana" w:hAnsi="Verdana" w:cs="Arial"/>
        </w:rPr>
      </w:pPr>
      <w:r w:rsidRPr="009040B8">
        <w:rPr>
          <w:rFonts w:ascii="Verdana" w:hAnsi="Verdana" w:cs="Arial"/>
        </w:rPr>
        <w:t>P - potrącenia</w:t>
      </w:r>
    </w:p>
    <w:p w:rsidR="0051730D" w:rsidRDefault="0051730D" w:rsidP="0051730D">
      <w:pPr>
        <w:rPr>
          <w:rFonts w:ascii="Verdana" w:hAnsi="Verdana" w:cs="Arial"/>
        </w:rPr>
      </w:pPr>
    </w:p>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sidRPr="009040B8">
        <w:rPr>
          <w:rFonts w:ascii="Verdana" w:eastAsia="Calibri" w:hAnsi="Verdana" w:cs="Arial"/>
          <w:vertAlign w:val="subscript"/>
          <w:lang w:eastAsia="en-US"/>
        </w:rPr>
        <w:t>w</w:t>
      </w:r>
      <w:proofErr w:type="spellEnd"/>
      <w:r w:rsidRPr="009040B8">
        <w:rPr>
          <w:rFonts w:ascii="Verdana" w:eastAsia="Calibri" w:hAnsi="Verdana" w:cs="Arial"/>
          <w:lang w:eastAsia="en-US"/>
        </w:rPr>
        <w:t xml:space="preserve">" do obliczania potrąceń za niewłaściwą ilość kruszywa o wymiarze &lt;0,063 mm </w:t>
      </w:r>
    </w:p>
    <w:tbl>
      <w:tblPr>
        <w:tblW w:w="9665" w:type="dxa"/>
        <w:jc w:val="center"/>
        <w:tblCellMar>
          <w:left w:w="0" w:type="dxa"/>
          <w:right w:w="0" w:type="dxa"/>
        </w:tblCellMar>
        <w:tblLook w:val="04A0" w:firstRow="1" w:lastRow="0" w:firstColumn="1" w:lastColumn="0" w:noHBand="0" w:noVBand="1"/>
      </w:tblPr>
      <w:tblGrid>
        <w:gridCol w:w="185"/>
        <w:gridCol w:w="4019"/>
        <w:gridCol w:w="1338"/>
        <w:gridCol w:w="1418"/>
        <w:gridCol w:w="1276"/>
        <w:gridCol w:w="1429"/>
      </w:tblGrid>
      <w:tr w:rsidR="0051730D" w:rsidRPr="009040B8" w:rsidTr="0051730D">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1,6 – 1,7</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1,8 – 1,9</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2,0 – 2,4</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2,5 – 3,0</w:t>
            </w:r>
          </w:p>
        </w:tc>
      </w:tr>
      <w:tr w:rsidR="0051730D" w:rsidRPr="009040B8" w:rsidTr="0051730D">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proofErr w:type="spellStart"/>
            <w:r w:rsidRPr="009040B8">
              <w:rPr>
                <w:rFonts w:ascii="Verdana" w:eastAsia="Calibri" w:hAnsi="Verdana" w:cs="Arial"/>
                <w:lang w:eastAsia="en-US"/>
              </w:rPr>
              <w:t>p</w:t>
            </w:r>
            <w:r w:rsidRPr="009040B8">
              <w:rPr>
                <w:rFonts w:ascii="Verdana" w:eastAsia="Calibri" w:hAnsi="Verdana" w:cs="Arial"/>
                <w:vertAlign w:val="subscript"/>
                <w:lang w:eastAsia="en-US"/>
              </w:rPr>
              <w:t>w</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0,13</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0,15</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0,17</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0,2</w:t>
            </w:r>
          </w:p>
        </w:tc>
      </w:tr>
      <w:tr w:rsidR="0051730D" w:rsidRPr="009040B8" w:rsidTr="0051730D">
        <w:trPr>
          <w:trHeight w:val="255"/>
          <w:jc w:val="center"/>
        </w:trPr>
        <w:tc>
          <w:tcPr>
            <w:tcW w:w="185" w:type="dxa"/>
            <w:tcMar>
              <w:top w:w="0" w:type="dxa"/>
              <w:left w:w="70" w:type="dxa"/>
              <w:bottom w:w="0" w:type="dxa"/>
              <w:right w:w="70" w:type="dxa"/>
            </w:tcMar>
          </w:tcPr>
          <w:p w:rsidR="0051730D" w:rsidRPr="009040B8" w:rsidRDefault="0051730D" w:rsidP="0051730D">
            <w:pPr>
              <w:rPr>
                <w:rFonts w:ascii="Verdana" w:eastAsia="Calibri" w:hAnsi="Verdana" w:cs="Arial"/>
                <w:lang w:eastAsia="en-US"/>
              </w:rPr>
            </w:pPr>
          </w:p>
        </w:tc>
        <w:tc>
          <w:tcPr>
            <w:tcW w:w="9480" w:type="dxa"/>
            <w:gridSpan w:val="5"/>
            <w:noWrap/>
            <w:tcMar>
              <w:top w:w="0" w:type="dxa"/>
              <w:left w:w="70" w:type="dxa"/>
              <w:bottom w:w="0" w:type="dxa"/>
              <w:right w:w="70" w:type="dxa"/>
            </w:tcMar>
            <w:vAlign w:val="bottom"/>
          </w:tcPr>
          <w:p w:rsidR="0051730D" w:rsidRPr="009040B8" w:rsidRDefault="0051730D" w:rsidP="0051730D">
            <w:pPr>
              <w:rPr>
                <w:rFonts w:ascii="Verdana" w:eastAsia="Calibri" w:hAnsi="Verdana" w:cs="Arial"/>
                <w:lang w:eastAsia="en-US"/>
              </w:rPr>
            </w:pPr>
          </w:p>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do obliczania potrąceń za niewłaściwą ilość kruszywa o wymiarze</w:t>
            </w:r>
            <w:r>
              <w:rPr>
                <w:rFonts w:ascii="Verdana" w:eastAsia="Calibri" w:hAnsi="Verdana" w:cs="Arial"/>
                <w:lang w:eastAsia="en-US"/>
              </w:rPr>
              <w:br/>
            </w:r>
            <w:r w:rsidRPr="009040B8">
              <w:rPr>
                <w:rFonts w:ascii="Verdana" w:eastAsia="Calibri" w:hAnsi="Verdana" w:cs="Arial"/>
                <w:lang w:eastAsia="en-US"/>
              </w:rPr>
              <w:t xml:space="preserve"> &lt;0,125 mm </w:t>
            </w:r>
          </w:p>
        </w:tc>
      </w:tr>
      <w:tr w:rsidR="0051730D" w:rsidRPr="009040B8" w:rsidTr="0051730D">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3</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4</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r w:rsidR="0051730D" w:rsidRPr="009040B8" w:rsidTr="0051730D">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P</w:t>
            </w:r>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0,2</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r w:rsidR="0051730D" w:rsidRPr="009040B8" w:rsidTr="0051730D">
        <w:trPr>
          <w:trHeight w:val="255"/>
          <w:jc w:val="center"/>
        </w:trPr>
        <w:tc>
          <w:tcPr>
            <w:tcW w:w="4204" w:type="dxa"/>
            <w:gridSpan w:val="2"/>
            <w:noWrap/>
            <w:tcMar>
              <w:top w:w="0" w:type="dxa"/>
              <w:left w:w="70" w:type="dxa"/>
              <w:bottom w:w="0" w:type="dxa"/>
              <w:right w:w="70" w:type="dxa"/>
            </w:tcMar>
            <w:vAlign w:val="bottom"/>
          </w:tcPr>
          <w:p w:rsidR="0051730D" w:rsidRPr="009040B8" w:rsidRDefault="0051730D" w:rsidP="0051730D">
            <w:pPr>
              <w:rPr>
                <w:rFonts w:ascii="Verdana" w:eastAsia="Calibri" w:hAnsi="Verdana" w:cs="Arial"/>
                <w:lang w:eastAsia="en-US"/>
              </w:rPr>
            </w:pPr>
          </w:p>
        </w:tc>
        <w:tc>
          <w:tcPr>
            <w:tcW w:w="1338" w:type="dxa"/>
            <w:noWrap/>
            <w:tcMar>
              <w:top w:w="0" w:type="dxa"/>
              <w:left w:w="70" w:type="dxa"/>
              <w:bottom w:w="0" w:type="dxa"/>
              <w:right w:w="70" w:type="dxa"/>
            </w:tcMar>
            <w:vAlign w:val="bottom"/>
          </w:tcPr>
          <w:p w:rsidR="0051730D" w:rsidRPr="009040B8" w:rsidRDefault="0051730D" w:rsidP="0051730D">
            <w:pPr>
              <w:rPr>
                <w:rFonts w:ascii="Verdana" w:eastAsia="Calibri" w:hAnsi="Verdana" w:cs="Arial"/>
                <w:lang w:eastAsia="en-US"/>
              </w:rPr>
            </w:pPr>
          </w:p>
        </w:tc>
        <w:tc>
          <w:tcPr>
            <w:tcW w:w="1418" w:type="dxa"/>
            <w:noWrap/>
            <w:tcMar>
              <w:top w:w="0" w:type="dxa"/>
              <w:left w:w="70" w:type="dxa"/>
              <w:bottom w:w="0" w:type="dxa"/>
              <w:right w:w="70" w:type="dxa"/>
            </w:tcMar>
            <w:vAlign w:val="bottom"/>
          </w:tcPr>
          <w:p w:rsidR="0051730D" w:rsidRPr="009040B8" w:rsidRDefault="0051730D" w:rsidP="0051730D">
            <w:pPr>
              <w:rPr>
                <w:rFonts w:ascii="Verdana" w:eastAsia="Calibri" w:hAnsi="Verdana" w:cs="Arial"/>
                <w:lang w:eastAsia="en-US"/>
              </w:rPr>
            </w:pPr>
          </w:p>
        </w:tc>
        <w:tc>
          <w:tcPr>
            <w:tcW w:w="1276" w:type="dxa"/>
            <w:tcMar>
              <w:top w:w="0" w:type="dxa"/>
              <w:left w:w="70" w:type="dxa"/>
              <w:bottom w:w="0" w:type="dxa"/>
              <w:right w:w="70" w:type="dxa"/>
            </w:tcMar>
          </w:tcPr>
          <w:p w:rsidR="0051730D" w:rsidRPr="009040B8" w:rsidRDefault="0051730D" w:rsidP="0051730D">
            <w:pPr>
              <w:rPr>
                <w:rFonts w:ascii="Verdana" w:eastAsia="Calibri" w:hAnsi="Verdana" w:cs="Arial"/>
                <w:lang w:eastAsia="en-US"/>
              </w:rPr>
            </w:pPr>
          </w:p>
        </w:tc>
        <w:tc>
          <w:tcPr>
            <w:tcW w:w="1429" w:type="dxa"/>
            <w:noWrap/>
            <w:tcMar>
              <w:top w:w="0" w:type="dxa"/>
              <w:left w:w="70" w:type="dxa"/>
              <w:bottom w:w="0" w:type="dxa"/>
              <w:right w:w="70" w:type="dxa"/>
            </w:tcMar>
            <w:vAlign w:val="bottom"/>
          </w:tcPr>
          <w:p w:rsidR="0051730D" w:rsidRPr="009040B8" w:rsidRDefault="0051730D" w:rsidP="0051730D">
            <w:pPr>
              <w:rPr>
                <w:rFonts w:ascii="Verdana" w:eastAsia="Calibri" w:hAnsi="Verdana" w:cs="Arial"/>
                <w:lang w:eastAsia="en-US"/>
              </w:rPr>
            </w:pPr>
          </w:p>
        </w:tc>
      </w:tr>
      <w:tr w:rsidR="0051730D" w:rsidRPr="009040B8" w:rsidTr="0051730D">
        <w:trPr>
          <w:trHeight w:val="255"/>
          <w:jc w:val="center"/>
        </w:trPr>
        <w:tc>
          <w:tcPr>
            <w:tcW w:w="185" w:type="dxa"/>
            <w:tcMar>
              <w:top w:w="0" w:type="dxa"/>
              <w:left w:w="70" w:type="dxa"/>
              <w:bottom w:w="0" w:type="dxa"/>
              <w:right w:w="70" w:type="dxa"/>
            </w:tcMar>
          </w:tcPr>
          <w:p w:rsidR="0051730D" w:rsidRPr="009040B8" w:rsidRDefault="0051730D" w:rsidP="0051730D">
            <w:pPr>
              <w:rPr>
                <w:rFonts w:ascii="Verdana" w:eastAsia="Calibri" w:hAnsi="Verdana" w:cs="Arial"/>
                <w:lang w:eastAsia="en-US"/>
              </w:rPr>
            </w:pPr>
          </w:p>
        </w:tc>
        <w:tc>
          <w:tcPr>
            <w:tcW w:w="9480" w:type="dxa"/>
            <w:gridSpan w:val="5"/>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br/>
            </w:r>
            <w:r w:rsidRPr="009040B8">
              <w:rPr>
                <w:rFonts w:ascii="Verdana" w:eastAsia="Calibri" w:hAnsi="Verdana" w:cs="Arial"/>
                <w:lang w:eastAsia="en-US"/>
              </w:rPr>
              <w:t xml:space="preserve">&lt; 2,0 mm </w:t>
            </w:r>
          </w:p>
        </w:tc>
      </w:tr>
      <w:tr w:rsidR="0051730D" w:rsidRPr="009040B8" w:rsidTr="0051730D">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r w:rsidR="0051730D" w:rsidRPr="009040B8" w:rsidTr="0051730D">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r w:rsidR="0051730D" w:rsidRPr="009040B8" w:rsidTr="0051730D">
        <w:trPr>
          <w:trHeight w:val="255"/>
          <w:jc w:val="center"/>
        </w:trPr>
        <w:tc>
          <w:tcPr>
            <w:tcW w:w="185" w:type="dxa"/>
            <w:tcMar>
              <w:top w:w="0" w:type="dxa"/>
              <w:left w:w="70" w:type="dxa"/>
              <w:bottom w:w="0" w:type="dxa"/>
              <w:right w:w="70" w:type="dxa"/>
            </w:tcMar>
          </w:tcPr>
          <w:p w:rsidR="0051730D" w:rsidRPr="009040B8" w:rsidRDefault="0051730D" w:rsidP="0051730D">
            <w:pPr>
              <w:rPr>
                <w:rFonts w:ascii="Verdana" w:eastAsia="Calibri" w:hAnsi="Verdana" w:cs="Arial"/>
                <w:lang w:eastAsia="en-US"/>
              </w:rPr>
            </w:pPr>
          </w:p>
          <w:p w:rsidR="0051730D" w:rsidRPr="009040B8" w:rsidRDefault="0051730D" w:rsidP="0051730D">
            <w:pPr>
              <w:rPr>
                <w:rFonts w:ascii="Verdana" w:eastAsia="Calibri" w:hAnsi="Verdana" w:cs="Arial"/>
                <w:lang w:eastAsia="en-US"/>
              </w:rPr>
            </w:pPr>
          </w:p>
        </w:tc>
        <w:tc>
          <w:tcPr>
            <w:tcW w:w="9480" w:type="dxa"/>
            <w:gridSpan w:val="5"/>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br/>
            </w:r>
            <w:r w:rsidRPr="009040B8">
              <w:rPr>
                <w:rFonts w:ascii="Verdana" w:eastAsia="Calibri" w:hAnsi="Verdana" w:cs="Arial"/>
                <w:lang w:eastAsia="en-US"/>
              </w:rPr>
              <w:t>&lt; D/2 mm</w:t>
            </w:r>
          </w:p>
        </w:tc>
      </w:tr>
      <w:tr w:rsidR="0051730D" w:rsidRPr="009040B8" w:rsidTr="0051730D">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r w:rsidR="0051730D" w:rsidRPr="009040B8" w:rsidTr="0051730D">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r w:rsidR="0051730D" w:rsidRPr="009040B8" w:rsidTr="0051730D">
        <w:trPr>
          <w:trHeight w:val="255"/>
          <w:jc w:val="center"/>
        </w:trPr>
        <w:tc>
          <w:tcPr>
            <w:tcW w:w="185" w:type="dxa"/>
            <w:tcMar>
              <w:top w:w="0" w:type="dxa"/>
              <w:left w:w="70" w:type="dxa"/>
              <w:bottom w:w="0" w:type="dxa"/>
              <w:right w:w="70" w:type="dxa"/>
            </w:tcMar>
          </w:tcPr>
          <w:p w:rsidR="0051730D" w:rsidRPr="009040B8" w:rsidRDefault="0051730D" w:rsidP="0051730D">
            <w:pPr>
              <w:rPr>
                <w:rFonts w:ascii="Verdana" w:eastAsia="Calibri" w:hAnsi="Verdana" w:cs="Arial"/>
                <w:lang w:eastAsia="en-US"/>
              </w:rPr>
            </w:pPr>
          </w:p>
        </w:tc>
        <w:tc>
          <w:tcPr>
            <w:tcW w:w="9480" w:type="dxa"/>
            <w:gridSpan w:val="5"/>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p>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br/>
            </w:r>
            <w:r w:rsidRPr="009040B8">
              <w:rPr>
                <w:rFonts w:ascii="Verdana" w:eastAsia="Calibri" w:hAnsi="Verdana" w:cs="Arial"/>
                <w:lang w:eastAsia="en-US"/>
              </w:rPr>
              <w:t xml:space="preserve">&lt; D mm </w:t>
            </w:r>
          </w:p>
        </w:tc>
      </w:tr>
      <w:tr w:rsidR="0051730D" w:rsidRPr="009040B8" w:rsidTr="0051730D">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r w:rsidR="0051730D" w:rsidRPr="009040B8" w:rsidTr="0051730D">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1730D" w:rsidRPr="009040B8" w:rsidRDefault="0051730D" w:rsidP="0051730D">
            <w:pPr>
              <w:rPr>
                <w:rFonts w:ascii="Verdana" w:eastAsia="Calibri" w:hAnsi="Verdana" w:cs="Arial"/>
                <w:lang w:eastAsia="en-US"/>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1730D" w:rsidRPr="009040B8" w:rsidRDefault="0051730D" w:rsidP="0051730D">
            <w:pPr>
              <w:jc w:val="center"/>
              <w:rPr>
                <w:rFonts w:ascii="Verdana" w:eastAsia="Calibri" w:hAnsi="Verdana" w:cs="Arial"/>
                <w:lang w:eastAsia="en-US"/>
              </w:rPr>
            </w:pPr>
            <w:r w:rsidRPr="009040B8">
              <w:rPr>
                <w:rFonts w:ascii="Verdana" w:eastAsia="Calibri" w:hAnsi="Verdana" w:cs="Arial"/>
                <w:lang w:eastAsia="en-US"/>
              </w:rPr>
              <w:t>-</w:t>
            </w:r>
          </w:p>
        </w:tc>
      </w:tr>
    </w:tbl>
    <w:p w:rsidR="0051730D" w:rsidRPr="009040B8" w:rsidRDefault="0051730D" w:rsidP="0051730D">
      <w:pPr>
        <w:spacing w:before="120"/>
        <w:jc w:val="both"/>
        <w:rPr>
          <w:rFonts w:ascii="Verdana" w:hAnsi="Verdana" w:cs="Arial"/>
          <w:b/>
        </w:rPr>
      </w:pPr>
      <w:r w:rsidRPr="009040B8">
        <w:rPr>
          <w:rFonts w:ascii="Verdana" w:hAnsi="Verdana" w:cs="Arial"/>
          <w:b/>
        </w:rPr>
        <w:t xml:space="preserve">6.4.1.1. Zawartość wolnych przestrzeni w próbkach </w:t>
      </w:r>
      <w:proofErr w:type="spellStart"/>
      <w:r w:rsidRPr="009040B8">
        <w:rPr>
          <w:rFonts w:ascii="Verdana" w:hAnsi="Verdana" w:cs="Arial"/>
          <w:b/>
        </w:rPr>
        <w:t>Marshall’a</w:t>
      </w:r>
      <w:proofErr w:type="spellEnd"/>
    </w:p>
    <w:p w:rsidR="0051730D" w:rsidRPr="009040B8" w:rsidRDefault="0051730D" w:rsidP="0051730D">
      <w:pPr>
        <w:jc w:val="both"/>
        <w:rPr>
          <w:rFonts w:ascii="Verdana" w:hAnsi="Verdana" w:cs="Arial"/>
        </w:rPr>
      </w:pPr>
      <w:r w:rsidRPr="009040B8">
        <w:rPr>
          <w:rFonts w:ascii="Verdana" w:hAnsi="Verdana" w:cs="Arial"/>
        </w:rPr>
        <w:t xml:space="preserve">Zawartość wolnych przestrzeni w próbce </w:t>
      </w:r>
      <w:proofErr w:type="spellStart"/>
      <w:r w:rsidRPr="009040B8">
        <w:rPr>
          <w:rFonts w:ascii="Verdana" w:hAnsi="Verdana" w:cs="Arial"/>
        </w:rPr>
        <w:t>Marshall’a</w:t>
      </w:r>
      <w:proofErr w:type="spellEnd"/>
      <w:r w:rsidRPr="009040B8">
        <w:rPr>
          <w:rFonts w:ascii="Verdana" w:hAnsi="Verdana" w:cs="Arial"/>
        </w:rPr>
        <w:t xml:space="preserve"> pobranej z mieszanki AC </w:t>
      </w:r>
      <w:r>
        <w:rPr>
          <w:rFonts w:ascii="Verdana" w:hAnsi="Verdana" w:cs="Arial"/>
        </w:rPr>
        <w:t>22 P</w:t>
      </w:r>
      <w:r w:rsidRPr="009040B8">
        <w:rPr>
          <w:rFonts w:ascii="Verdana" w:hAnsi="Verdana" w:cs="Arial"/>
        </w:rPr>
        <w:t xml:space="preserve"> lub wyjątkowo powtórnie rozgrzanej próbki pobranej z nawierzchni, nie może wykroczyć poza wartości dopuszczalne podane w p. 5.2 tab</w:t>
      </w:r>
      <w:r>
        <w:rPr>
          <w:rFonts w:ascii="Verdana" w:hAnsi="Verdana" w:cs="Arial"/>
        </w:rPr>
        <w:t>eli</w:t>
      </w:r>
      <w:r w:rsidRPr="009040B8">
        <w:rPr>
          <w:rFonts w:ascii="Verdana" w:hAnsi="Verdana" w:cs="Arial"/>
        </w:rPr>
        <w:t xml:space="preserve"> 1</w:t>
      </w:r>
      <w:r>
        <w:rPr>
          <w:rFonts w:ascii="Verdana" w:hAnsi="Verdana" w:cs="Arial"/>
        </w:rPr>
        <w:t>0</w:t>
      </w:r>
      <w:r w:rsidRPr="009040B8">
        <w:rPr>
          <w:rFonts w:ascii="Verdana" w:hAnsi="Verdana" w:cs="Arial"/>
        </w:rPr>
        <w:t xml:space="preserve"> o więcej niż 1,0 %(v/v).</w:t>
      </w:r>
    </w:p>
    <w:p w:rsidR="0051730D" w:rsidRDefault="0051730D" w:rsidP="0051730D">
      <w:pPr>
        <w:keepNext/>
        <w:jc w:val="both"/>
        <w:rPr>
          <w:rFonts w:ascii="Verdana" w:hAnsi="Verdana" w:cs="Arial"/>
          <w:b/>
        </w:rPr>
      </w:pPr>
    </w:p>
    <w:p w:rsidR="0051730D" w:rsidRPr="009040B8" w:rsidRDefault="0051730D" w:rsidP="0051730D">
      <w:pPr>
        <w:keepNext/>
        <w:jc w:val="both"/>
        <w:rPr>
          <w:rFonts w:ascii="Verdana" w:hAnsi="Verdana" w:cs="Arial"/>
          <w:b/>
        </w:rPr>
      </w:pPr>
      <w:r w:rsidRPr="009040B8">
        <w:rPr>
          <w:rFonts w:ascii="Verdana" w:hAnsi="Verdana" w:cs="Arial"/>
          <w:b/>
        </w:rPr>
        <w:t>6.4.2. Warstwa asfaltowa</w:t>
      </w:r>
    </w:p>
    <w:p w:rsidR="0051730D" w:rsidRPr="009040B8" w:rsidRDefault="0051730D" w:rsidP="0051730D">
      <w:pPr>
        <w:keepNext/>
        <w:jc w:val="both"/>
        <w:rPr>
          <w:rFonts w:ascii="Verdana" w:hAnsi="Verdana" w:cs="Arial"/>
          <w:b/>
        </w:rPr>
      </w:pPr>
      <w:r w:rsidRPr="009040B8">
        <w:rPr>
          <w:rFonts w:ascii="Verdana" w:hAnsi="Verdana" w:cs="Arial"/>
          <w:b/>
        </w:rPr>
        <w:t>6.4.2.1. Grubość warstwy oraz ilość materiału</w:t>
      </w:r>
    </w:p>
    <w:p w:rsidR="0051730D" w:rsidRPr="002876EA" w:rsidRDefault="0051730D" w:rsidP="0051730D">
      <w:pPr>
        <w:jc w:val="both"/>
        <w:rPr>
          <w:rFonts w:ascii="Verdana" w:hAnsi="Verdana" w:cs="Arial"/>
        </w:rPr>
      </w:pPr>
      <w:r w:rsidRPr="002876EA">
        <w:rPr>
          <w:rFonts w:ascii="Verdana" w:hAnsi="Verdana" w:cs="Arial"/>
        </w:rPr>
        <w:t xml:space="preserve">Grubość wykonanej warstwy </w:t>
      </w:r>
      <w:r>
        <w:rPr>
          <w:rFonts w:ascii="Verdana" w:hAnsi="Verdana" w:cs="Arial"/>
        </w:rPr>
        <w:t xml:space="preserve">należy określać na podstawie wyciętych próbek </w:t>
      </w:r>
      <w:r>
        <w:rPr>
          <w:rFonts w:ascii="Verdana" w:hAnsi="Verdana" w:cs="Arial"/>
        </w:rPr>
        <w:br/>
        <w:t xml:space="preserve">i </w:t>
      </w:r>
      <w:r w:rsidRPr="002876EA">
        <w:rPr>
          <w:rFonts w:ascii="Verdana" w:hAnsi="Verdana" w:cs="Arial"/>
        </w:rPr>
        <w:t>oznaczana</w:t>
      </w:r>
      <w:r>
        <w:rPr>
          <w:rFonts w:ascii="Verdana" w:hAnsi="Verdana" w:cs="Arial"/>
        </w:rPr>
        <w:t xml:space="preserve"> się</w:t>
      </w:r>
      <w:r w:rsidRPr="002876EA">
        <w:rPr>
          <w:rFonts w:ascii="Verdana" w:hAnsi="Verdana" w:cs="Arial"/>
        </w:rPr>
        <w:t xml:space="preserve"> według PN-EN 12697-36 [40</w:t>
      </w:r>
      <w:r>
        <w:rPr>
          <w:rFonts w:ascii="Verdana" w:hAnsi="Verdana" w:cs="Arial"/>
        </w:rPr>
        <w:t>].</w:t>
      </w:r>
      <w:r w:rsidRPr="002876EA">
        <w:rPr>
          <w:rFonts w:ascii="Verdana" w:hAnsi="Verdana" w:cs="Arial"/>
        </w:rPr>
        <w:t xml:space="preserve"> </w:t>
      </w:r>
    </w:p>
    <w:p w:rsidR="0051730D" w:rsidRPr="003E62F7" w:rsidRDefault="0051730D" w:rsidP="0051730D">
      <w:pPr>
        <w:tabs>
          <w:tab w:val="right" w:pos="0"/>
        </w:tabs>
        <w:jc w:val="both"/>
        <w:rPr>
          <w:rFonts w:ascii="Verdana" w:hAnsi="Verdana"/>
        </w:rPr>
      </w:pPr>
      <w:r w:rsidRPr="003E62F7">
        <w:rPr>
          <w:rFonts w:ascii="Verdana" w:hAnsi="Verdana"/>
        </w:rPr>
        <w:t xml:space="preserve">Za grubość warstwy przyjmuje się średnią arytmetyczną wielu oznaczeń grubości </w:t>
      </w:r>
      <w:r>
        <w:rPr>
          <w:rFonts w:ascii="Verdana" w:hAnsi="Verdana"/>
        </w:rPr>
        <w:br/>
      </w:r>
      <w:r w:rsidRPr="003E62F7">
        <w:rPr>
          <w:rFonts w:ascii="Verdana" w:hAnsi="Verdana"/>
        </w:rPr>
        <w:t xml:space="preserve">na całym odcinku budowy. </w:t>
      </w:r>
    </w:p>
    <w:p w:rsidR="0051730D" w:rsidRDefault="0051730D" w:rsidP="0051730D">
      <w:pPr>
        <w:tabs>
          <w:tab w:val="right" w:pos="0"/>
        </w:tabs>
        <w:jc w:val="both"/>
        <w:rPr>
          <w:rFonts w:ascii="Verdana" w:hAnsi="Verdana" w:cs="Arial"/>
        </w:rPr>
      </w:pPr>
      <w:r w:rsidRPr="003E62F7">
        <w:rPr>
          <w:rFonts w:ascii="Verdana" w:hAnsi="Verdana"/>
        </w:rPr>
        <w:t xml:space="preserve">Odchyłki w zakresie grubości warstwy lub pakietu warstw oraz sposobu oceny jakości pojedynczego wyniku pomiaru </w:t>
      </w:r>
      <w:r>
        <w:rPr>
          <w:rFonts w:ascii="Verdana" w:hAnsi="Verdana" w:cs="Arial"/>
        </w:rPr>
        <w:t xml:space="preserve">należy </w:t>
      </w:r>
      <w:r w:rsidRPr="003E62F7">
        <w:rPr>
          <w:rFonts w:ascii="Verdana" w:hAnsi="Verdana" w:cs="Arial"/>
        </w:rPr>
        <w:t xml:space="preserve">przyjąć </w:t>
      </w:r>
      <w:r>
        <w:rPr>
          <w:rFonts w:ascii="Verdana" w:hAnsi="Verdana"/>
        </w:rPr>
        <w:t>zgodnie z</w:t>
      </w:r>
      <w:r w:rsidRPr="003E62F7">
        <w:rPr>
          <w:rFonts w:ascii="Verdana" w:hAnsi="Verdana" w:cs="Arial"/>
        </w:rPr>
        <w:t xml:space="preserve"> Instrukcj</w:t>
      </w:r>
      <w:r>
        <w:rPr>
          <w:rFonts w:ascii="Verdana" w:hAnsi="Verdana" w:cs="Arial"/>
        </w:rPr>
        <w:t>ą</w:t>
      </w:r>
      <w:r w:rsidRPr="003E62F7">
        <w:rPr>
          <w:rFonts w:ascii="Verdana" w:hAnsi="Verdana" w:cs="Arial"/>
        </w:rPr>
        <w:t xml:space="preserve"> D</w:t>
      </w:r>
      <w:r>
        <w:rPr>
          <w:rFonts w:ascii="Verdana" w:hAnsi="Verdana" w:cs="Arial"/>
        </w:rPr>
        <w:t xml:space="preserve">P-T 14 stanowiącą załącznik do zarządzenia </w:t>
      </w:r>
      <w:r w:rsidRPr="003E62F7">
        <w:rPr>
          <w:rFonts w:ascii="Verdana" w:hAnsi="Verdana" w:cs="Arial"/>
        </w:rPr>
        <w:t>nr 10 Generalnego Dyrektora Dróg Krajowych i Autostrad z dnia 30 marca 2017 r.</w:t>
      </w:r>
    </w:p>
    <w:p w:rsidR="0051730D" w:rsidRPr="002876EA" w:rsidRDefault="0051730D" w:rsidP="0051730D">
      <w:pPr>
        <w:jc w:val="both"/>
        <w:rPr>
          <w:rFonts w:ascii="Verdana" w:hAnsi="Verdana" w:cs="Arial"/>
        </w:rPr>
      </w:pPr>
      <w:r w:rsidRPr="002876EA">
        <w:rPr>
          <w:rFonts w:ascii="Verdana" w:hAnsi="Verdana" w:cs="Arial"/>
        </w:rPr>
        <w:t xml:space="preserve">Dopuszcza się przy odbiorze warstwy przez Przedstawiciela Zamawiającego/Inspektora nadzoru pomiar grubości za pomocą </w:t>
      </w:r>
      <w:proofErr w:type="spellStart"/>
      <w:r w:rsidRPr="002876EA">
        <w:rPr>
          <w:rFonts w:ascii="Verdana" w:hAnsi="Verdana" w:cs="Arial"/>
        </w:rPr>
        <w:t>georadaru</w:t>
      </w:r>
      <w:proofErr w:type="spellEnd"/>
      <w:r w:rsidRPr="002876EA">
        <w:rPr>
          <w:rFonts w:ascii="Verdana" w:hAnsi="Verdana" w:cs="Arial"/>
        </w:rPr>
        <w:t xml:space="preserve"> GPR.</w:t>
      </w:r>
    </w:p>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b/>
        </w:rPr>
      </w:pPr>
      <w:r w:rsidRPr="009040B8">
        <w:rPr>
          <w:rFonts w:ascii="Verdana" w:hAnsi="Verdana" w:cs="Arial"/>
          <w:b/>
        </w:rPr>
        <w:t>6.4.2.2. Wskaźnik zagęszczenia warstwy i wolna przestrzeń w warstwie</w:t>
      </w:r>
    </w:p>
    <w:p w:rsidR="0051730D" w:rsidRDefault="0051730D" w:rsidP="0051730D">
      <w:pPr>
        <w:tabs>
          <w:tab w:val="right" w:pos="0"/>
        </w:tabs>
        <w:jc w:val="both"/>
        <w:rPr>
          <w:rFonts w:ascii="Verdana" w:hAnsi="Verdana" w:cs="Arial"/>
        </w:rPr>
      </w:pPr>
      <w:r w:rsidRPr="003E62F7">
        <w:rPr>
          <w:rFonts w:ascii="Verdana" w:hAnsi="Verdana" w:cs="Arial"/>
        </w:rPr>
        <w:t>Zagęszczenie wykonanej warstwy, wyrażone wskaźnikiem zagęszczenia oraz zawartością wolnych przestrzeni, nie może przekroczyć wartości dopuszczalnych podanych w tabeli 1</w:t>
      </w:r>
      <w:r>
        <w:rPr>
          <w:rFonts w:ascii="Verdana" w:hAnsi="Verdana" w:cs="Arial"/>
        </w:rPr>
        <w:t>4</w:t>
      </w:r>
      <w:r w:rsidRPr="003E62F7">
        <w:rPr>
          <w:rFonts w:ascii="Verdana" w:hAnsi="Verdana" w:cs="Arial"/>
        </w:rPr>
        <w:t xml:space="preserve">. Odchyłki </w:t>
      </w:r>
      <w:r>
        <w:rPr>
          <w:rFonts w:ascii="Verdana" w:hAnsi="Verdana" w:cs="Arial"/>
        </w:rPr>
        <w:t xml:space="preserve">w zakresie wskaźnika zagęszczenia </w:t>
      </w:r>
      <w:r w:rsidRPr="003E62F7">
        <w:rPr>
          <w:rFonts w:ascii="Verdana" w:hAnsi="Verdana" w:cs="Arial"/>
        </w:rPr>
        <w:t xml:space="preserve">oraz sposób oceny </w:t>
      </w:r>
      <w:r>
        <w:rPr>
          <w:rFonts w:ascii="Verdana" w:hAnsi="Verdana" w:cs="Arial"/>
        </w:rPr>
        <w:t xml:space="preserve">należy </w:t>
      </w:r>
      <w:r w:rsidRPr="003E62F7">
        <w:rPr>
          <w:rFonts w:ascii="Verdana" w:hAnsi="Verdana" w:cs="Arial"/>
        </w:rPr>
        <w:t xml:space="preserve">przyjąć </w:t>
      </w:r>
      <w:r>
        <w:rPr>
          <w:rFonts w:ascii="Verdana" w:hAnsi="Verdana"/>
        </w:rPr>
        <w:t>zgodnie z</w:t>
      </w:r>
      <w:r w:rsidRPr="003E62F7">
        <w:rPr>
          <w:rFonts w:ascii="Verdana" w:hAnsi="Verdana" w:cs="Arial"/>
        </w:rPr>
        <w:t xml:space="preserve"> Instrukcj</w:t>
      </w:r>
      <w:r>
        <w:rPr>
          <w:rFonts w:ascii="Verdana" w:hAnsi="Verdana" w:cs="Arial"/>
        </w:rPr>
        <w:t>ą</w:t>
      </w:r>
      <w:r w:rsidRPr="003E62F7">
        <w:rPr>
          <w:rFonts w:ascii="Verdana" w:hAnsi="Verdana" w:cs="Arial"/>
        </w:rPr>
        <w:t xml:space="preserve"> D</w:t>
      </w:r>
      <w:r>
        <w:rPr>
          <w:rFonts w:ascii="Verdana" w:hAnsi="Verdana" w:cs="Arial"/>
        </w:rPr>
        <w:t xml:space="preserve">P-T 14 stanowiącą załącznik do zarządzenia </w:t>
      </w:r>
      <w:r w:rsidRPr="003E62F7">
        <w:rPr>
          <w:rFonts w:ascii="Verdana" w:hAnsi="Verdana" w:cs="Arial"/>
        </w:rPr>
        <w:t>nr 10 Generalnego Dyrektora Dróg Krajowych i Au</w:t>
      </w:r>
      <w:r>
        <w:rPr>
          <w:rFonts w:ascii="Verdana" w:hAnsi="Verdana" w:cs="Arial"/>
        </w:rPr>
        <w:t>tostrad z dnia 30 marca 2017 r.</w:t>
      </w:r>
    </w:p>
    <w:p w:rsidR="0051730D" w:rsidRPr="003E62F7" w:rsidRDefault="0051730D" w:rsidP="0051730D">
      <w:pPr>
        <w:tabs>
          <w:tab w:val="right" w:pos="0"/>
        </w:tabs>
        <w:jc w:val="both"/>
        <w:rPr>
          <w:rFonts w:ascii="Verdana" w:hAnsi="Verdana" w:cs="Arial"/>
        </w:rPr>
      </w:pPr>
      <w:r w:rsidRPr="003E62F7">
        <w:rPr>
          <w:rFonts w:ascii="Verdana" w:hAnsi="Verdana" w:cs="Arial"/>
        </w:rPr>
        <w:t xml:space="preserve">Wskaźnik zagęszczenia warstwy należy obliczać z dokładnością do jednego miejsca </w:t>
      </w:r>
      <w:r>
        <w:rPr>
          <w:rFonts w:ascii="Verdana" w:hAnsi="Verdana" w:cs="Arial"/>
        </w:rPr>
        <w:br/>
      </w:r>
      <w:r w:rsidRPr="003E62F7">
        <w:rPr>
          <w:rFonts w:ascii="Verdana" w:hAnsi="Verdana" w:cs="Arial"/>
        </w:rPr>
        <w:t>po przecinku.</w:t>
      </w:r>
    </w:p>
    <w:p w:rsidR="0051730D" w:rsidRDefault="0051730D" w:rsidP="0051730D">
      <w:pPr>
        <w:jc w:val="both"/>
        <w:rPr>
          <w:rFonts w:ascii="Verdana" w:hAnsi="Verdana" w:cs="Arial"/>
        </w:rPr>
      </w:pPr>
      <w:r w:rsidRPr="009040B8">
        <w:rPr>
          <w:rFonts w:ascii="Verdana" w:hAnsi="Verdana" w:cs="Arial"/>
        </w:rPr>
        <w:t>Określenie gęstości objętościowej należy wykonywać według PN-EN 12697-</w:t>
      </w:r>
      <w:r>
        <w:rPr>
          <w:rFonts w:ascii="Verdana" w:hAnsi="Verdana" w:cs="Arial"/>
        </w:rPr>
        <w:t>6</w:t>
      </w:r>
      <w:r w:rsidRPr="009040B8">
        <w:rPr>
          <w:rFonts w:ascii="Verdana" w:hAnsi="Verdana" w:cs="Arial"/>
        </w:rPr>
        <w:t xml:space="preserve"> [3</w:t>
      </w:r>
      <w:r>
        <w:rPr>
          <w:rFonts w:ascii="Verdana" w:hAnsi="Verdana" w:cs="Arial"/>
        </w:rPr>
        <w:t>2].</w:t>
      </w:r>
    </w:p>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b/>
        </w:rPr>
      </w:pPr>
      <w:r w:rsidRPr="009040B8">
        <w:rPr>
          <w:rFonts w:ascii="Verdana" w:hAnsi="Verdana" w:cs="Arial"/>
          <w:b/>
        </w:rPr>
        <w:t>6.4.2.3. Spadki poprzeczne</w:t>
      </w:r>
    </w:p>
    <w:p w:rsidR="0051730D" w:rsidRPr="009040B8" w:rsidRDefault="0051730D" w:rsidP="0051730D">
      <w:pPr>
        <w:jc w:val="both"/>
        <w:rPr>
          <w:rFonts w:ascii="Verdana" w:hAnsi="Verdana" w:cs="Arial"/>
          <w:highlight w:val="yellow"/>
        </w:rPr>
      </w:pPr>
      <w:r w:rsidRPr="009040B8">
        <w:rPr>
          <w:rFonts w:ascii="Verdana" w:hAnsi="Verdana" w:cs="Arial"/>
        </w:rPr>
        <w:t>Spadki poprzeczne nawierzchni należy badać nie rzadziej niż co 50 m oraz w punktach głównych łuków poziomych.</w:t>
      </w:r>
      <w:r w:rsidRPr="009040B8">
        <w:rPr>
          <w:rFonts w:ascii="Verdana" w:hAnsi="Verdana" w:cs="Arial"/>
          <w:highlight w:val="yellow"/>
        </w:rPr>
        <w:t xml:space="preserve"> </w:t>
      </w:r>
    </w:p>
    <w:p w:rsidR="0051730D" w:rsidRPr="009040B8" w:rsidRDefault="0051730D" w:rsidP="0051730D">
      <w:pPr>
        <w:jc w:val="both"/>
        <w:rPr>
          <w:rFonts w:ascii="Verdana" w:hAnsi="Verdana" w:cs="Arial"/>
        </w:rPr>
      </w:pPr>
      <w:r w:rsidRPr="009040B8">
        <w:rPr>
          <w:rFonts w:ascii="Verdana" w:hAnsi="Verdana" w:cs="Arial"/>
        </w:rPr>
        <w:t>Obliguje się wykonawcę do sporządzenia inwentaryzacji istniejących spadków poprzecznych co 10 m.</w:t>
      </w:r>
    </w:p>
    <w:p w:rsidR="0051730D" w:rsidRPr="009040B8" w:rsidRDefault="0051730D" w:rsidP="0051730D">
      <w:pPr>
        <w:jc w:val="both"/>
        <w:rPr>
          <w:rFonts w:ascii="Verdana" w:hAnsi="Verdana" w:cs="Arial"/>
        </w:rPr>
      </w:pPr>
      <w:r w:rsidRPr="009040B8">
        <w:rPr>
          <w:rFonts w:ascii="Verdana" w:hAnsi="Verdana" w:cs="Arial"/>
        </w:rPr>
        <w:t xml:space="preserve">Spadki poprzeczne powinny być zgodne z ustaleniami Inspektora Nadzoru z tolerancją </w:t>
      </w:r>
      <w:r>
        <w:rPr>
          <w:rFonts w:ascii="Verdana" w:hAnsi="Verdana" w:cs="Arial"/>
        </w:rPr>
        <w:t xml:space="preserve">                 </w:t>
      </w:r>
      <w:r w:rsidRPr="009040B8">
        <w:rPr>
          <w:rFonts w:ascii="Verdana" w:hAnsi="Verdana" w:cs="Arial"/>
        </w:rPr>
        <w:t>± 0,5%.</w:t>
      </w:r>
    </w:p>
    <w:p w:rsidR="0051730D" w:rsidRDefault="0051730D" w:rsidP="0051730D">
      <w:pPr>
        <w:keepNext/>
        <w:jc w:val="both"/>
        <w:rPr>
          <w:rFonts w:ascii="Verdana" w:hAnsi="Verdana" w:cs="Arial"/>
          <w:b/>
        </w:rPr>
      </w:pPr>
    </w:p>
    <w:p w:rsidR="0051730D" w:rsidRPr="009040B8" w:rsidRDefault="0051730D" w:rsidP="0051730D">
      <w:pPr>
        <w:keepNext/>
        <w:jc w:val="both"/>
        <w:rPr>
          <w:rFonts w:ascii="Verdana" w:hAnsi="Verdana" w:cs="Arial"/>
          <w:b/>
        </w:rPr>
      </w:pPr>
      <w:r w:rsidRPr="009040B8">
        <w:rPr>
          <w:rFonts w:ascii="Verdana" w:hAnsi="Verdana" w:cs="Arial"/>
          <w:b/>
        </w:rPr>
        <w:t>6.4.2.4. Równość podłużna</w:t>
      </w:r>
    </w:p>
    <w:p w:rsidR="0051730D" w:rsidRPr="009040B8" w:rsidRDefault="0051730D" w:rsidP="0051730D">
      <w:pPr>
        <w:jc w:val="both"/>
        <w:rPr>
          <w:rFonts w:ascii="Verdana" w:hAnsi="Verdana" w:cs="Arial"/>
        </w:rPr>
      </w:pPr>
      <w:r w:rsidRPr="009040B8">
        <w:rPr>
          <w:rFonts w:ascii="Verdana" w:hAnsi="Verdana" w:cs="Arial"/>
        </w:rPr>
        <w:t>Pomiary równości podłużnej należy wykonywać w środku każdego ocenianego pasa ruchu.</w:t>
      </w:r>
    </w:p>
    <w:p w:rsidR="0051730D" w:rsidRPr="009040B8" w:rsidRDefault="0051730D" w:rsidP="0051730D">
      <w:pPr>
        <w:jc w:val="both"/>
        <w:rPr>
          <w:rFonts w:ascii="Verdana" w:hAnsi="Verdana" w:cs="Arial"/>
        </w:rPr>
      </w:pPr>
      <w:r w:rsidRPr="009040B8">
        <w:rPr>
          <w:rFonts w:ascii="Verdana" w:hAnsi="Verdana" w:cs="Arial"/>
        </w:rPr>
        <w:t>Do oceny równości podłużnej warstwy wiążącej i wyrównawczej nawierzchni dróg klasy Z i dróg wyższych klas należy stosować jedną z poniższych metod. Równość podłużna mierzona obiema metodami (metodą profilometryczną i łaty 4-metrowej) powinna być spełniona jednocześnie dla wykonanej warstwy wiążącej i/lub wyrównawczej.</w:t>
      </w:r>
    </w:p>
    <w:p w:rsidR="0051730D" w:rsidRPr="009040B8" w:rsidRDefault="0051730D" w:rsidP="0051730D">
      <w:pPr>
        <w:jc w:val="both"/>
        <w:rPr>
          <w:rFonts w:ascii="Verdana" w:hAnsi="Verdana" w:cs="Arial"/>
        </w:rPr>
      </w:pPr>
    </w:p>
    <w:p w:rsidR="0051730D" w:rsidRPr="00D6204A" w:rsidRDefault="0051730D" w:rsidP="0051730D">
      <w:pPr>
        <w:jc w:val="both"/>
        <w:rPr>
          <w:rFonts w:ascii="Verdana" w:hAnsi="Verdana" w:cs="Arial"/>
          <w:b/>
        </w:rPr>
      </w:pPr>
      <w:r w:rsidRPr="00D6204A">
        <w:rPr>
          <w:rFonts w:ascii="Verdana" w:hAnsi="Verdana" w:cs="Arial"/>
          <w:b/>
        </w:rPr>
        <w:t xml:space="preserve">6.4.2.4.1. Metoda profilometryczna </w:t>
      </w:r>
    </w:p>
    <w:p w:rsidR="0051730D" w:rsidRPr="00D6204A" w:rsidRDefault="0051730D" w:rsidP="0051730D">
      <w:pPr>
        <w:shd w:val="clear" w:color="auto" w:fill="FFFFFF"/>
        <w:tabs>
          <w:tab w:val="left" w:pos="0"/>
          <w:tab w:val="left" w:pos="1253"/>
        </w:tabs>
        <w:ind w:right="29"/>
        <w:jc w:val="both"/>
        <w:rPr>
          <w:rFonts w:ascii="Verdana" w:hAnsi="Verdana"/>
          <w:bCs/>
        </w:rPr>
      </w:pPr>
      <w:r w:rsidRPr="00D6204A">
        <w:rPr>
          <w:rFonts w:ascii="Verdana" w:hAnsi="Verdana"/>
          <w:bCs/>
        </w:rPr>
        <w:t>Do oceny równości podłużnej warstwy podbudowy nawierzchni dróg klasy A, S, GP</w:t>
      </w:r>
      <w:r w:rsidRPr="00D6204A">
        <w:rPr>
          <w:rFonts w:ascii="Verdana" w:hAnsi="Verdana"/>
          <w:b/>
          <w:bCs/>
        </w:rPr>
        <w:t xml:space="preserve"> </w:t>
      </w:r>
      <w:r w:rsidRPr="00D6204A">
        <w:rPr>
          <w:rFonts w:ascii="Verdana" w:hAnsi="Verdana"/>
          <w:bCs/>
        </w:rPr>
        <w:t xml:space="preserve">oraz G należy stosować metodę profilometryczną bazującą na wskaźnikach równości IRI [mm/m]. Wartość IRI należy wyznaczać z krokiem co 50 m. Długość ocenianego odcinka nawierzchni </w:t>
      </w:r>
      <w:r w:rsidRPr="00D6204A">
        <w:rPr>
          <w:rFonts w:ascii="Verdana" w:hAnsi="Verdana"/>
          <w:bCs/>
        </w:rPr>
        <w:lastRenderedPageBreak/>
        <w:t>nie powinna być większa niż 1000 m. Odcinek końcowy o długości mniejszej niż 500 m należy oceniać łącznie z odcinkiem poprzedzającym.</w:t>
      </w:r>
    </w:p>
    <w:p w:rsidR="0051730D" w:rsidRPr="00D6204A" w:rsidRDefault="0051730D" w:rsidP="0051730D">
      <w:pPr>
        <w:shd w:val="clear" w:color="auto" w:fill="FFFFFF"/>
        <w:tabs>
          <w:tab w:val="left" w:pos="0"/>
        </w:tabs>
        <w:ind w:right="24"/>
        <w:jc w:val="both"/>
        <w:rPr>
          <w:rFonts w:ascii="Verdana" w:hAnsi="Verdana"/>
          <w:bCs/>
        </w:rPr>
      </w:pPr>
      <w:r w:rsidRPr="00D6204A">
        <w:rPr>
          <w:rFonts w:ascii="Verdana" w:hAnsi="Verdana"/>
          <w:bCs/>
        </w:rPr>
        <w:t>Do oceny równości odcinka nawierzchni ustala się minimalną liczbę wskaźników IRI równą 5.</w:t>
      </w:r>
    </w:p>
    <w:p w:rsidR="0051730D" w:rsidRPr="00D6204A" w:rsidRDefault="0051730D" w:rsidP="0051730D">
      <w:pPr>
        <w:shd w:val="clear" w:color="auto" w:fill="FFFFFF"/>
        <w:tabs>
          <w:tab w:val="left" w:pos="0"/>
        </w:tabs>
        <w:ind w:right="24"/>
        <w:jc w:val="both"/>
        <w:rPr>
          <w:rFonts w:ascii="Verdana" w:hAnsi="Verdana"/>
          <w:bCs/>
        </w:rPr>
      </w:pPr>
      <w:r w:rsidRPr="00D6204A">
        <w:rPr>
          <w:rFonts w:ascii="Verdana" w:hAnsi="Verdana"/>
          <w:bCs/>
        </w:rPr>
        <w:t xml:space="preserve"> W przypadku odbioru robót na krótkich odcinkach nawierzchni, których całkowita długość jest mniejsza niż 250 m, dopuszcza się wyznaczanie wskaźników IRI z krokiem mniejszym niż 50 m, przy czym należy ustalać maksymalną możliwą dłu</w:t>
      </w:r>
      <w:r w:rsidRPr="00D6204A">
        <w:rPr>
          <w:rFonts w:ascii="Verdana" w:hAnsi="Verdana"/>
          <w:bCs/>
        </w:rPr>
        <w:softHyphen/>
        <w:t>gość kroku pomiarowego, z uwzględnieniem minimalnej wymaganej liczby wskaźników IRI równej 5.</w:t>
      </w:r>
    </w:p>
    <w:p w:rsidR="0051730D" w:rsidRPr="00D6204A" w:rsidRDefault="0051730D" w:rsidP="0051730D">
      <w:pPr>
        <w:shd w:val="clear" w:color="auto" w:fill="FFFFFF"/>
        <w:tabs>
          <w:tab w:val="left" w:pos="0"/>
        </w:tabs>
        <w:ind w:right="29"/>
        <w:jc w:val="both"/>
        <w:rPr>
          <w:rFonts w:ascii="Verdana" w:hAnsi="Verdana"/>
          <w:bCs/>
        </w:rPr>
      </w:pPr>
      <w:r w:rsidRPr="00D6204A">
        <w:rPr>
          <w:rFonts w:ascii="Verdana" w:hAnsi="Verdana"/>
          <w:bCs/>
        </w:rPr>
        <w:t xml:space="preserve">Wymagana równość podłużna jest określona przez wartości wskaźnika, których nie można przekroczyć na 50%, 80% i 100% długości badanego odcinka nawierzchni. </w:t>
      </w:r>
    </w:p>
    <w:p w:rsidR="0051730D" w:rsidRPr="00D6204A" w:rsidRDefault="0051730D" w:rsidP="0051730D">
      <w:pPr>
        <w:shd w:val="clear" w:color="auto" w:fill="FFFFFF"/>
        <w:tabs>
          <w:tab w:val="left" w:pos="0"/>
        </w:tabs>
        <w:ind w:right="29"/>
        <w:jc w:val="both"/>
        <w:rPr>
          <w:rFonts w:ascii="Verdana" w:hAnsi="Verdana"/>
          <w:bCs/>
        </w:rPr>
      </w:pPr>
      <w:r w:rsidRPr="00D6204A">
        <w:rPr>
          <w:rFonts w:ascii="Verdana" w:hAnsi="Verdana"/>
          <w:bCs/>
        </w:rPr>
        <w:t xml:space="preserve">Jeżeli na odcinku nie można wyznaczyć co najmniej 10 wartości IRI, to wartość miarodajna, będąca sumą wartości średniej i odchylenia standardowego nie powinna przekroczyć wartości odpowiedniej dla 80% długości badanego odcinka nawierzchni. </w:t>
      </w:r>
    </w:p>
    <w:p w:rsidR="0051730D" w:rsidRPr="00D6204A" w:rsidRDefault="0051730D" w:rsidP="0051730D">
      <w:pPr>
        <w:shd w:val="clear" w:color="auto" w:fill="FFFFFF"/>
        <w:tabs>
          <w:tab w:val="left" w:pos="0"/>
        </w:tabs>
        <w:jc w:val="both"/>
        <w:rPr>
          <w:rFonts w:ascii="Verdana" w:hAnsi="Verdana"/>
          <w:bCs/>
        </w:rPr>
      </w:pPr>
      <w:r w:rsidRPr="00D6204A">
        <w:rPr>
          <w:rFonts w:ascii="Verdana" w:hAnsi="Verdana"/>
          <w:bCs/>
        </w:rPr>
        <w:t>Wartości dopuszczalne przy odbiorze warstwy metodą profilometryczną określa tabela:</w:t>
      </w:r>
    </w:p>
    <w:p w:rsidR="0051730D" w:rsidRPr="00D6204A" w:rsidRDefault="0051730D" w:rsidP="0051730D">
      <w:pPr>
        <w:shd w:val="clear" w:color="auto" w:fill="FFFFFF"/>
        <w:tabs>
          <w:tab w:val="left" w:pos="0"/>
        </w:tabs>
        <w:jc w:val="both"/>
        <w:rPr>
          <w:rFonts w:ascii="Verdana" w:hAnsi="Verdana"/>
          <w:bCs/>
        </w:rPr>
      </w:pPr>
    </w:p>
    <w:p w:rsidR="0051730D" w:rsidRPr="00D6204A" w:rsidRDefault="0051730D" w:rsidP="0051730D">
      <w:pPr>
        <w:shd w:val="clear" w:color="auto" w:fill="FFFFFF"/>
        <w:tabs>
          <w:tab w:val="left" w:pos="0"/>
        </w:tabs>
        <w:jc w:val="both"/>
        <w:rPr>
          <w:rFonts w:ascii="Verdana" w:hAnsi="Verdana"/>
          <w:bCs/>
        </w:rPr>
      </w:pPr>
      <w:r w:rsidRPr="00D6204A">
        <w:rPr>
          <w:rFonts w:ascii="Verdana" w:hAnsi="Verdana"/>
          <w:bCs/>
        </w:rPr>
        <w:t>Tabela 23</w:t>
      </w:r>
      <w:r w:rsidRPr="00D6204A">
        <w:rPr>
          <w:rFonts w:ascii="Verdana" w:hAnsi="Verdana"/>
          <w:b/>
          <w:bCs/>
        </w:rPr>
        <w:t>.</w:t>
      </w:r>
      <w:r w:rsidRPr="00D6204A">
        <w:rPr>
          <w:rFonts w:ascii="Verdana" w:hAnsi="Verdana"/>
          <w:bCs/>
        </w:rPr>
        <w:t xml:space="preserve"> Wartości dopuszczalne przy odbiorze warstwy metodą profilometryczną </w:t>
      </w:r>
    </w:p>
    <w:tbl>
      <w:tblPr>
        <w:tblpPr w:leftFromText="141" w:rightFromText="141" w:vertAnchor="text" w:horzAnchor="margin" w:tblpY="195"/>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3685"/>
        <w:gridCol w:w="1134"/>
        <w:gridCol w:w="1134"/>
        <w:gridCol w:w="1134"/>
      </w:tblGrid>
      <w:tr w:rsidR="0051730D" w:rsidRPr="00D6204A" w:rsidTr="0051730D">
        <w:tc>
          <w:tcPr>
            <w:tcW w:w="2055" w:type="dxa"/>
            <w:vAlign w:val="center"/>
          </w:tcPr>
          <w:p w:rsidR="0051730D" w:rsidRPr="00D6204A" w:rsidRDefault="0051730D" w:rsidP="0051730D">
            <w:pPr>
              <w:ind w:right="135"/>
              <w:jc w:val="center"/>
              <w:rPr>
                <w:rFonts w:ascii="Verdana" w:hAnsi="Verdana"/>
              </w:rPr>
            </w:pPr>
            <w:r w:rsidRPr="00D6204A">
              <w:rPr>
                <w:rFonts w:ascii="Verdana" w:hAnsi="Verdana"/>
              </w:rPr>
              <w:t>Klasa techniczna drogi</w:t>
            </w:r>
          </w:p>
        </w:tc>
        <w:tc>
          <w:tcPr>
            <w:tcW w:w="3685" w:type="dxa"/>
            <w:vAlign w:val="center"/>
          </w:tcPr>
          <w:p w:rsidR="0051730D" w:rsidRPr="00D6204A" w:rsidRDefault="0051730D" w:rsidP="0051730D">
            <w:pPr>
              <w:ind w:right="135"/>
              <w:jc w:val="center"/>
              <w:rPr>
                <w:rFonts w:ascii="Verdana" w:hAnsi="Verdana"/>
              </w:rPr>
            </w:pPr>
            <w:r w:rsidRPr="00D6204A">
              <w:rPr>
                <w:rFonts w:ascii="Verdana" w:hAnsi="Verdana"/>
              </w:rPr>
              <w:t>Element nawierzchni</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t>50%</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t>80%</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t>100%</w:t>
            </w:r>
          </w:p>
        </w:tc>
      </w:tr>
      <w:tr w:rsidR="0051730D" w:rsidRPr="00D6204A" w:rsidTr="0051730D">
        <w:trPr>
          <w:cantSplit/>
        </w:trPr>
        <w:tc>
          <w:tcPr>
            <w:tcW w:w="2055" w:type="dxa"/>
            <w:vMerge w:val="restart"/>
            <w:vAlign w:val="center"/>
          </w:tcPr>
          <w:p w:rsidR="0051730D" w:rsidRPr="00D6204A" w:rsidRDefault="0051730D" w:rsidP="0051730D">
            <w:pPr>
              <w:ind w:right="135"/>
              <w:jc w:val="center"/>
              <w:rPr>
                <w:rFonts w:ascii="Verdana" w:hAnsi="Verdana"/>
              </w:rPr>
            </w:pPr>
            <w:r w:rsidRPr="00D6204A">
              <w:rPr>
                <w:rFonts w:ascii="Verdana" w:hAnsi="Verdana"/>
              </w:rPr>
              <w:t>A, S, GP</w:t>
            </w:r>
          </w:p>
        </w:tc>
        <w:tc>
          <w:tcPr>
            <w:tcW w:w="3685" w:type="dxa"/>
          </w:tcPr>
          <w:p w:rsidR="0051730D" w:rsidRPr="00D6204A" w:rsidRDefault="0051730D" w:rsidP="0051730D">
            <w:pPr>
              <w:ind w:right="135"/>
              <w:rPr>
                <w:rFonts w:ascii="Verdana" w:hAnsi="Verdana"/>
              </w:rPr>
            </w:pPr>
            <w:r w:rsidRPr="00D6204A">
              <w:rPr>
                <w:rFonts w:ascii="Verdana" w:hAnsi="Verdana"/>
              </w:rPr>
              <w:t>pasy ruchu zasadnicze, awaryjne, dodatkowe, włączania i wyłączania</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2,9</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4,8</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7,8</w:t>
            </w:r>
          </w:p>
        </w:tc>
      </w:tr>
      <w:tr w:rsidR="0051730D" w:rsidRPr="00D6204A" w:rsidTr="0051730D">
        <w:trPr>
          <w:cantSplit/>
        </w:trPr>
        <w:tc>
          <w:tcPr>
            <w:tcW w:w="2055" w:type="dxa"/>
            <w:vMerge/>
            <w:vAlign w:val="center"/>
          </w:tcPr>
          <w:p w:rsidR="0051730D" w:rsidRPr="00D6204A" w:rsidRDefault="0051730D" w:rsidP="0051730D">
            <w:pPr>
              <w:ind w:right="135"/>
              <w:jc w:val="center"/>
              <w:rPr>
                <w:rFonts w:ascii="Verdana" w:hAnsi="Verdana"/>
              </w:rPr>
            </w:pPr>
          </w:p>
        </w:tc>
        <w:tc>
          <w:tcPr>
            <w:tcW w:w="3685" w:type="dxa"/>
          </w:tcPr>
          <w:p w:rsidR="0051730D" w:rsidRPr="00D6204A" w:rsidRDefault="0051730D" w:rsidP="0051730D">
            <w:pPr>
              <w:ind w:right="135"/>
              <w:rPr>
                <w:rFonts w:ascii="Verdana" w:hAnsi="Verdana"/>
              </w:rPr>
            </w:pPr>
            <w:r w:rsidRPr="00D6204A">
              <w:rPr>
                <w:rFonts w:ascii="Verdana" w:hAnsi="Verdana"/>
              </w:rPr>
              <w:t>jezdnie łącznic, jezdnie dróg rozprowadzających, jezdnie MOP, utwardzone pobocza</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4,8</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6,7</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9,5</w:t>
            </w:r>
          </w:p>
        </w:tc>
      </w:tr>
      <w:tr w:rsidR="0051730D" w:rsidRPr="00D6204A" w:rsidTr="0051730D">
        <w:trPr>
          <w:cantSplit/>
          <w:trHeight w:val="805"/>
        </w:trPr>
        <w:tc>
          <w:tcPr>
            <w:tcW w:w="2055" w:type="dxa"/>
            <w:vAlign w:val="center"/>
          </w:tcPr>
          <w:p w:rsidR="0051730D" w:rsidRPr="00D6204A" w:rsidRDefault="0051730D" w:rsidP="0051730D">
            <w:pPr>
              <w:ind w:right="135"/>
              <w:jc w:val="center"/>
              <w:rPr>
                <w:rFonts w:ascii="Verdana" w:hAnsi="Verdana"/>
              </w:rPr>
            </w:pPr>
            <w:r w:rsidRPr="00D6204A">
              <w:rPr>
                <w:rFonts w:ascii="Verdana" w:hAnsi="Verdana"/>
              </w:rPr>
              <w:t>G</w:t>
            </w:r>
          </w:p>
        </w:tc>
        <w:tc>
          <w:tcPr>
            <w:tcW w:w="3685" w:type="dxa"/>
          </w:tcPr>
          <w:p w:rsidR="0051730D" w:rsidRPr="00D6204A" w:rsidRDefault="0051730D" w:rsidP="0051730D">
            <w:pPr>
              <w:ind w:right="135"/>
              <w:rPr>
                <w:rFonts w:ascii="Verdana" w:hAnsi="Verdana"/>
              </w:rPr>
            </w:pPr>
            <w:r w:rsidRPr="00D6204A">
              <w:rPr>
                <w:rFonts w:ascii="Verdana" w:hAnsi="Verdana"/>
              </w:rPr>
              <w:t>pasy ruchu zasadnicze, dodatkowe, włączania i wyłączania, postojowe, utwardzone pobocze</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4,8</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6,7</w:t>
            </w:r>
          </w:p>
        </w:tc>
        <w:tc>
          <w:tcPr>
            <w:tcW w:w="1134" w:type="dxa"/>
            <w:vAlign w:val="center"/>
          </w:tcPr>
          <w:p w:rsidR="0051730D" w:rsidRPr="00D6204A" w:rsidRDefault="0051730D" w:rsidP="0051730D">
            <w:pPr>
              <w:ind w:right="135"/>
              <w:jc w:val="center"/>
              <w:rPr>
                <w:rFonts w:ascii="Verdana" w:hAnsi="Verdana"/>
              </w:rPr>
            </w:pPr>
            <w:r w:rsidRPr="00D6204A">
              <w:rPr>
                <w:rFonts w:ascii="Verdana" w:hAnsi="Verdana"/>
              </w:rPr>
              <w:sym w:font="Symbol" w:char="F0A3"/>
            </w:r>
            <w:r w:rsidRPr="00D6204A">
              <w:rPr>
                <w:rFonts w:ascii="Verdana" w:hAnsi="Verdana"/>
              </w:rPr>
              <w:t xml:space="preserve"> 9,5</w:t>
            </w:r>
          </w:p>
        </w:tc>
      </w:tr>
    </w:tbl>
    <w:p w:rsidR="0051730D" w:rsidRPr="009040B8" w:rsidRDefault="0051730D" w:rsidP="0051730D">
      <w:pPr>
        <w:jc w:val="both"/>
        <w:rPr>
          <w:rFonts w:ascii="Verdana" w:hAnsi="Verdana" w:cs="Arial"/>
        </w:rPr>
      </w:pPr>
    </w:p>
    <w:p w:rsidR="0051730D" w:rsidRPr="009040B8" w:rsidRDefault="0051730D" w:rsidP="0051730D">
      <w:pPr>
        <w:jc w:val="both"/>
        <w:rPr>
          <w:rFonts w:ascii="Verdana" w:hAnsi="Verdana" w:cs="Arial"/>
          <w:b/>
        </w:rPr>
      </w:pPr>
      <w:r w:rsidRPr="009040B8">
        <w:rPr>
          <w:rFonts w:ascii="Verdana" w:hAnsi="Verdana" w:cs="Arial"/>
          <w:b/>
        </w:rPr>
        <w:t xml:space="preserve">6.4.2.4.2. Metoda czterometrowej łaty i klina </w:t>
      </w:r>
    </w:p>
    <w:p w:rsidR="0051730D" w:rsidRPr="00D6204A" w:rsidRDefault="0051730D" w:rsidP="0051730D">
      <w:pPr>
        <w:autoSpaceDE w:val="0"/>
        <w:autoSpaceDN w:val="0"/>
        <w:adjustRightInd w:val="0"/>
        <w:spacing w:line="260" w:lineRule="atLeast"/>
        <w:jc w:val="both"/>
        <w:rPr>
          <w:rFonts w:ascii="Verdana" w:hAnsi="Verdana"/>
        </w:rPr>
      </w:pPr>
      <w:r w:rsidRPr="00D6204A">
        <w:rPr>
          <w:rFonts w:ascii="Verdana" w:hAnsi="Verdana"/>
        </w:rPr>
        <w:t xml:space="preserve">Do oceny równości podłużnej warstwy podbudowy nawierzchni dróg wszystkich klas technicznych, należy stosować metodę pomiaru ciągłego równoważną użyciu łaty i klina z wykorzystaniem </w:t>
      </w:r>
      <w:proofErr w:type="spellStart"/>
      <w:r w:rsidRPr="00D6204A">
        <w:rPr>
          <w:rFonts w:ascii="Verdana" w:hAnsi="Verdana"/>
        </w:rPr>
        <w:t>planografu</w:t>
      </w:r>
      <w:proofErr w:type="spellEnd"/>
      <w:r w:rsidRPr="00D6204A">
        <w:rPr>
          <w:rFonts w:ascii="Verdana" w:hAnsi="Verdana"/>
        </w:rPr>
        <w:t xml:space="preserve">, umożliwiającego wyznaczanie odchyleń równości podłużnej jako największej odległości (prześwitu) pomiędzy teoretyczną linią łączącą spody kółek jezdnych urządzenia a mierzoną powierzchnią warstwy [mm]. </w:t>
      </w:r>
    </w:p>
    <w:p w:rsidR="0051730D" w:rsidRPr="00D6204A" w:rsidRDefault="0051730D" w:rsidP="0051730D">
      <w:pPr>
        <w:autoSpaceDE w:val="0"/>
        <w:autoSpaceDN w:val="0"/>
        <w:adjustRightInd w:val="0"/>
        <w:spacing w:line="260" w:lineRule="atLeast"/>
        <w:jc w:val="both"/>
        <w:rPr>
          <w:rFonts w:ascii="Verdana" w:hAnsi="Verdana"/>
        </w:rPr>
      </w:pPr>
      <w:r w:rsidRPr="00D6204A">
        <w:rPr>
          <w:rFonts w:ascii="Verdana" w:hAnsi="Verdana"/>
        </w:rPr>
        <w:t xml:space="preserve">Pomiary należy wykonywać w środku każdego ocenianego pasa ruchu. </w:t>
      </w:r>
    </w:p>
    <w:p w:rsidR="0051730D" w:rsidRPr="00D6204A" w:rsidRDefault="0051730D" w:rsidP="0051730D">
      <w:pPr>
        <w:autoSpaceDE w:val="0"/>
        <w:autoSpaceDN w:val="0"/>
        <w:adjustRightInd w:val="0"/>
        <w:spacing w:line="260" w:lineRule="atLeast"/>
        <w:jc w:val="both"/>
        <w:rPr>
          <w:rFonts w:ascii="Verdana" w:hAnsi="Verdana"/>
        </w:rPr>
      </w:pPr>
      <w:r w:rsidRPr="00D6204A">
        <w:rPr>
          <w:rFonts w:ascii="Verdana" w:hAnsi="Verdana"/>
        </w:rPr>
        <w:t xml:space="preserve">Prędkość </w:t>
      </w:r>
      <w:proofErr w:type="spellStart"/>
      <w:r w:rsidRPr="00D6204A">
        <w:rPr>
          <w:rFonts w:ascii="Verdana" w:hAnsi="Verdana"/>
        </w:rPr>
        <w:t>planografu</w:t>
      </w:r>
      <w:proofErr w:type="spellEnd"/>
      <w:r w:rsidRPr="00D6204A">
        <w:rPr>
          <w:rFonts w:ascii="Verdana" w:hAnsi="Verdana"/>
        </w:rPr>
        <w:t xml:space="preserve"> w czasie pomiaru nie powinna przekraczać 15 km/h. </w:t>
      </w:r>
    </w:p>
    <w:p w:rsidR="0051730D" w:rsidRPr="00D6204A" w:rsidRDefault="0051730D" w:rsidP="0051730D">
      <w:pPr>
        <w:autoSpaceDE w:val="0"/>
        <w:autoSpaceDN w:val="0"/>
        <w:adjustRightInd w:val="0"/>
        <w:spacing w:line="260" w:lineRule="atLeast"/>
        <w:jc w:val="both"/>
        <w:rPr>
          <w:rFonts w:ascii="Verdana" w:hAnsi="Verdana"/>
        </w:rPr>
      </w:pPr>
      <w:r w:rsidRPr="00D6204A">
        <w:rPr>
          <w:rFonts w:ascii="Verdana" w:hAnsi="Verdana"/>
        </w:rPr>
        <w:t>Wymagana równość podłużna jest określona przez maksymalne dopuszczalne wartości odchyleń dla warstwy podbudowy, podane w tabeli.</w:t>
      </w:r>
    </w:p>
    <w:p w:rsidR="0051730D" w:rsidRPr="00D6204A" w:rsidRDefault="0051730D" w:rsidP="0051730D">
      <w:pPr>
        <w:autoSpaceDE w:val="0"/>
        <w:autoSpaceDN w:val="0"/>
        <w:adjustRightInd w:val="0"/>
        <w:spacing w:line="260" w:lineRule="atLeast"/>
        <w:jc w:val="both"/>
        <w:rPr>
          <w:rFonts w:ascii="Verdana" w:hAnsi="Verdana"/>
        </w:rPr>
      </w:pPr>
    </w:p>
    <w:p w:rsidR="0051730D" w:rsidRPr="00D6204A" w:rsidRDefault="0051730D" w:rsidP="0051730D">
      <w:pPr>
        <w:autoSpaceDE w:val="0"/>
        <w:autoSpaceDN w:val="0"/>
        <w:adjustRightInd w:val="0"/>
        <w:spacing w:line="260" w:lineRule="atLeast"/>
        <w:rPr>
          <w:rFonts w:ascii="Verdana" w:hAnsi="Verdana"/>
        </w:rPr>
      </w:pPr>
      <w:r w:rsidRPr="00D6204A">
        <w:rPr>
          <w:rFonts w:ascii="Verdana" w:hAnsi="Verdana"/>
        </w:rPr>
        <w:t>Tabela 24.</w:t>
      </w:r>
      <w:r w:rsidRPr="00D6204A">
        <w:rPr>
          <w:rFonts w:ascii="Verdana" w:hAnsi="Verdana"/>
          <w:b/>
        </w:rPr>
        <w:t xml:space="preserve"> </w:t>
      </w:r>
      <w:r w:rsidRPr="00D6204A">
        <w:rPr>
          <w:rFonts w:ascii="Verdana" w:hAnsi="Verdana"/>
        </w:rPr>
        <w:t>Dopuszczalne wartości odchyleń dla warstwy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3106"/>
        <w:gridCol w:w="3108"/>
      </w:tblGrid>
      <w:tr w:rsidR="0051730D" w:rsidRPr="00D6204A" w:rsidTr="0051730D">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Klasa drogi</w:t>
            </w:r>
          </w:p>
        </w:tc>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Element nawierzchni</w:t>
            </w:r>
          </w:p>
        </w:tc>
        <w:tc>
          <w:tcPr>
            <w:tcW w:w="3260"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Dopuszczalne wartości odchyleń równości podłużnej warstwy podbudowy [mm]</w:t>
            </w:r>
          </w:p>
        </w:tc>
      </w:tr>
      <w:tr w:rsidR="0051730D" w:rsidRPr="00D6204A" w:rsidTr="0051730D">
        <w:tc>
          <w:tcPr>
            <w:tcW w:w="3259" w:type="dxa"/>
            <w:vMerge w:val="restart"/>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A, S, GP</w:t>
            </w:r>
          </w:p>
        </w:tc>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Pasy ruchu zasadnicze, awaryjne, dodatkowe, włącznie i wyłączenia, jezdnie łącznic</w:t>
            </w:r>
          </w:p>
        </w:tc>
        <w:tc>
          <w:tcPr>
            <w:tcW w:w="3260"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9</w:t>
            </w:r>
          </w:p>
        </w:tc>
      </w:tr>
      <w:tr w:rsidR="0051730D" w:rsidRPr="00D6204A" w:rsidTr="0051730D">
        <w:tc>
          <w:tcPr>
            <w:tcW w:w="3259" w:type="dxa"/>
            <w:vMerge/>
            <w:vAlign w:val="center"/>
          </w:tcPr>
          <w:p w:rsidR="0051730D" w:rsidRPr="00D6204A" w:rsidRDefault="0051730D" w:rsidP="0051730D">
            <w:pPr>
              <w:autoSpaceDE w:val="0"/>
              <w:autoSpaceDN w:val="0"/>
              <w:adjustRightInd w:val="0"/>
              <w:jc w:val="center"/>
              <w:rPr>
                <w:rFonts w:ascii="Verdana" w:hAnsi="Verdana"/>
              </w:rPr>
            </w:pPr>
          </w:p>
        </w:tc>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Jezdnie MOP, utwardzone pobocza</w:t>
            </w:r>
          </w:p>
        </w:tc>
        <w:tc>
          <w:tcPr>
            <w:tcW w:w="3260"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12</w:t>
            </w:r>
          </w:p>
        </w:tc>
      </w:tr>
      <w:tr w:rsidR="0051730D" w:rsidRPr="00D6204A" w:rsidTr="0051730D">
        <w:trPr>
          <w:trHeight w:val="736"/>
        </w:trPr>
        <w:tc>
          <w:tcPr>
            <w:tcW w:w="3259" w:type="dxa"/>
            <w:vMerge w:val="restart"/>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G, Z</w:t>
            </w:r>
          </w:p>
        </w:tc>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Pasy ruchu zasadnicze, dodatkowe, włączenia i wyłączenia, postojowe</w:t>
            </w:r>
          </w:p>
        </w:tc>
        <w:tc>
          <w:tcPr>
            <w:tcW w:w="3260"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12</w:t>
            </w:r>
          </w:p>
        </w:tc>
      </w:tr>
      <w:tr w:rsidR="0051730D" w:rsidRPr="00D6204A" w:rsidTr="0051730D">
        <w:tc>
          <w:tcPr>
            <w:tcW w:w="3259" w:type="dxa"/>
            <w:vMerge/>
            <w:vAlign w:val="center"/>
          </w:tcPr>
          <w:p w:rsidR="0051730D" w:rsidRPr="00D6204A" w:rsidRDefault="0051730D" w:rsidP="0051730D">
            <w:pPr>
              <w:autoSpaceDE w:val="0"/>
              <w:autoSpaceDN w:val="0"/>
              <w:adjustRightInd w:val="0"/>
              <w:jc w:val="center"/>
              <w:rPr>
                <w:rFonts w:ascii="Verdana" w:hAnsi="Verdana"/>
              </w:rPr>
            </w:pPr>
          </w:p>
        </w:tc>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Utwardzone pobocza</w:t>
            </w:r>
          </w:p>
        </w:tc>
        <w:tc>
          <w:tcPr>
            <w:tcW w:w="3260"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15</w:t>
            </w:r>
          </w:p>
        </w:tc>
      </w:tr>
      <w:tr w:rsidR="0051730D" w:rsidRPr="00D6204A" w:rsidTr="0051730D">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lastRenderedPageBreak/>
              <w:t>L, D, place, parkingi</w:t>
            </w:r>
          </w:p>
        </w:tc>
        <w:tc>
          <w:tcPr>
            <w:tcW w:w="3259"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Wszystkie pasy ruchu i powierzchnie przeznaczone do ruchu i postoju pojazdów</w:t>
            </w:r>
          </w:p>
        </w:tc>
        <w:tc>
          <w:tcPr>
            <w:tcW w:w="3260" w:type="dxa"/>
            <w:vAlign w:val="center"/>
          </w:tcPr>
          <w:p w:rsidR="0051730D" w:rsidRPr="00D6204A" w:rsidRDefault="0051730D" w:rsidP="0051730D">
            <w:pPr>
              <w:autoSpaceDE w:val="0"/>
              <w:autoSpaceDN w:val="0"/>
              <w:adjustRightInd w:val="0"/>
              <w:jc w:val="center"/>
              <w:rPr>
                <w:rFonts w:ascii="Verdana" w:hAnsi="Verdana"/>
              </w:rPr>
            </w:pPr>
            <w:r w:rsidRPr="00D6204A">
              <w:rPr>
                <w:rFonts w:ascii="Verdana" w:hAnsi="Verdana"/>
              </w:rPr>
              <w:t>15</w:t>
            </w:r>
          </w:p>
        </w:tc>
      </w:tr>
    </w:tbl>
    <w:p w:rsidR="0051730D" w:rsidRPr="00D6204A" w:rsidRDefault="0051730D" w:rsidP="0051730D">
      <w:pPr>
        <w:autoSpaceDE w:val="0"/>
        <w:autoSpaceDN w:val="0"/>
        <w:adjustRightInd w:val="0"/>
        <w:rPr>
          <w:rFonts w:ascii="Verdana" w:hAnsi="Verdana"/>
        </w:rPr>
      </w:pPr>
    </w:p>
    <w:p w:rsidR="0051730D" w:rsidRPr="00D6204A" w:rsidRDefault="0051730D" w:rsidP="0051730D">
      <w:pPr>
        <w:autoSpaceDE w:val="0"/>
        <w:autoSpaceDN w:val="0"/>
        <w:adjustRightInd w:val="0"/>
        <w:spacing w:line="260" w:lineRule="atLeast"/>
        <w:jc w:val="both"/>
        <w:rPr>
          <w:rFonts w:ascii="Verdana" w:hAnsi="Verdana"/>
          <w:u w:val="single"/>
        </w:rPr>
      </w:pPr>
      <w:r w:rsidRPr="00D6204A">
        <w:rPr>
          <w:rFonts w:ascii="Verdana" w:hAnsi="Verdana"/>
          <w:u w:val="single"/>
        </w:rPr>
        <w:t>Pomiar równości podłużnej nawierzchni metodą łaty i klina</w:t>
      </w:r>
    </w:p>
    <w:p w:rsidR="0051730D" w:rsidRPr="00D6204A" w:rsidRDefault="0051730D" w:rsidP="0051730D">
      <w:pPr>
        <w:autoSpaceDE w:val="0"/>
        <w:autoSpaceDN w:val="0"/>
        <w:adjustRightInd w:val="0"/>
        <w:spacing w:line="260" w:lineRule="atLeast"/>
        <w:jc w:val="both"/>
        <w:rPr>
          <w:rFonts w:ascii="Verdana" w:hAnsi="Verdana"/>
        </w:rPr>
      </w:pPr>
      <w:r w:rsidRPr="00D6204A">
        <w:rPr>
          <w:rFonts w:ascii="Verdana" w:hAnsi="Verdana"/>
        </w:rPr>
        <w:t>Pomiar równości podłużnej warstw nawierzchni z użyciem łaty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Tablicy 24.</w:t>
      </w:r>
    </w:p>
    <w:p w:rsidR="0051730D" w:rsidRPr="009040B8" w:rsidRDefault="0051730D" w:rsidP="0051730D">
      <w:pPr>
        <w:keepNext/>
        <w:spacing w:before="120"/>
        <w:jc w:val="both"/>
        <w:rPr>
          <w:rFonts w:ascii="Verdana" w:hAnsi="Verdana" w:cs="Arial"/>
          <w:b/>
        </w:rPr>
      </w:pPr>
      <w:r w:rsidRPr="009040B8">
        <w:rPr>
          <w:rFonts w:ascii="Verdana" w:hAnsi="Verdana" w:cs="Arial"/>
          <w:b/>
        </w:rPr>
        <w:t>6.4.2.5. Równość poprzeczna</w:t>
      </w:r>
    </w:p>
    <w:p w:rsidR="0051730D" w:rsidRPr="00431F13" w:rsidRDefault="0051730D" w:rsidP="0051730D">
      <w:pPr>
        <w:autoSpaceDE w:val="0"/>
        <w:autoSpaceDN w:val="0"/>
        <w:adjustRightInd w:val="0"/>
        <w:spacing w:line="260" w:lineRule="atLeast"/>
        <w:jc w:val="both"/>
        <w:rPr>
          <w:rFonts w:ascii="Verdana" w:hAnsi="Verdana"/>
        </w:rPr>
      </w:pPr>
      <w:r w:rsidRPr="00431F13">
        <w:rPr>
          <w:rFonts w:ascii="Verdana" w:hAnsi="Verdana"/>
        </w:rPr>
        <w:t xml:space="preserve">Do oceny równości poprzecznej warstw nawierzchni dróg wszystkich klas technicznych oraz placów i parkingów należy stosować metodę pomiaru profilometrycznego a w miejscach niedostępnych dla sprzętu pomiarowego z wykorzystaniem łaty i klina, umożliwiającą wyznaczenie odchylenia równości w przekroju poprzecznym pasa ruchu/elementu drogi. </w:t>
      </w:r>
    </w:p>
    <w:p w:rsidR="0051730D" w:rsidRPr="00431F13" w:rsidRDefault="0051730D" w:rsidP="0051730D">
      <w:pPr>
        <w:autoSpaceDE w:val="0"/>
        <w:autoSpaceDN w:val="0"/>
        <w:adjustRightInd w:val="0"/>
        <w:spacing w:line="260" w:lineRule="atLeast"/>
        <w:jc w:val="both"/>
        <w:rPr>
          <w:rFonts w:ascii="Verdana" w:hAnsi="Verdana"/>
        </w:rPr>
      </w:pPr>
      <w:r w:rsidRPr="00431F13">
        <w:rPr>
          <w:rFonts w:ascii="Verdana" w:hAnsi="Verdana"/>
        </w:rPr>
        <w:t>Odchylenie to jest obliczane jako największa odległość (prześwit) pomiędzy teoretyczną łatą</w:t>
      </w:r>
      <w:r>
        <w:rPr>
          <w:rFonts w:ascii="Verdana" w:hAnsi="Verdana"/>
        </w:rPr>
        <w:t xml:space="preserve"> </w:t>
      </w:r>
      <w:r w:rsidRPr="00431F13">
        <w:rPr>
          <w:rFonts w:ascii="Verdana" w:hAnsi="Verdana"/>
        </w:rPr>
        <w:t>(</w:t>
      </w:r>
      <w:r>
        <w:rPr>
          <w:rFonts w:ascii="Verdana" w:hAnsi="Verdana"/>
        </w:rPr>
        <w:t xml:space="preserve">o </w:t>
      </w:r>
      <w:r w:rsidRPr="00431F13">
        <w:rPr>
          <w:rFonts w:ascii="Verdana" w:hAnsi="Verdana"/>
        </w:rPr>
        <w:t xml:space="preserve">długości 2 m) a zarejestrowanym profilem poprzecznym warstwy. Wartość odchylenia równości poprzecznej standardowo należy wyznaczać z krokiem co 1 m. Zaleca się utrzymywanie w czasie pomiaru stałej prędkości pomiarowej w zakresie 50-70 km/h, przy czym w zależności od panujących warunków oraz organizacji ruchu dopuszcza się wykonywanie pomiarów z prędkością 0-110 km/h. </w:t>
      </w:r>
    </w:p>
    <w:p w:rsidR="0051730D" w:rsidRPr="00431F13" w:rsidRDefault="0051730D" w:rsidP="0051730D">
      <w:pPr>
        <w:autoSpaceDE w:val="0"/>
        <w:autoSpaceDN w:val="0"/>
        <w:adjustRightInd w:val="0"/>
        <w:spacing w:line="260" w:lineRule="atLeast"/>
        <w:jc w:val="both"/>
        <w:rPr>
          <w:rFonts w:ascii="Verdana" w:hAnsi="Verdana"/>
        </w:rPr>
      </w:pPr>
      <w:r w:rsidRPr="00431F13">
        <w:rPr>
          <w:rFonts w:ascii="Verdana" w:hAnsi="Verdana"/>
        </w:rPr>
        <w:t>W czasie pomiaru należy bezwzględnie unikać gwałtownych zmian prędkości. Dopuszczalne wartości odchyleń zostały podane w tabeli:</w:t>
      </w:r>
    </w:p>
    <w:p w:rsidR="0051730D" w:rsidRPr="00431F13" w:rsidRDefault="0051730D" w:rsidP="0051730D">
      <w:pPr>
        <w:autoSpaceDE w:val="0"/>
        <w:autoSpaceDN w:val="0"/>
        <w:adjustRightInd w:val="0"/>
        <w:spacing w:line="260" w:lineRule="atLeast"/>
        <w:rPr>
          <w:rFonts w:ascii="Verdana" w:hAnsi="Verdana"/>
        </w:rPr>
      </w:pPr>
      <w:r w:rsidRPr="00431F13">
        <w:rPr>
          <w:rFonts w:ascii="Verdana" w:hAnsi="Verdana"/>
        </w:rPr>
        <w:t xml:space="preserve">               </w:t>
      </w:r>
    </w:p>
    <w:p w:rsidR="0051730D" w:rsidRPr="00431F13" w:rsidRDefault="0051730D" w:rsidP="0051730D">
      <w:pPr>
        <w:autoSpaceDE w:val="0"/>
        <w:autoSpaceDN w:val="0"/>
        <w:adjustRightInd w:val="0"/>
        <w:spacing w:after="120" w:line="260" w:lineRule="atLeast"/>
        <w:rPr>
          <w:rFonts w:ascii="Verdana" w:hAnsi="Verdana"/>
        </w:rPr>
      </w:pPr>
      <w:r w:rsidRPr="00431F13">
        <w:rPr>
          <w:rFonts w:ascii="Verdana" w:hAnsi="Verdana"/>
        </w:rPr>
        <w:t>Tabela 25. Dopuszczalne wartości odchyleń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3106"/>
        <w:gridCol w:w="3108"/>
      </w:tblGrid>
      <w:tr w:rsidR="0051730D" w:rsidRPr="00431F13" w:rsidTr="0051730D">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Klasa drogi</w:t>
            </w:r>
          </w:p>
        </w:tc>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Element nawierzchni</w:t>
            </w:r>
          </w:p>
        </w:tc>
        <w:tc>
          <w:tcPr>
            <w:tcW w:w="3260"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Dopuszczalne wartości odchyleń równości poprzecznej warstwy podbudowy [mm]</w:t>
            </w:r>
          </w:p>
        </w:tc>
      </w:tr>
      <w:tr w:rsidR="0051730D" w:rsidRPr="00431F13" w:rsidTr="0051730D">
        <w:tc>
          <w:tcPr>
            <w:tcW w:w="3259" w:type="dxa"/>
            <w:vMerge w:val="restart"/>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A, S, GP</w:t>
            </w:r>
          </w:p>
        </w:tc>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Pasy ruchu zasadnicze, awaryjne, dodatkowe, włączenia i wyłączenia, jezdnia łącznic</w:t>
            </w:r>
          </w:p>
        </w:tc>
        <w:tc>
          <w:tcPr>
            <w:tcW w:w="3260"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9</w:t>
            </w:r>
          </w:p>
        </w:tc>
      </w:tr>
      <w:tr w:rsidR="0051730D" w:rsidRPr="00431F13" w:rsidTr="0051730D">
        <w:tc>
          <w:tcPr>
            <w:tcW w:w="3259" w:type="dxa"/>
            <w:vMerge/>
            <w:vAlign w:val="center"/>
          </w:tcPr>
          <w:p w:rsidR="0051730D" w:rsidRPr="00431F13" w:rsidRDefault="0051730D" w:rsidP="0051730D">
            <w:pPr>
              <w:autoSpaceDE w:val="0"/>
              <w:autoSpaceDN w:val="0"/>
              <w:adjustRightInd w:val="0"/>
              <w:jc w:val="center"/>
              <w:rPr>
                <w:rFonts w:ascii="Verdana" w:hAnsi="Verdana"/>
              </w:rPr>
            </w:pPr>
          </w:p>
        </w:tc>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Jezdnie MOP, utwardzone pobocza</w:t>
            </w:r>
          </w:p>
        </w:tc>
        <w:tc>
          <w:tcPr>
            <w:tcW w:w="3260"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12</w:t>
            </w:r>
          </w:p>
        </w:tc>
      </w:tr>
      <w:tr w:rsidR="0051730D" w:rsidRPr="00431F13" w:rsidTr="0051730D">
        <w:tc>
          <w:tcPr>
            <w:tcW w:w="3259" w:type="dxa"/>
            <w:vMerge w:val="restart"/>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G, Z</w:t>
            </w:r>
          </w:p>
        </w:tc>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Pasy ruchu zasadnicze, dodatkowe, włączenia i wyłączenia, postojowe</w:t>
            </w:r>
          </w:p>
        </w:tc>
        <w:tc>
          <w:tcPr>
            <w:tcW w:w="3260"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12</w:t>
            </w:r>
          </w:p>
        </w:tc>
      </w:tr>
      <w:tr w:rsidR="0051730D" w:rsidRPr="00431F13" w:rsidTr="0051730D">
        <w:tc>
          <w:tcPr>
            <w:tcW w:w="3259" w:type="dxa"/>
            <w:vMerge/>
            <w:vAlign w:val="center"/>
          </w:tcPr>
          <w:p w:rsidR="0051730D" w:rsidRPr="00431F13" w:rsidRDefault="0051730D" w:rsidP="0051730D">
            <w:pPr>
              <w:autoSpaceDE w:val="0"/>
              <w:autoSpaceDN w:val="0"/>
              <w:adjustRightInd w:val="0"/>
              <w:jc w:val="center"/>
              <w:rPr>
                <w:rFonts w:ascii="Verdana" w:hAnsi="Verdana"/>
              </w:rPr>
            </w:pPr>
          </w:p>
        </w:tc>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Utwardzone pobocza</w:t>
            </w:r>
          </w:p>
        </w:tc>
        <w:tc>
          <w:tcPr>
            <w:tcW w:w="3260"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15</w:t>
            </w:r>
          </w:p>
        </w:tc>
      </w:tr>
      <w:tr w:rsidR="0051730D" w:rsidRPr="00431F13" w:rsidTr="0051730D">
        <w:trPr>
          <w:trHeight w:val="736"/>
        </w:trPr>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L, D, place, parkingi</w:t>
            </w:r>
          </w:p>
        </w:tc>
        <w:tc>
          <w:tcPr>
            <w:tcW w:w="3259"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Wszystkie pasy ruchu i powierzchnie przeznaczone do ruchu i postoju pojazdów</w:t>
            </w:r>
          </w:p>
        </w:tc>
        <w:tc>
          <w:tcPr>
            <w:tcW w:w="3260" w:type="dxa"/>
            <w:vAlign w:val="center"/>
          </w:tcPr>
          <w:p w:rsidR="0051730D" w:rsidRPr="00431F13" w:rsidRDefault="0051730D" w:rsidP="0051730D">
            <w:pPr>
              <w:autoSpaceDE w:val="0"/>
              <w:autoSpaceDN w:val="0"/>
              <w:adjustRightInd w:val="0"/>
              <w:jc w:val="center"/>
              <w:rPr>
                <w:rFonts w:ascii="Verdana" w:hAnsi="Verdana"/>
              </w:rPr>
            </w:pPr>
            <w:r w:rsidRPr="00431F13">
              <w:rPr>
                <w:rFonts w:ascii="Verdana" w:hAnsi="Verdana"/>
              </w:rPr>
              <w:t>15</w:t>
            </w:r>
          </w:p>
        </w:tc>
      </w:tr>
    </w:tbl>
    <w:p w:rsidR="0051730D" w:rsidRPr="00431F13" w:rsidRDefault="0051730D" w:rsidP="0051730D">
      <w:pPr>
        <w:autoSpaceDE w:val="0"/>
        <w:autoSpaceDN w:val="0"/>
        <w:adjustRightInd w:val="0"/>
        <w:rPr>
          <w:rFonts w:ascii="Verdana" w:hAnsi="Verdana"/>
        </w:rPr>
      </w:pPr>
    </w:p>
    <w:p w:rsidR="0051730D" w:rsidRPr="00431F13" w:rsidRDefault="0051730D" w:rsidP="0051730D">
      <w:pPr>
        <w:autoSpaceDE w:val="0"/>
        <w:autoSpaceDN w:val="0"/>
        <w:adjustRightInd w:val="0"/>
        <w:spacing w:line="260" w:lineRule="atLeast"/>
        <w:jc w:val="both"/>
        <w:rPr>
          <w:rFonts w:ascii="Verdana" w:hAnsi="Verdana"/>
        </w:rPr>
      </w:pPr>
      <w:r w:rsidRPr="00431F13">
        <w:rPr>
          <w:rFonts w:ascii="Verdana" w:hAnsi="Verdana"/>
        </w:rPr>
        <w:t>Pomiar równości poprzecznej warstw nawierzchni z użyciem łaty i klina należy wykonywać jedynie w miejscach niedostępnych dla sprzętu pomiarowego takich jak: stanowiska postojowe, zatoki autobusowe itp. Pomiary równości poprzecznej z wykorzystaniem łaty i klina należy wykonywać z krokiem co 1m, oraz w miejscach dodatkowych budzących wątpliwości co do zachowania warunku równości poprzecznej. W czasie pomiaru łata powinna leżeć prostopadle do osi drogi i w płaszczyźnie prostopadłej do powierzchni badanej warstwy.</w:t>
      </w:r>
    </w:p>
    <w:p w:rsidR="0051730D" w:rsidRPr="00431F13" w:rsidRDefault="0051730D" w:rsidP="0051730D">
      <w:pPr>
        <w:autoSpaceDE w:val="0"/>
        <w:autoSpaceDN w:val="0"/>
        <w:adjustRightInd w:val="0"/>
        <w:spacing w:line="260" w:lineRule="atLeast"/>
        <w:jc w:val="both"/>
        <w:rPr>
          <w:rFonts w:ascii="Verdana" w:hAnsi="Verdana"/>
        </w:rPr>
      </w:pPr>
      <w:r w:rsidRPr="00431F13">
        <w:rPr>
          <w:rFonts w:ascii="Verdana" w:hAnsi="Verdana"/>
        </w:rPr>
        <w:lastRenderedPageBreak/>
        <w:t>Klin należy podkładać pod łatę w miejscu, w którym prześwit jest największy (największe odchylenie równości). Wielkość prześwitu jest równa najmniejszej liczbie widocznej na klinie podłożonym pod łatę. Zasady oceny wyników podano w tabeli 25.</w:t>
      </w:r>
    </w:p>
    <w:p w:rsidR="0051730D" w:rsidRDefault="0051730D" w:rsidP="0051730D">
      <w:pPr>
        <w:jc w:val="both"/>
        <w:rPr>
          <w:rFonts w:ascii="Verdana" w:hAnsi="Verdana" w:cs="Arial"/>
          <w:b/>
        </w:rPr>
      </w:pPr>
    </w:p>
    <w:p w:rsidR="0051730D" w:rsidRPr="009040B8" w:rsidRDefault="0051730D" w:rsidP="0051730D">
      <w:pPr>
        <w:jc w:val="both"/>
        <w:rPr>
          <w:rFonts w:ascii="Verdana" w:hAnsi="Verdana" w:cs="Arial"/>
          <w:b/>
        </w:rPr>
      </w:pPr>
      <w:r w:rsidRPr="009040B8">
        <w:rPr>
          <w:rFonts w:ascii="Verdana" w:hAnsi="Verdana" w:cs="Arial"/>
          <w:b/>
        </w:rPr>
        <w:t>6.4.2.6. Pozostałe właściwości warstwy asfaltowej</w:t>
      </w:r>
    </w:p>
    <w:p w:rsidR="0051730D" w:rsidRDefault="0051730D" w:rsidP="0051730D">
      <w:pPr>
        <w:jc w:val="both"/>
        <w:rPr>
          <w:rFonts w:ascii="Verdana" w:hAnsi="Verdana" w:cs="Arial"/>
        </w:rPr>
      </w:pPr>
      <w:r w:rsidRPr="009040B8">
        <w:rPr>
          <w:rFonts w:ascii="Verdana" w:hAnsi="Verdana" w:cs="Arial"/>
        </w:rPr>
        <w:t>Szerokość warstwy, mierzona 20 razy na 1 km każdej jezdni, nie może się różnić od szerokości projektowanej o więcej niż ± 5 cm.</w:t>
      </w:r>
      <w:bookmarkStart w:id="298" w:name="_Toc421940502"/>
      <w:bookmarkStart w:id="299" w:name="_Toc24955914"/>
      <w:bookmarkStart w:id="300" w:name="_Toc25128888"/>
      <w:bookmarkStart w:id="301" w:name="_Toc25373386"/>
      <w:bookmarkStart w:id="302" w:name="_Toc25379402"/>
      <w:bookmarkStart w:id="303" w:name="_Toc174333139"/>
      <w:bookmarkStart w:id="304" w:name="_Toc179183772"/>
      <w:bookmarkStart w:id="305" w:name="_Toc198436141"/>
      <w:bookmarkStart w:id="306" w:name="_Toc217274569"/>
      <w:bookmarkStart w:id="307" w:name="_Toc237920705"/>
    </w:p>
    <w:p w:rsidR="0051730D" w:rsidRDefault="0051730D" w:rsidP="0051730D">
      <w:pPr>
        <w:jc w:val="both"/>
        <w:rPr>
          <w:rFonts w:ascii="Verdana" w:hAnsi="Verdana" w:cs="Arial"/>
        </w:rPr>
      </w:pPr>
      <w:r w:rsidRPr="009040B8">
        <w:rPr>
          <w:rFonts w:ascii="Verdana" w:hAnsi="Verdana" w:cs="Arial"/>
        </w:rPr>
        <w:t>Rzędne wysokościowe, mierzone co 50 m na odcinkach prostych i co 10 m na łukach poziomych w osi podłużnej i krawędziach, powinny być zgodne z dokumentacją projektową z dopuszczalną tolerancją ± 1 cm, przy czym co najmniej 95% wykonanych pomiarów nie może przekraczać przedziału dopuszczalnych odchyleń.</w:t>
      </w:r>
      <w:r w:rsidRPr="009040B8">
        <w:rPr>
          <w:rFonts w:ascii="Verdana" w:hAnsi="Verdana" w:cs="Arial"/>
          <w:b/>
        </w:rPr>
        <w:t xml:space="preserve"> </w:t>
      </w:r>
    </w:p>
    <w:p w:rsidR="0051730D" w:rsidRDefault="0051730D" w:rsidP="0051730D">
      <w:pPr>
        <w:jc w:val="both"/>
        <w:rPr>
          <w:rFonts w:ascii="Verdana" w:hAnsi="Verdana" w:cs="Arial"/>
          <w:b/>
        </w:rPr>
      </w:pPr>
      <w:r w:rsidRPr="009040B8">
        <w:rPr>
          <w:rFonts w:ascii="Verdana" w:hAnsi="Verdana" w:cs="Arial"/>
        </w:rPr>
        <w:t>Ukształtowanie osi w planie, mierzone co 50 m, nie powinno różnić się od dokumentacji projektowej o ± 5 cm.</w:t>
      </w:r>
      <w:r w:rsidRPr="009040B8">
        <w:rPr>
          <w:rFonts w:ascii="Verdana" w:hAnsi="Verdana" w:cs="Arial"/>
          <w:b/>
        </w:rPr>
        <w:t xml:space="preserve"> </w:t>
      </w:r>
    </w:p>
    <w:p w:rsidR="0051730D" w:rsidRPr="00330A9A" w:rsidRDefault="0051730D" w:rsidP="0051730D">
      <w:pPr>
        <w:jc w:val="both"/>
        <w:rPr>
          <w:rFonts w:ascii="Verdana" w:hAnsi="Verdana" w:cs="Arial"/>
        </w:rPr>
      </w:pPr>
      <w:r w:rsidRPr="009040B8">
        <w:rPr>
          <w:rFonts w:ascii="Verdana" w:hAnsi="Verdana" w:cs="Arial"/>
        </w:rPr>
        <w:t xml:space="preserve">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t>
      </w:r>
      <w:proofErr w:type="spellStart"/>
      <w:r w:rsidRPr="009040B8">
        <w:rPr>
          <w:rFonts w:ascii="Verdana" w:hAnsi="Verdana" w:cs="Arial"/>
        </w:rPr>
        <w:t>wykruszeń</w:t>
      </w:r>
      <w:proofErr w:type="spellEnd"/>
      <w:r w:rsidRPr="009040B8">
        <w:rPr>
          <w:rFonts w:ascii="Verdana" w:hAnsi="Verdana" w:cs="Arial"/>
        </w:rPr>
        <w:t>.</w:t>
      </w:r>
    </w:p>
    <w:p w:rsidR="0051730D" w:rsidRPr="00330A9A" w:rsidRDefault="0051730D" w:rsidP="0051730D">
      <w:pPr>
        <w:jc w:val="both"/>
        <w:rPr>
          <w:rFonts w:ascii="Verdana" w:hAnsi="Verdana" w:cs="Arial"/>
        </w:rPr>
      </w:pPr>
    </w:p>
    <w:p w:rsidR="0051730D" w:rsidRPr="007E2951" w:rsidRDefault="0051730D" w:rsidP="0051730D">
      <w:pPr>
        <w:keepNext/>
        <w:widowControl w:val="0"/>
        <w:numPr>
          <w:ilvl w:val="12"/>
          <w:numId w:val="0"/>
        </w:numPr>
        <w:jc w:val="both"/>
        <w:outlineLvl w:val="0"/>
        <w:rPr>
          <w:rFonts w:ascii="Verdana" w:hAnsi="Verdana" w:cs="Arial"/>
          <w:b/>
          <w:snapToGrid w:val="0"/>
        </w:rPr>
      </w:pPr>
      <w:bookmarkStart w:id="308" w:name="_Toc316558796"/>
      <w:r w:rsidRPr="009040B8">
        <w:rPr>
          <w:rFonts w:ascii="Verdana" w:hAnsi="Verdana" w:cs="Arial"/>
          <w:b/>
          <w:snapToGrid w:val="0"/>
        </w:rPr>
        <w:t xml:space="preserve">7. </w:t>
      </w:r>
      <w:bookmarkEnd w:id="298"/>
      <w:bookmarkEnd w:id="299"/>
      <w:bookmarkEnd w:id="300"/>
      <w:bookmarkEnd w:id="301"/>
      <w:bookmarkEnd w:id="302"/>
      <w:bookmarkEnd w:id="303"/>
      <w:bookmarkEnd w:id="304"/>
      <w:bookmarkEnd w:id="305"/>
      <w:bookmarkEnd w:id="306"/>
      <w:bookmarkEnd w:id="307"/>
      <w:r w:rsidRPr="009040B8">
        <w:rPr>
          <w:rFonts w:ascii="Verdana" w:hAnsi="Verdana" w:cs="Arial"/>
          <w:b/>
          <w:snapToGrid w:val="0"/>
        </w:rPr>
        <w:t>O</w:t>
      </w:r>
      <w:bookmarkEnd w:id="308"/>
      <w:r w:rsidRPr="009040B8">
        <w:rPr>
          <w:rFonts w:ascii="Verdana" w:hAnsi="Verdana" w:cs="Arial"/>
          <w:b/>
          <w:snapToGrid w:val="0"/>
        </w:rPr>
        <w:t>bmiar robót</w:t>
      </w:r>
      <w:bookmarkStart w:id="309" w:name="_Toc316558797"/>
    </w:p>
    <w:p w:rsidR="0051730D" w:rsidRPr="009040B8" w:rsidRDefault="0051730D" w:rsidP="0051730D">
      <w:pPr>
        <w:keepNext/>
        <w:numPr>
          <w:ilvl w:val="12"/>
          <w:numId w:val="0"/>
        </w:numPr>
        <w:jc w:val="both"/>
        <w:outlineLvl w:val="1"/>
        <w:rPr>
          <w:rFonts w:ascii="Verdana" w:hAnsi="Verdana" w:cs="Arial"/>
          <w:b/>
          <w:bCs/>
          <w:iCs/>
        </w:rPr>
      </w:pPr>
      <w:r w:rsidRPr="009040B8">
        <w:rPr>
          <w:rFonts w:ascii="Verdana" w:hAnsi="Verdana" w:cs="Arial"/>
          <w:b/>
          <w:bCs/>
          <w:iCs/>
        </w:rPr>
        <w:t>7.1. Ogólne zasady obmiaru robót</w:t>
      </w:r>
      <w:bookmarkEnd w:id="309"/>
    </w:p>
    <w:p w:rsidR="0051730D" w:rsidRPr="009040B8" w:rsidRDefault="0051730D" w:rsidP="0051730D">
      <w:pPr>
        <w:numPr>
          <w:ilvl w:val="12"/>
          <w:numId w:val="0"/>
        </w:numPr>
        <w:jc w:val="both"/>
        <w:rPr>
          <w:rFonts w:ascii="Verdana" w:hAnsi="Verdana" w:cs="Arial"/>
        </w:rPr>
      </w:pPr>
      <w:r w:rsidRPr="009040B8">
        <w:rPr>
          <w:rFonts w:ascii="Verdana" w:hAnsi="Verdana" w:cs="Arial"/>
        </w:rPr>
        <w:t xml:space="preserve">Ogólne zasady obmiaru robót podano w </w:t>
      </w:r>
      <w:r>
        <w:rPr>
          <w:rFonts w:ascii="Verdana" w:hAnsi="Verdana" w:cs="Arial"/>
        </w:rPr>
        <w:t>S</w:t>
      </w:r>
      <w:r w:rsidRPr="009040B8">
        <w:rPr>
          <w:rFonts w:ascii="Verdana" w:hAnsi="Verdana" w:cs="Arial"/>
        </w:rPr>
        <w:t xml:space="preserve">ST  D-M-00.00.00 „Wymagania ogólne” [1] </w:t>
      </w:r>
      <w:r>
        <w:rPr>
          <w:rFonts w:ascii="Verdana" w:hAnsi="Verdana" w:cs="Arial"/>
        </w:rPr>
        <w:br/>
      </w:r>
      <w:r w:rsidRPr="009040B8">
        <w:rPr>
          <w:rFonts w:ascii="Verdana" w:hAnsi="Verdana" w:cs="Arial"/>
        </w:rPr>
        <w:t>pkt 7.</w:t>
      </w:r>
    </w:p>
    <w:p w:rsidR="0051730D" w:rsidRPr="009040B8" w:rsidRDefault="0051730D" w:rsidP="0051730D">
      <w:pPr>
        <w:numPr>
          <w:ilvl w:val="12"/>
          <w:numId w:val="0"/>
        </w:numPr>
        <w:jc w:val="both"/>
        <w:rPr>
          <w:rFonts w:ascii="Verdana" w:hAnsi="Verdana" w:cs="Arial"/>
        </w:rPr>
      </w:pPr>
    </w:p>
    <w:p w:rsidR="0051730D" w:rsidRPr="009040B8" w:rsidRDefault="0051730D" w:rsidP="0051730D">
      <w:pPr>
        <w:keepNext/>
        <w:numPr>
          <w:ilvl w:val="12"/>
          <w:numId w:val="0"/>
        </w:numPr>
        <w:jc w:val="both"/>
        <w:outlineLvl w:val="1"/>
        <w:rPr>
          <w:rFonts w:ascii="Verdana" w:hAnsi="Verdana" w:cs="Arial"/>
          <w:b/>
          <w:bCs/>
          <w:iCs/>
        </w:rPr>
      </w:pPr>
      <w:bookmarkStart w:id="310" w:name="_Toc316558798"/>
      <w:r w:rsidRPr="009040B8">
        <w:rPr>
          <w:rFonts w:ascii="Verdana" w:hAnsi="Verdana" w:cs="Arial"/>
          <w:b/>
          <w:bCs/>
          <w:iCs/>
        </w:rPr>
        <w:t>7.2. Jednostka obmiarowa</w:t>
      </w:r>
      <w:bookmarkEnd w:id="310"/>
    </w:p>
    <w:p w:rsidR="0051730D" w:rsidRPr="009040B8" w:rsidRDefault="0051730D" w:rsidP="0051730D">
      <w:pPr>
        <w:numPr>
          <w:ilvl w:val="12"/>
          <w:numId w:val="0"/>
        </w:numPr>
        <w:jc w:val="both"/>
        <w:rPr>
          <w:rFonts w:ascii="Verdana" w:hAnsi="Verdana" w:cs="Arial"/>
        </w:rPr>
      </w:pPr>
      <w:r w:rsidRPr="009040B8">
        <w:rPr>
          <w:rFonts w:ascii="Verdana" w:hAnsi="Verdana" w:cs="Arial"/>
        </w:rPr>
        <w:t>Jednostką obmiarową jest m</w:t>
      </w:r>
      <w:r w:rsidRPr="009040B8">
        <w:rPr>
          <w:rFonts w:ascii="Verdana" w:hAnsi="Verdana" w:cs="Arial"/>
          <w:vertAlign w:val="superscript"/>
        </w:rPr>
        <w:t>2</w:t>
      </w:r>
      <w:r w:rsidRPr="009040B8">
        <w:rPr>
          <w:rFonts w:ascii="Verdana" w:hAnsi="Verdana" w:cs="Arial"/>
        </w:rPr>
        <w:t xml:space="preserve"> (metr kwadratowy) wykonanej warstwy z betonu asfaltowego.</w:t>
      </w:r>
    </w:p>
    <w:p w:rsidR="0051730D" w:rsidRPr="009040B8" w:rsidRDefault="0051730D" w:rsidP="0051730D">
      <w:pPr>
        <w:numPr>
          <w:ilvl w:val="12"/>
          <w:numId w:val="0"/>
        </w:numPr>
        <w:jc w:val="both"/>
        <w:rPr>
          <w:rFonts w:ascii="Verdana" w:hAnsi="Verdana" w:cs="Arial"/>
        </w:rPr>
      </w:pPr>
    </w:p>
    <w:p w:rsidR="0051730D" w:rsidRPr="009040B8" w:rsidRDefault="0051730D" w:rsidP="0051730D">
      <w:pPr>
        <w:keepNext/>
        <w:widowControl w:val="0"/>
        <w:numPr>
          <w:ilvl w:val="12"/>
          <w:numId w:val="0"/>
        </w:numPr>
        <w:jc w:val="both"/>
        <w:outlineLvl w:val="0"/>
        <w:rPr>
          <w:rFonts w:ascii="Verdana" w:hAnsi="Verdana" w:cs="Arial"/>
          <w:b/>
          <w:snapToGrid w:val="0"/>
        </w:rPr>
      </w:pPr>
      <w:bookmarkStart w:id="311" w:name="_Toc421940503"/>
      <w:bookmarkStart w:id="312" w:name="_Toc24955915"/>
      <w:bookmarkStart w:id="313" w:name="_Toc25128889"/>
      <w:bookmarkStart w:id="314" w:name="_Toc25373387"/>
      <w:bookmarkStart w:id="315" w:name="_Toc25379403"/>
      <w:bookmarkStart w:id="316" w:name="_Toc174333140"/>
      <w:bookmarkStart w:id="317" w:name="_Toc179183773"/>
      <w:bookmarkStart w:id="318" w:name="_Toc198436142"/>
      <w:bookmarkStart w:id="319" w:name="_Toc217274570"/>
      <w:bookmarkStart w:id="320" w:name="_Toc237920706"/>
      <w:bookmarkStart w:id="321" w:name="_Toc316558799"/>
      <w:r w:rsidRPr="009040B8">
        <w:rPr>
          <w:rFonts w:ascii="Verdana" w:hAnsi="Verdana" w:cs="Arial"/>
          <w:b/>
          <w:snapToGrid w:val="0"/>
        </w:rPr>
        <w:t xml:space="preserve">8. </w:t>
      </w:r>
      <w:bookmarkEnd w:id="311"/>
      <w:bookmarkEnd w:id="312"/>
      <w:bookmarkEnd w:id="313"/>
      <w:bookmarkEnd w:id="314"/>
      <w:bookmarkEnd w:id="315"/>
      <w:bookmarkEnd w:id="316"/>
      <w:bookmarkEnd w:id="317"/>
      <w:bookmarkEnd w:id="318"/>
      <w:bookmarkEnd w:id="319"/>
      <w:bookmarkEnd w:id="320"/>
      <w:r w:rsidRPr="009040B8">
        <w:rPr>
          <w:rFonts w:ascii="Verdana" w:hAnsi="Verdana" w:cs="Arial"/>
          <w:b/>
          <w:snapToGrid w:val="0"/>
        </w:rPr>
        <w:t>O</w:t>
      </w:r>
      <w:bookmarkEnd w:id="321"/>
      <w:r w:rsidRPr="009040B8">
        <w:rPr>
          <w:rFonts w:ascii="Verdana" w:hAnsi="Verdana" w:cs="Arial"/>
          <w:b/>
          <w:snapToGrid w:val="0"/>
        </w:rPr>
        <w:t>dbiór robót</w:t>
      </w:r>
    </w:p>
    <w:p w:rsidR="0051730D" w:rsidRPr="009040B8" w:rsidRDefault="0051730D" w:rsidP="0051730D">
      <w:pPr>
        <w:numPr>
          <w:ilvl w:val="12"/>
          <w:numId w:val="0"/>
        </w:numPr>
        <w:jc w:val="both"/>
        <w:rPr>
          <w:rFonts w:ascii="Verdana" w:hAnsi="Verdana" w:cs="Arial"/>
        </w:rPr>
      </w:pPr>
      <w:bookmarkStart w:id="322" w:name="_Toc421686551"/>
      <w:bookmarkStart w:id="323" w:name="_Toc421940504"/>
      <w:bookmarkStart w:id="324" w:name="_Toc24955916"/>
      <w:bookmarkStart w:id="325" w:name="_Toc25128890"/>
      <w:bookmarkStart w:id="326" w:name="_Toc25373388"/>
      <w:bookmarkStart w:id="327" w:name="_Toc25379404"/>
      <w:bookmarkStart w:id="328" w:name="_Toc174333141"/>
      <w:bookmarkStart w:id="329" w:name="_Toc179183774"/>
      <w:bookmarkStart w:id="330" w:name="_Toc198436143"/>
      <w:bookmarkStart w:id="331" w:name="_Toc217274571"/>
      <w:bookmarkStart w:id="332" w:name="_Toc237920707"/>
      <w:r w:rsidRPr="009040B8">
        <w:rPr>
          <w:rFonts w:ascii="Verdana" w:hAnsi="Verdana" w:cs="Arial"/>
        </w:rPr>
        <w:t>Ogólne zasady odbioru robót podano w SST D-M-00.00.00 „Wymagania ogólne” pkt 8.</w:t>
      </w:r>
    </w:p>
    <w:p w:rsidR="0051730D" w:rsidRPr="009040B8" w:rsidRDefault="0051730D" w:rsidP="0051730D">
      <w:pPr>
        <w:numPr>
          <w:ilvl w:val="12"/>
          <w:numId w:val="0"/>
        </w:numPr>
        <w:jc w:val="both"/>
        <w:rPr>
          <w:rFonts w:ascii="Verdana" w:hAnsi="Verdana" w:cs="Arial"/>
        </w:rPr>
      </w:pPr>
      <w:r w:rsidRPr="009040B8">
        <w:rPr>
          <w:rFonts w:ascii="Verdana" w:hAnsi="Verdana" w:cs="Arial"/>
        </w:rPr>
        <w:t xml:space="preserve">Roboty uznaje się za wykonane zgodnie z dokumentacją przetargowa, SST </w:t>
      </w:r>
      <w:r>
        <w:rPr>
          <w:rFonts w:ascii="Verdana" w:hAnsi="Verdana" w:cs="Arial"/>
        </w:rPr>
        <w:br/>
      </w:r>
      <w:r w:rsidRPr="009040B8">
        <w:rPr>
          <w:rFonts w:ascii="Verdana" w:hAnsi="Verdana" w:cs="Arial"/>
        </w:rPr>
        <w:t>i wymaganiami Przedstawiciela Zamawiającego/Inspektora Nadzoru, jeżeli wszystkie pomiary i badania z zachowaniem tolerancji według pkt 6 dały wyniki pozytywne.</w:t>
      </w:r>
    </w:p>
    <w:p w:rsidR="0051730D" w:rsidRPr="00E86DD9" w:rsidRDefault="0051730D" w:rsidP="0051730D">
      <w:pPr>
        <w:tabs>
          <w:tab w:val="right" w:pos="0"/>
        </w:tabs>
        <w:jc w:val="both"/>
        <w:rPr>
          <w:rFonts w:ascii="Verdana" w:hAnsi="Verdana" w:cs="Arial"/>
        </w:rPr>
      </w:pPr>
      <w:r w:rsidRPr="00E86DD9">
        <w:rPr>
          <w:rFonts w:ascii="Verdana" w:hAnsi="Verdana" w:cs="Arial"/>
        </w:rPr>
        <w:t xml:space="preserve">Jeśli warunki umowy przewidują dokonywanie potrąceń, to </w:t>
      </w:r>
      <w:r>
        <w:rPr>
          <w:rFonts w:ascii="Verdana" w:hAnsi="Verdana" w:cs="Arial"/>
        </w:rPr>
        <w:t xml:space="preserve">Przedstawiciel </w:t>
      </w:r>
      <w:r w:rsidRPr="00E86DD9">
        <w:rPr>
          <w:rFonts w:ascii="Verdana" w:hAnsi="Verdana" w:cs="Arial"/>
        </w:rPr>
        <w:t>Zamawiającego/Inspektor Nadzoru może w razie niedotrzymania wartości dopuszczalnych</w:t>
      </w:r>
      <w:r>
        <w:rPr>
          <w:rFonts w:ascii="Verdana" w:hAnsi="Verdana" w:cs="Arial"/>
        </w:rPr>
        <w:t xml:space="preserve"> </w:t>
      </w:r>
      <w:r w:rsidRPr="00E86DD9">
        <w:rPr>
          <w:rFonts w:ascii="Verdana" w:hAnsi="Verdana" w:cs="Arial"/>
        </w:rPr>
        <w:t>dokonać takich potrąceń</w:t>
      </w:r>
      <w:r>
        <w:rPr>
          <w:rFonts w:ascii="Verdana" w:hAnsi="Verdana" w:cs="Arial"/>
        </w:rPr>
        <w:t xml:space="preserve"> w zakresie składu mieszanki mineralno-asfaltowej wg niniejszej SST pkt. 6.4.1, natomiast </w:t>
      </w:r>
      <w:r>
        <w:rPr>
          <w:rFonts w:ascii="Verdana" w:hAnsi="Verdana"/>
        </w:rPr>
        <w:t xml:space="preserve">dla pozostałych parametrów będzie miała zastosowanie </w:t>
      </w:r>
      <w:r w:rsidRPr="00E86DD9">
        <w:rPr>
          <w:rFonts w:ascii="Verdana" w:hAnsi="Verdana" w:cs="Arial"/>
        </w:rPr>
        <w:t>Instrukcj</w:t>
      </w:r>
      <w:r>
        <w:rPr>
          <w:rFonts w:ascii="Verdana" w:hAnsi="Verdana" w:cs="Arial"/>
        </w:rPr>
        <w:t>a</w:t>
      </w:r>
      <w:r w:rsidRPr="00E86DD9">
        <w:rPr>
          <w:rFonts w:ascii="Verdana" w:hAnsi="Verdana" w:cs="Arial"/>
        </w:rPr>
        <w:t xml:space="preserve"> DP-T 14 </w:t>
      </w:r>
      <w:r>
        <w:rPr>
          <w:rFonts w:ascii="Verdana" w:hAnsi="Verdana" w:cs="Arial"/>
        </w:rPr>
        <w:t xml:space="preserve">stanowiąca </w:t>
      </w:r>
      <w:r w:rsidRPr="00E86DD9">
        <w:rPr>
          <w:rFonts w:ascii="Verdana" w:hAnsi="Verdana" w:cs="Arial"/>
        </w:rPr>
        <w:t>załącznik do zarządzenia nr 10 Generalnego Dyrektora Dróg Krajowych i Au</w:t>
      </w:r>
      <w:r>
        <w:rPr>
          <w:rFonts w:ascii="Verdana" w:hAnsi="Verdana" w:cs="Arial"/>
        </w:rPr>
        <w:t>tostrad z dnia 30 marca 2017 r.</w:t>
      </w:r>
    </w:p>
    <w:p w:rsidR="0051730D" w:rsidRPr="009040B8" w:rsidRDefault="0051730D" w:rsidP="0051730D">
      <w:pPr>
        <w:numPr>
          <w:ilvl w:val="12"/>
          <w:numId w:val="0"/>
        </w:numPr>
        <w:jc w:val="both"/>
        <w:rPr>
          <w:rFonts w:ascii="Verdana" w:hAnsi="Verdana" w:cs="Arial"/>
        </w:rPr>
      </w:pPr>
    </w:p>
    <w:p w:rsidR="0051730D" w:rsidRPr="009040B8" w:rsidRDefault="0051730D" w:rsidP="0051730D">
      <w:pPr>
        <w:keepNext/>
        <w:widowControl w:val="0"/>
        <w:numPr>
          <w:ilvl w:val="12"/>
          <w:numId w:val="0"/>
        </w:numPr>
        <w:jc w:val="both"/>
        <w:outlineLvl w:val="0"/>
        <w:rPr>
          <w:rFonts w:ascii="Verdana" w:hAnsi="Verdana" w:cs="Arial"/>
          <w:b/>
          <w:snapToGrid w:val="0"/>
        </w:rPr>
      </w:pPr>
      <w:bookmarkStart w:id="333" w:name="_Toc316558800"/>
      <w:r w:rsidRPr="009040B8">
        <w:rPr>
          <w:rFonts w:ascii="Verdana" w:hAnsi="Verdana" w:cs="Arial"/>
          <w:b/>
          <w:snapToGrid w:val="0"/>
        </w:rPr>
        <w:t xml:space="preserve">9. </w:t>
      </w:r>
      <w:bookmarkEnd w:id="322"/>
      <w:bookmarkEnd w:id="323"/>
      <w:bookmarkEnd w:id="324"/>
      <w:bookmarkEnd w:id="325"/>
      <w:bookmarkEnd w:id="326"/>
      <w:bookmarkEnd w:id="327"/>
      <w:bookmarkEnd w:id="328"/>
      <w:bookmarkEnd w:id="329"/>
      <w:bookmarkEnd w:id="330"/>
      <w:bookmarkEnd w:id="331"/>
      <w:bookmarkEnd w:id="332"/>
      <w:r w:rsidRPr="009040B8">
        <w:rPr>
          <w:rFonts w:ascii="Verdana" w:hAnsi="Verdana" w:cs="Arial"/>
          <w:b/>
          <w:snapToGrid w:val="0"/>
        </w:rPr>
        <w:t>P</w:t>
      </w:r>
      <w:bookmarkEnd w:id="333"/>
      <w:r w:rsidRPr="009040B8">
        <w:rPr>
          <w:rFonts w:ascii="Verdana" w:hAnsi="Verdana" w:cs="Arial"/>
          <w:b/>
          <w:snapToGrid w:val="0"/>
        </w:rPr>
        <w:t>odstawa płatności</w:t>
      </w:r>
    </w:p>
    <w:p w:rsidR="0051730D" w:rsidRPr="009040B8" w:rsidRDefault="0051730D" w:rsidP="0051730D">
      <w:pPr>
        <w:keepNext/>
        <w:numPr>
          <w:ilvl w:val="12"/>
          <w:numId w:val="0"/>
        </w:numPr>
        <w:jc w:val="both"/>
        <w:outlineLvl w:val="1"/>
        <w:rPr>
          <w:rFonts w:ascii="Verdana" w:hAnsi="Verdana" w:cs="Arial"/>
          <w:b/>
          <w:bCs/>
          <w:iCs/>
        </w:rPr>
      </w:pPr>
      <w:bookmarkStart w:id="334" w:name="_Toc316558801"/>
      <w:r w:rsidRPr="009040B8">
        <w:rPr>
          <w:rFonts w:ascii="Verdana" w:hAnsi="Verdana" w:cs="Arial"/>
          <w:b/>
          <w:bCs/>
          <w:iCs/>
        </w:rPr>
        <w:t>9.1. Ogólne ustalenia dotyczące podstawy płatności</w:t>
      </w:r>
      <w:bookmarkEnd w:id="334"/>
    </w:p>
    <w:p w:rsidR="0051730D" w:rsidRPr="009040B8" w:rsidRDefault="0051730D" w:rsidP="0051730D">
      <w:pPr>
        <w:numPr>
          <w:ilvl w:val="12"/>
          <w:numId w:val="0"/>
        </w:numPr>
        <w:jc w:val="both"/>
        <w:rPr>
          <w:rFonts w:ascii="Verdana" w:hAnsi="Verdana" w:cs="Arial"/>
        </w:rPr>
      </w:pPr>
      <w:r w:rsidRPr="009040B8">
        <w:rPr>
          <w:rFonts w:ascii="Verdana" w:hAnsi="Verdana" w:cs="Arial"/>
        </w:rPr>
        <w:t xml:space="preserve">Ogólne ustalenia dotyczące podstawy płatności podano w </w:t>
      </w:r>
      <w:r>
        <w:rPr>
          <w:rFonts w:ascii="Verdana" w:hAnsi="Verdana" w:cs="Arial"/>
        </w:rPr>
        <w:t>S</w:t>
      </w:r>
      <w:r w:rsidRPr="009040B8">
        <w:rPr>
          <w:rFonts w:ascii="Verdana" w:hAnsi="Verdana" w:cs="Arial"/>
        </w:rPr>
        <w:t>ST D-M-00.00.00 „Wymagania ogólne” [1] pkt 9.</w:t>
      </w:r>
    </w:p>
    <w:p w:rsidR="0051730D" w:rsidRPr="009040B8" w:rsidRDefault="0051730D" w:rsidP="0051730D">
      <w:pPr>
        <w:numPr>
          <w:ilvl w:val="12"/>
          <w:numId w:val="0"/>
        </w:numPr>
        <w:jc w:val="both"/>
        <w:rPr>
          <w:rFonts w:ascii="Verdana" w:hAnsi="Verdana" w:cs="Arial"/>
        </w:rPr>
      </w:pPr>
    </w:p>
    <w:p w:rsidR="0051730D" w:rsidRPr="009040B8" w:rsidRDefault="0051730D" w:rsidP="0051730D">
      <w:pPr>
        <w:keepNext/>
        <w:numPr>
          <w:ilvl w:val="12"/>
          <w:numId w:val="0"/>
        </w:numPr>
        <w:jc w:val="both"/>
        <w:outlineLvl w:val="1"/>
        <w:rPr>
          <w:rFonts w:ascii="Verdana" w:hAnsi="Verdana" w:cs="Arial"/>
          <w:b/>
          <w:bCs/>
          <w:iCs/>
        </w:rPr>
      </w:pPr>
      <w:bookmarkStart w:id="335" w:name="_Toc316558802"/>
      <w:r w:rsidRPr="009040B8">
        <w:rPr>
          <w:rFonts w:ascii="Verdana" w:hAnsi="Verdana" w:cs="Arial"/>
          <w:b/>
          <w:bCs/>
          <w:iCs/>
        </w:rPr>
        <w:t>9.2. Cena jednostki obmiarowej</w:t>
      </w:r>
      <w:bookmarkEnd w:id="335"/>
    </w:p>
    <w:p w:rsidR="0051730D" w:rsidRPr="009040B8" w:rsidRDefault="0051730D" w:rsidP="0051730D">
      <w:pPr>
        <w:numPr>
          <w:ilvl w:val="12"/>
          <w:numId w:val="0"/>
        </w:numPr>
        <w:jc w:val="both"/>
        <w:rPr>
          <w:rFonts w:ascii="Verdana" w:hAnsi="Verdana" w:cs="Arial"/>
        </w:rPr>
      </w:pPr>
      <w:r w:rsidRPr="009040B8">
        <w:rPr>
          <w:rFonts w:ascii="Verdana" w:hAnsi="Verdana" w:cs="Arial"/>
        </w:rPr>
        <w:t>Cena wykonania 1 m</w:t>
      </w:r>
      <w:r w:rsidRPr="009040B8">
        <w:rPr>
          <w:rFonts w:ascii="Verdana" w:hAnsi="Verdana" w:cs="Arial"/>
          <w:vertAlign w:val="superscript"/>
        </w:rPr>
        <w:t>2</w:t>
      </w:r>
      <w:r w:rsidRPr="009040B8">
        <w:rPr>
          <w:rFonts w:ascii="Verdana" w:hAnsi="Verdana" w:cs="Arial"/>
        </w:rPr>
        <w:t xml:space="preserve"> warstwy  z betonu asfaltowego (AC) obejmuje:</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prace pomiarowe i roboty przygotowawcze,</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oznakowanie robót,</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oczyszczenie i skropienie podłoża</w:t>
      </w:r>
      <w:r>
        <w:rPr>
          <w:rFonts w:ascii="Verdana" w:hAnsi="Verdana" w:cs="Arial"/>
        </w:rPr>
        <w:t xml:space="preserve"> oraz wykonanie warstwy ochronnej emulsji</w:t>
      </w:r>
      <w:r w:rsidRPr="009040B8">
        <w:rPr>
          <w:rFonts w:ascii="Verdana" w:hAnsi="Verdana" w:cs="Arial"/>
        </w:rPr>
        <w:t xml:space="preserve">, </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dostarczenie materiałów i sprzętu,</w:t>
      </w:r>
    </w:p>
    <w:p w:rsidR="0051730D" w:rsidRPr="00AA3D0D" w:rsidRDefault="0051730D" w:rsidP="0051730D">
      <w:pPr>
        <w:numPr>
          <w:ilvl w:val="0"/>
          <w:numId w:val="1"/>
        </w:numPr>
        <w:overflowPunct w:val="0"/>
        <w:autoSpaceDE w:val="0"/>
        <w:autoSpaceDN w:val="0"/>
        <w:adjustRightInd w:val="0"/>
        <w:jc w:val="both"/>
        <w:textAlignment w:val="baseline"/>
        <w:rPr>
          <w:rFonts w:ascii="Verdana" w:hAnsi="Verdana" w:cs="Arial"/>
        </w:rPr>
      </w:pPr>
      <w:r w:rsidRPr="009040B8">
        <w:rPr>
          <w:rFonts w:ascii="Verdana" w:hAnsi="Verdana" w:cs="Arial"/>
        </w:rPr>
        <w:t>opracowanie recepty laboratoryjnej</w:t>
      </w:r>
      <w:r w:rsidRPr="00AA3D0D">
        <w:rPr>
          <w:rFonts w:ascii="Verdana" w:hAnsi="Verdana"/>
        </w:rPr>
        <w:t xml:space="preserve"> </w:t>
      </w:r>
      <w:r w:rsidRPr="002E4E49">
        <w:rPr>
          <w:rFonts w:ascii="Verdana" w:hAnsi="Verdana"/>
        </w:rPr>
        <w:t xml:space="preserve">dla mieszanki mineralno-asfaltowej wraz </w:t>
      </w:r>
      <w:r>
        <w:rPr>
          <w:rFonts w:ascii="Verdana" w:hAnsi="Verdana"/>
        </w:rPr>
        <w:br/>
      </w:r>
      <w:r w:rsidRPr="002E4E49">
        <w:rPr>
          <w:rFonts w:ascii="Verdana" w:hAnsi="Verdana"/>
        </w:rPr>
        <w:t>z przeprowadzeniem wymaganych badań przy opracowaniu recepty</w:t>
      </w:r>
      <w:r w:rsidRPr="002876EA">
        <w:rPr>
          <w:rFonts w:ascii="Verdana" w:hAnsi="Verdana" w:cs="Arial"/>
        </w:rPr>
        <w:t>,</w:t>
      </w:r>
    </w:p>
    <w:p w:rsidR="0051730D" w:rsidRPr="009A27E5"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wykonanie próby technologicznej i odcinka próbnego</w:t>
      </w:r>
      <w:r w:rsidRPr="009A27E5">
        <w:rPr>
          <w:rFonts w:ascii="Verdana" w:hAnsi="Verdana"/>
        </w:rPr>
        <w:t xml:space="preserve"> </w:t>
      </w:r>
      <w:r w:rsidRPr="002E4E49">
        <w:rPr>
          <w:rFonts w:ascii="Verdana" w:hAnsi="Verdana"/>
        </w:rPr>
        <w:t>wraz z wykonaniem niezbędnych badań laboratoryjnych, pomiarów i sprawdzeń</w:t>
      </w:r>
      <w:r w:rsidRPr="009040B8">
        <w:rPr>
          <w:rFonts w:ascii="Verdana" w:hAnsi="Verdana" w:cs="Arial"/>
        </w:rPr>
        <w:t>,</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wyprodukowanie mieszanki i jej transport na miejsce wbudowania,</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 xml:space="preserve">uszczelnienie połączeń technologicznych poprzecznych taśmami kauczukowo-asfaltowymi, </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lastRenderedPageBreak/>
        <w:t xml:space="preserve">uszczelnienie połączeń technologicznych podłużnych, krawędzi urządzeń obcych </w:t>
      </w:r>
      <w:r>
        <w:rPr>
          <w:rFonts w:ascii="Verdana" w:hAnsi="Verdana" w:cs="Arial"/>
        </w:rPr>
        <w:br/>
      </w:r>
      <w:r w:rsidRPr="009040B8">
        <w:rPr>
          <w:rFonts w:ascii="Verdana" w:hAnsi="Verdana" w:cs="Arial"/>
        </w:rPr>
        <w:t>w nawierzchni</w:t>
      </w:r>
      <w:r>
        <w:rPr>
          <w:rFonts w:ascii="Verdana" w:hAnsi="Verdana" w:cs="Arial"/>
        </w:rPr>
        <w:t xml:space="preserve"> i </w:t>
      </w:r>
      <w:r w:rsidRPr="009040B8">
        <w:rPr>
          <w:rFonts w:ascii="Verdana" w:hAnsi="Verdana" w:cs="Arial"/>
        </w:rPr>
        <w:t>krawężników asfaltem użytym do bieżącej produkcji mieszanki mineralno-asfaltowej lub taśmami kauczukowo-asfaltowymi,</w:t>
      </w:r>
    </w:p>
    <w:p w:rsidR="0051730D" w:rsidRPr="009040B8" w:rsidRDefault="0051730D" w:rsidP="0051730D">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rozłożenie i zagęszczenie mieszanki,</w:t>
      </w:r>
    </w:p>
    <w:p w:rsidR="0051730D" w:rsidRPr="009040B8" w:rsidRDefault="0051730D" w:rsidP="0051730D">
      <w:pPr>
        <w:numPr>
          <w:ilvl w:val="0"/>
          <w:numId w:val="1"/>
        </w:numPr>
        <w:overflowPunct w:val="0"/>
        <w:autoSpaceDE w:val="0"/>
        <w:autoSpaceDN w:val="0"/>
        <w:jc w:val="both"/>
        <w:textAlignment w:val="baseline"/>
        <w:rPr>
          <w:rFonts w:ascii="Verdana" w:hAnsi="Verdana" w:cs="Arial"/>
          <w:color w:val="000000"/>
        </w:rPr>
      </w:pPr>
      <w:r w:rsidRPr="009040B8">
        <w:rPr>
          <w:rFonts w:ascii="Verdana" w:hAnsi="Verdana" w:cs="Arial"/>
          <w:color w:val="000000"/>
        </w:rPr>
        <w:t xml:space="preserve">obcięcie krawędzi zewnętrznych i uszczelnienie asfaltem </w:t>
      </w:r>
      <w:r>
        <w:rPr>
          <w:rFonts w:ascii="Verdana" w:hAnsi="Verdana" w:cs="Arial"/>
          <w:color w:val="000000"/>
        </w:rPr>
        <w:t>drogowym</w:t>
      </w:r>
      <w:r w:rsidRPr="009040B8">
        <w:rPr>
          <w:rFonts w:ascii="Verdana" w:hAnsi="Verdana" w:cs="Arial"/>
          <w:color w:val="000000"/>
        </w:rPr>
        <w:t>,</w:t>
      </w:r>
    </w:p>
    <w:p w:rsidR="0051730D" w:rsidRDefault="0051730D" w:rsidP="0051730D">
      <w:pPr>
        <w:numPr>
          <w:ilvl w:val="0"/>
          <w:numId w:val="1"/>
        </w:numPr>
        <w:overflowPunct w:val="0"/>
        <w:autoSpaceDE w:val="0"/>
        <w:autoSpaceDN w:val="0"/>
        <w:jc w:val="both"/>
        <w:textAlignment w:val="baseline"/>
        <w:rPr>
          <w:rFonts w:ascii="Verdana" w:hAnsi="Verdana" w:cs="Arial"/>
          <w:color w:val="000000"/>
        </w:rPr>
      </w:pPr>
      <w:r w:rsidRPr="009040B8">
        <w:rPr>
          <w:rFonts w:ascii="Verdana" w:hAnsi="Verdana" w:cs="Arial"/>
          <w:color w:val="000000"/>
        </w:rPr>
        <w:t>przeprowadzenie pomiarów i badań  wymaganych w specyfikacji technicznej,</w:t>
      </w:r>
    </w:p>
    <w:p w:rsidR="0051730D" w:rsidRPr="00330A9A" w:rsidRDefault="0051730D" w:rsidP="0051730D">
      <w:pPr>
        <w:pStyle w:val="Tekstpodstawowy"/>
        <w:numPr>
          <w:ilvl w:val="0"/>
          <w:numId w:val="1"/>
        </w:numPr>
        <w:spacing w:after="0"/>
        <w:jc w:val="both"/>
        <w:rPr>
          <w:rFonts w:ascii="Verdana" w:hAnsi="Verdana"/>
        </w:rPr>
      </w:pPr>
      <w:r w:rsidRPr="00F56FA6">
        <w:rPr>
          <w:rFonts w:ascii="Verdana" w:hAnsi="Verdana"/>
        </w:rPr>
        <w:t xml:space="preserve">naprawa nawierzchni po pobraniu próbek i wykonaniu badań przez Wykonawcę </w:t>
      </w:r>
      <w:r>
        <w:rPr>
          <w:rFonts w:ascii="Verdana" w:hAnsi="Verdana"/>
        </w:rPr>
        <w:br/>
      </w:r>
      <w:r w:rsidRPr="00F56FA6">
        <w:rPr>
          <w:rFonts w:ascii="Verdana" w:hAnsi="Verdana"/>
        </w:rPr>
        <w:t>i Zamawiającego,</w:t>
      </w:r>
    </w:p>
    <w:p w:rsidR="0051730D" w:rsidRPr="00864405" w:rsidRDefault="0051730D" w:rsidP="0051730D">
      <w:pPr>
        <w:numPr>
          <w:ilvl w:val="0"/>
          <w:numId w:val="1"/>
        </w:numPr>
        <w:overflowPunct w:val="0"/>
        <w:autoSpaceDE w:val="0"/>
        <w:autoSpaceDN w:val="0"/>
        <w:jc w:val="both"/>
        <w:textAlignment w:val="baseline"/>
        <w:rPr>
          <w:rFonts w:ascii="Verdana" w:hAnsi="Verdana" w:cs="Arial"/>
          <w:b/>
          <w:bCs/>
        </w:rPr>
      </w:pPr>
      <w:r w:rsidRPr="009040B8">
        <w:rPr>
          <w:rFonts w:ascii="Verdana" w:hAnsi="Verdana" w:cs="Arial"/>
        </w:rPr>
        <w:t>odwiezienie sprzętu.</w:t>
      </w:r>
    </w:p>
    <w:p w:rsidR="0051730D" w:rsidRPr="009040B8" w:rsidRDefault="0051730D" w:rsidP="0051730D">
      <w:pPr>
        <w:keepNext/>
        <w:jc w:val="both"/>
        <w:outlineLvl w:val="1"/>
        <w:rPr>
          <w:rFonts w:ascii="Verdana" w:hAnsi="Verdana" w:cs="Arial"/>
          <w:b/>
          <w:bCs/>
          <w:iCs/>
        </w:rPr>
      </w:pPr>
      <w:bookmarkStart w:id="336" w:name="_Toc316558803"/>
      <w:r w:rsidRPr="009040B8">
        <w:rPr>
          <w:rFonts w:ascii="Verdana" w:hAnsi="Verdana" w:cs="Arial"/>
          <w:b/>
          <w:bCs/>
          <w:iCs/>
        </w:rPr>
        <w:t>9.3. Sposób rozliczenia robót tymczasowych i prac towarzyszących</w:t>
      </w:r>
      <w:bookmarkEnd w:id="336"/>
    </w:p>
    <w:p w:rsidR="0051730D" w:rsidRPr="009040B8" w:rsidRDefault="0051730D" w:rsidP="0051730D">
      <w:pPr>
        <w:jc w:val="both"/>
        <w:rPr>
          <w:rFonts w:ascii="Verdana" w:hAnsi="Verdana" w:cs="Arial"/>
        </w:rPr>
      </w:pPr>
      <w:r w:rsidRPr="009040B8">
        <w:rPr>
          <w:rFonts w:ascii="Verdana" w:hAnsi="Verdana" w:cs="Arial"/>
        </w:rPr>
        <w:t>Cena wykonania robót określonych niniejszą SST obejmuje:</w:t>
      </w:r>
    </w:p>
    <w:p w:rsidR="0051730D" w:rsidRPr="009040B8" w:rsidRDefault="0051730D" w:rsidP="0051730D">
      <w:pPr>
        <w:numPr>
          <w:ilvl w:val="0"/>
          <w:numId w:val="1"/>
        </w:numPr>
        <w:overflowPunct w:val="0"/>
        <w:autoSpaceDE w:val="0"/>
        <w:autoSpaceDN w:val="0"/>
        <w:adjustRightInd w:val="0"/>
        <w:jc w:val="both"/>
        <w:textAlignment w:val="baseline"/>
        <w:rPr>
          <w:rFonts w:ascii="Verdana" w:hAnsi="Verdana" w:cs="Arial"/>
        </w:rPr>
      </w:pPr>
      <w:r w:rsidRPr="009040B8">
        <w:rPr>
          <w:rFonts w:ascii="Verdana" w:hAnsi="Verdana" w:cs="Arial"/>
        </w:rPr>
        <w:t>roboty tymczasowe, które są potrzebne do wykonania robót podstawowych, ale nie są przekazywane Przedstawicielowi Zamawiającego/Inspektorowi Nadzoru i są usuwane po wykonaniu robót podstawowych,</w:t>
      </w:r>
    </w:p>
    <w:p w:rsidR="0051730D" w:rsidRDefault="0051730D" w:rsidP="0051730D">
      <w:pPr>
        <w:numPr>
          <w:ilvl w:val="0"/>
          <w:numId w:val="1"/>
        </w:numPr>
        <w:overflowPunct w:val="0"/>
        <w:autoSpaceDE w:val="0"/>
        <w:autoSpaceDN w:val="0"/>
        <w:adjustRightInd w:val="0"/>
        <w:jc w:val="both"/>
        <w:textAlignment w:val="baseline"/>
        <w:rPr>
          <w:rFonts w:ascii="Verdana" w:hAnsi="Verdana" w:cs="Arial"/>
        </w:rPr>
      </w:pPr>
      <w:r w:rsidRPr="009040B8">
        <w:rPr>
          <w:rFonts w:ascii="Verdana" w:hAnsi="Verdana" w:cs="Arial"/>
        </w:rPr>
        <w:t>prace towarzyszące, które są niezbędne do wykonania robót podstawowych, niezaliczane do robót tymczasowych, jak geodezyjne wytyczenie robót itd.</w:t>
      </w:r>
      <w:bookmarkStart w:id="337" w:name="_Toc316558804"/>
    </w:p>
    <w:p w:rsidR="0051730D" w:rsidRPr="009A27E5" w:rsidRDefault="0051730D" w:rsidP="0051730D">
      <w:pPr>
        <w:overflowPunct w:val="0"/>
        <w:autoSpaceDE w:val="0"/>
        <w:autoSpaceDN w:val="0"/>
        <w:adjustRightInd w:val="0"/>
        <w:jc w:val="both"/>
        <w:textAlignment w:val="baseline"/>
        <w:rPr>
          <w:rFonts w:ascii="Verdana" w:hAnsi="Verdana" w:cs="Arial"/>
        </w:rPr>
      </w:pPr>
    </w:p>
    <w:p w:rsidR="0051730D" w:rsidRPr="009040B8" w:rsidRDefault="0051730D" w:rsidP="0051730D">
      <w:pPr>
        <w:keepNext/>
        <w:widowControl w:val="0"/>
        <w:outlineLvl w:val="0"/>
        <w:rPr>
          <w:rFonts w:ascii="Verdana" w:hAnsi="Verdana" w:cs="Arial"/>
          <w:b/>
          <w:snapToGrid w:val="0"/>
        </w:rPr>
      </w:pPr>
      <w:r w:rsidRPr="009040B8">
        <w:rPr>
          <w:rFonts w:ascii="Verdana" w:hAnsi="Verdana" w:cs="Arial"/>
          <w:b/>
          <w:snapToGrid w:val="0"/>
        </w:rPr>
        <w:t>10.</w:t>
      </w:r>
      <w:bookmarkEnd w:id="337"/>
      <w:r w:rsidRPr="009040B8">
        <w:rPr>
          <w:rFonts w:ascii="Verdana" w:hAnsi="Verdana" w:cs="Arial"/>
          <w:b/>
          <w:snapToGrid w:val="0"/>
        </w:rPr>
        <w:t xml:space="preserve"> Przepisy związane</w:t>
      </w:r>
    </w:p>
    <w:p w:rsidR="0051730D" w:rsidRPr="009040B8" w:rsidRDefault="0051730D" w:rsidP="0051730D">
      <w:pPr>
        <w:keepNext/>
        <w:outlineLvl w:val="1"/>
        <w:rPr>
          <w:rFonts w:ascii="Verdana" w:hAnsi="Verdana" w:cs="Arial"/>
          <w:b/>
          <w:bCs/>
          <w:iCs/>
        </w:rPr>
      </w:pPr>
      <w:bookmarkStart w:id="338" w:name="_Toc316558805"/>
      <w:r w:rsidRPr="009040B8">
        <w:rPr>
          <w:rFonts w:ascii="Verdana" w:hAnsi="Verdana" w:cs="Arial"/>
          <w:b/>
          <w:bCs/>
          <w:iCs/>
        </w:rPr>
        <w:t>10.1. Ogólne specyfikacje techniczne (SST)</w:t>
      </w:r>
      <w:bookmarkEnd w:id="338"/>
    </w:p>
    <w:tbl>
      <w:tblPr>
        <w:tblW w:w="15022" w:type="dxa"/>
        <w:tblLayout w:type="fixed"/>
        <w:tblCellMar>
          <w:left w:w="70" w:type="dxa"/>
          <w:right w:w="70" w:type="dxa"/>
        </w:tblCellMar>
        <w:tblLook w:val="0000" w:firstRow="0" w:lastRow="0" w:firstColumn="0" w:lastColumn="0" w:noHBand="0" w:noVBand="0"/>
      </w:tblPr>
      <w:tblGrid>
        <w:gridCol w:w="496"/>
        <w:gridCol w:w="5670"/>
        <w:gridCol w:w="1842"/>
        <w:gridCol w:w="1842"/>
        <w:gridCol w:w="5172"/>
      </w:tblGrid>
      <w:tr w:rsidR="0051730D" w:rsidRPr="009040B8" w:rsidTr="0051730D">
        <w:tc>
          <w:tcPr>
            <w:tcW w:w="496" w:type="dxa"/>
          </w:tcPr>
          <w:p w:rsidR="0051730D" w:rsidRPr="009040B8" w:rsidRDefault="0051730D" w:rsidP="0051730D">
            <w:pPr>
              <w:jc w:val="center"/>
              <w:rPr>
                <w:rFonts w:ascii="Verdana" w:hAnsi="Verdana" w:cs="Arial"/>
              </w:rPr>
            </w:pPr>
            <w:r w:rsidRPr="009040B8">
              <w:rPr>
                <w:rFonts w:ascii="Verdana" w:hAnsi="Verdana" w:cs="Arial"/>
              </w:rPr>
              <w:t>1.</w:t>
            </w:r>
          </w:p>
        </w:tc>
        <w:tc>
          <w:tcPr>
            <w:tcW w:w="5670" w:type="dxa"/>
          </w:tcPr>
          <w:p w:rsidR="0051730D" w:rsidRPr="009040B8" w:rsidRDefault="0051730D" w:rsidP="0051730D">
            <w:pPr>
              <w:ind w:right="-2197"/>
              <w:jc w:val="both"/>
              <w:rPr>
                <w:rFonts w:ascii="Verdana" w:hAnsi="Verdana" w:cs="Arial"/>
              </w:rPr>
            </w:pPr>
            <w:r w:rsidRPr="009040B8">
              <w:rPr>
                <w:rFonts w:ascii="Verdana" w:hAnsi="Verdana" w:cs="Arial"/>
              </w:rPr>
              <w:t xml:space="preserve">  D-M-00.00.00.    Wymagania ogólne</w:t>
            </w:r>
          </w:p>
        </w:tc>
        <w:tc>
          <w:tcPr>
            <w:tcW w:w="1842" w:type="dxa"/>
          </w:tcPr>
          <w:p w:rsidR="0051730D" w:rsidRPr="009040B8" w:rsidRDefault="0051730D" w:rsidP="0051730D">
            <w:pPr>
              <w:rPr>
                <w:rFonts w:ascii="Verdana" w:hAnsi="Verdana" w:cs="Arial"/>
              </w:rPr>
            </w:pPr>
          </w:p>
        </w:tc>
        <w:tc>
          <w:tcPr>
            <w:tcW w:w="1842" w:type="dxa"/>
          </w:tcPr>
          <w:p w:rsidR="0051730D" w:rsidRPr="009040B8" w:rsidRDefault="0051730D" w:rsidP="0051730D">
            <w:pPr>
              <w:ind w:left="-3471" w:firstLine="3471"/>
              <w:rPr>
                <w:rFonts w:ascii="Verdana" w:hAnsi="Verdana" w:cs="Arial"/>
              </w:rPr>
            </w:pPr>
          </w:p>
        </w:tc>
        <w:tc>
          <w:tcPr>
            <w:tcW w:w="5172" w:type="dxa"/>
          </w:tcPr>
          <w:p w:rsidR="0051730D" w:rsidRPr="009040B8" w:rsidRDefault="0051730D" w:rsidP="0051730D">
            <w:pPr>
              <w:rPr>
                <w:rFonts w:ascii="Verdana" w:hAnsi="Verdana" w:cs="Arial"/>
              </w:rPr>
            </w:pPr>
          </w:p>
        </w:tc>
      </w:tr>
    </w:tbl>
    <w:p w:rsidR="0051730D" w:rsidRDefault="0051730D" w:rsidP="0051730D">
      <w:pPr>
        <w:keepNext/>
        <w:outlineLvl w:val="1"/>
        <w:rPr>
          <w:rFonts w:ascii="Verdana" w:hAnsi="Verdana" w:cs="Arial"/>
          <w:b/>
          <w:bCs/>
          <w:iCs/>
        </w:rPr>
      </w:pPr>
      <w:bookmarkStart w:id="339" w:name="_Toc316558806"/>
    </w:p>
    <w:p w:rsidR="0051730D" w:rsidRPr="009040B8" w:rsidRDefault="0051730D" w:rsidP="0051730D">
      <w:pPr>
        <w:keepNext/>
        <w:outlineLvl w:val="1"/>
        <w:rPr>
          <w:rFonts w:ascii="Verdana" w:hAnsi="Verdana" w:cs="Arial"/>
          <w:b/>
          <w:bCs/>
          <w:iCs/>
        </w:rPr>
      </w:pPr>
      <w:r w:rsidRPr="009040B8">
        <w:rPr>
          <w:rFonts w:ascii="Verdana" w:hAnsi="Verdana" w:cs="Arial"/>
          <w:b/>
          <w:bCs/>
          <w:iCs/>
        </w:rPr>
        <w:t>10.2. Normy</w:t>
      </w:r>
      <w:bookmarkEnd w:id="339"/>
    </w:p>
    <w:p w:rsidR="0051730D" w:rsidRPr="009040B8" w:rsidRDefault="0051730D" w:rsidP="0051730D">
      <w:pPr>
        <w:spacing w:after="120"/>
        <w:rPr>
          <w:rFonts w:ascii="Verdana" w:hAnsi="Verdana" w:cs="Arial"/>
        </w:rPr>
      </w:pPr>
      <w:r w:rsidRPr="009040B8">
        <w:rPr>
          <w:rFonts w:ascii="Verdana" w:hAnsi="Verdana" w:cs="Arial"/>
        </w:rPr>
        <w:t>(Zestawienie zawiera dodatkowo normy PN-EN związane z badaniami materiałów występujących w niniejszej SST)</w:t>
      </w:r>
    </w:p>
    <w:tbl>
      <w:tblPr>
        <w:tblW w:w="10038" w:type="dxa"/>
        <w:tblLook w:val="01E0" w:firstRow="1" w:lastRow="1" w:firstColumn="1" w:lastColumn="1" w:noHBand="0" w:noVBand="0"/>
      </w:tblPr>
      <w:tblGrid>
        <w:gridCol w:w="743"/>
        <w:gridCol w:w="1456"/>
        <w:gridCol w:w="7839"/>
      </w:tblGrid>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w:t>
            </w:r>
          </w:p>
        </w:tc>
        <w:tc>
          <w:tcPr>
            <w:tcW w:w="1456" w:type="dxa"/>
          </w:tcPr>
          <w:p w:rsidR="0051730D" w:rsidRPr="009040B8" w:rsidRDefault="0051730D" w:rsidP="0051730D">
            <w:pPr>
              <w:rPr>
                <w:rFonts w:ascii="Verdana" w:hAnsi="Verdana" w:cs="Arial"/>
              </w:rPr>
            </w:pPr>
            <w:r w:rsidRPr="009040B8">
              <w:rPr>
                <w:rFonts w:ascii="Verdana" w:hAnsi="Verdana" w:cs="Arial"/>
              </w:rPr>
              <w:t>PN-EN 196-21</w:t>
            </w:r>
          </w:p>
        </w:tc>
        <w:tc>
          <w:tcPr>
            <w:tcW w:w="7839" w:type="dxa"/>
          </w:tcPr>
          <w:p w:rsidR="0051730D" w:rsidRPr="009040B8" w:rsidRDefault="0051730D" w:rsidP="0051730D">
            <w:pPr>
              <w:rPr>
                <w:rFonts w:ascii="Verdana" w:hAnsi="Verdana" w:cs="Arial"/>
              </w:rPr>
            </w:pPr>
            <w:r w:rsidRPr="009040B8">
              <w:rPr>
                <w:rFonts w:ascii="Verdana" w:hAnsi="Verdana" w:cs="Arial"/>
              </w:rPr>
              <w:t>Metody badania cementu – Oznaczanie zawartości chlorków, dwutlenku węgla i alkaliów w cemencie</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w:t>
            </w:r>
          </w:p>
        </w:tc>
        <w:tc>
          <w:tcPr>
            <w:tcW w:w="1456" w:type="dxa"/>
          </w:tcPr>
          <w:p w:rsidR="0051730D" w:rsidRPr="009040B8" w:rsidRDefault="0051730D" w:rsidP="0051730D">
            <w:pPr>
              <w:rPr>
                <w:rFonts w:ascii="Verdana" w:hAnsi="Verdana" w:cs="Arial"/>
              </w:rPr>
            </w:pPr>
            <w:r w:rsidRPr="009040B8">
              <w:rPr>
                <w:rFonts w:ascii="Verdana" w:hAnsi="Verdana" w:cs="Arial"/>
              </w:rPr>
              <w:t>PN-EN 459-2</w:t>
            </w:r>
          </w:p>
        </w:tc>
        <w:tc>
          <w:tcPr>
            <w:tcW w:w="7839" w:type="dxa"/>
          </w:tcPr>
          <w:p w:rsidR="0051730D" w:rsidRPr="009040B8" w:rsidRDefault="0051730D" w:rsidP="0051730D">
            <w:pPr>
              <w:rPr>
                <w:rFonts w:ascii="Verdana" w:hAnsi="Verdana" w:cs="Arial"/>
              </w:rPr>
            </w:pPr>
            <w:r w:rsidRPr="009040B8">
              <w:rPr>
                <w:rFonts w:ascii="Verdana" w:hAnsi="Verdana" w:cs="Arial"/>
              </w:rPr>
              <w:t>Wapno budowlane – Część 2: Metody badań</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w:t>
            </w:r>
          </w:p>
        </w:tc>
        <w:tc>
          <w:tcPr>
            <w:tcW w:w="1456" w:type="dxa"/>
          </w:tcPr>
          <w:p w:rsidR="0051730D" w:rsidRPr="009040B8" w:rsidRDefault="0051730D" w:rsidP="0051730D">
            <w:pPr>
              <w:rPr>
                <w:rFonts w:ascii="Verdana" w:hAnsi="Verdana" w:cs="Arial"/>
              </w:rPr>
            </w:pPr>
            <w:r w:rsidRPr="009040B8">
              <w:rPr>
                <w:rFonts w:ascii="Verdana" w:hAnsi="Verdana" w:cs="Arial"/>
              </w:rPr>
              <w:t>PN-EN 932-3</w:t>
            </w:r>
          </w:p>
        </w:tc>
        <w:tc>
          <w:tcPr>
            <w:tcW w:w="7839" w:type="dxa"/>
          </w:tcPr>
          <w:p w:rsidR="0051730D" w:rsidRPr="009040B8" w:rsidRDefault="0051730D" w:rsidP="0051730D">
            <w:pPr>
              <w:rPr>
                <w:rFonts w:ascii="Verdana" w:hAnsi="Verdana" w:cs="Arial"/>
              </w:rPr>
            </w:pPr>
            <w:r w:rsidRPr="009040B8">
              <w:rPr>
                <w:rFonts w:ascii="Verdana" w:hAnsi="Verdana" w:cs="Arial"/>
              </w:rPr>
              <w:t>Badania podstawowych właściwości kruszyw – Procedura i terminologia uproszczonego opisu petrograficznego</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w:t>
            </w:r>
          </w:p>
        </w:tc>
        <w:tc>
          <w:tcPr>
            <w:tcW w:w="1456" w:type="dxa"/>
          </w:tcPr>
          <w:p w:rsidR="0051730D" w:rsidRPr="009040B8" w:rsidRDefault="0051730D" w:rsidP="0051730D">
            <w:pPr>
              <w:rPr>
                <w:rFonts w:ascii="Verdana" w:hAnsi="Verdana" w:cs="Arial"/>
              </w:rPr>
            </w:pPr>
            <w:r w:rsidRPr="009040B8">
              <w:rPr>
                <w:rFonts w:ascii="Verdana" w:hAnsi="Verdana" w:cs="Arial"/>
              </w:rPr>
              <w:t>PN-EN 933-1</w:t>
            </w:r>
          </w:p>
        </w:tc>
        <w:tc>
          <w:tcPr>
            <w:tcW w:w="7839" w:type="dxa"/>
          </w:tcPr>
          <w:p w:rsidR="0051730D" w:rsidRPr="009040B8" w:rsidRDefault="0051730D" w:rsidP="0051730D">
            <w:pPr>
              <w:rPr>
                <w:rFonts w:ascii="Verdana" w:hAnsi="Verdana" w:cs="Arial"/>
              </w:rPr>
            </w:pPr>
            <w:r w:rsidRPr="009040B8">
              <w:rPr>
                <w:rFonts w:ascii="Verdana" w:hAnsi="Verdana" w:cs="Arial"/>
              </w:rPr>
              <w:t>Badania geometrycznych właściwości kruszyw – Oznaczanie składu ziarnowego – Metoda przesiewania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6.</w:t>
            </w:r>
          </w:p>
        </w:tc>
        <w:tc>
          <w:tcPr>
            <w:tcW w:w="1456" w:type="dxa"/>
          </w:tcPr>
          <w:p w:rsidR="0051730D" w:rsidRPr="009040B8" w:rsidRDefault="0051730D" w:rsidP="0051730D">
            <w:pPr>
              <w:rPr>
                <w:rFonts w:ascii="Verdana" w:hAnsi="Verdana" w:cs="Arial"/>
              </w:rPr>
            </w:pPr>
            <w:r w:rsidRPr="009040B8">
              <w:rPr>
                <w:rFonts w:ascii="Verdana" w:hAnsi="Verdana" w:cs="Arial"/>
              </w:rPr>
              <w:t>PN-EN 933-3</w:t>
            </w:r>
          </w:p>
        </w:tc>
        <w:tc>
          <w:tcPr>
            <w:tcW w:w="7839" w:type="dxa"/>
          </w:tcPr>
          <w:p w:rsidR="0051730D" w:rsidRPr="009040B8" w:rsidRDefault="0051730D" w:rsidP="0051730D">
            <w:pPr>
              <w:rPr>
                <w:rFonts w:ascii="Verdana" w:hAnsi="Verdana" w:cs="Arial"/>
              </w:rPr>
            </w:pPr>
            <w:r w:rsidRPr="009040B8">
              <w:rPr>
                <w:rFonts w:ascii="Verdana" w:hAnsi="Verdana" w:cs="Arial"/>
              </w:rPr>
              <w:t>Badania geometrycznych właściwości kruszyw – Oznaczanie kształtu ziaren za pomocą wskaźnika płaskości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7.</w:t>
            </w:r>
          </w:p>
        </w:tc>
        <w:tc>
          <w:tcPr>
            <w:tcW w:w="1456" w:type="dxa"/>
          </w:tcPr>
          <w:p w:rsidR="0051730D" w:rsidRPr="009040B8" w:rsidRDefault="0051730D" w:rsidP="0051730D">
            <w:pPr>
              <w:rPr>
                <w:rFonts w:ascii="Verdana" w:hAnsi="Verdana" w:cs="Arial"/>
              </w:rPr>
            </w:pPr>
            <w:r w:rsidRPr="009040B8">
              <w:rPr>
                <w:rFonts w:ascii="Verdana" w:hAnsi="Verdana" w:cs="Arial"/>
              </w:rPr>
              <w:t>PN-EN 933-4</w:t>
            </w:r>
          </w:p>
        </w:tc>
        <w:tc>
          <w:tcPr>
            <w:tcW w:w="7839" w:type="dxa"/>
          </w:tcPr>
          <w:p w:rsidR="0051730D" w:rsidRPr="009040B8" w:rsidRDefault="0051730D" w:rsidP="0051730D">
            <w:pPr>
              <w:rPr>
                <w:rFonts w:ascii="Verdana" w:hAnsi="Verdana" w:cs="Arial"/>
              </w:rPr>
            </w:pPr>
            <w:r w:rsidRPr="009040B8">
              <w:rPr>
                <w:rFonts w:ascii="Verdana" w:hAnsi="Verdana" w:cs="Arial"/>
              </w:rPr>
              <w:t>Badania geometrycznych właściwości kruszyw – Część 4: Oznaczanie kształtu ziaren – Wskaźnik kształtu</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8.</w:t>
            </w:r>
          </w:p>
        </w:tc>
        <w:tc>
          <w:tcPr>
            <w:tcW w:w="1456" w:type="dxa"/>
          </w:tcPr>
          <w:p w:rsidR="0051730D" w:rsidRPr="009040B8" w:rsidRDefault="0051730D" w:rsidP="0051730D">
            <w:pPr>
              <w:rPr>
                <w:rFonts w:ascii="Verdana" w:hAnsi="Verdana" w:cs="Arial"/>
              </w:rPr>
            </w:pPr>
            <w:r w:rsidRPr="009040B8">
              <w:rPr>
                <w:rFonts w:ascii="Verdana" w:hAnsi="Verdana" w:cs="Arial"/>
              </w:rPr>
              <w:t>PN-EN 933-5</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Badania geometrycznych właściwości kruszyw – Oznaczanie procentowej zawartości ziaren o powierzchniach powstałych w wyniku </w:t>
            </w:r>
            <w:proofErr w:type="spellStart"/>
            <w:r w:rsidRPr="009040B8">
              <w:rPr>
                <w:rFonts w:ascii="Verdana" w:hAnsi="Verdana" w:cs="Arial"/>
              </w:rPr>
              <w:t>przekruszenia</w:t>
            </w:r>
            <w:proofErr w:type="spellEnd"/>
            <w:r w:rsidRPr="009040B8">
              <w:rPr>
                <w:rFonts w:ascii="Verdana" w:hAnsi="Verdana" w:cs="Arial"/>
              </w:rPr>
              <w:t xml:space="preserve"> lub łamania kruszyw grubych</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9.</w:t>
            </w:r>
          </w:p>
        </w:tc>
        <w:tc>
          <w:tcPr>
            <w:tcW w:w="1456" w:type="dxa"/>
          </w:tcPr>
          <w:p w:rsidR="0051730D" w:rsidRPr="009040B8" w:rsidRDefault="0051730D" w:rsidP="0051730D">
            <w:pPr>
              <w:rPr>
                <w:rFonts w:ascii="Verdana" w:hAnsi="Verdana" w:cs="Arial"/>
              </w:rPr>
            </w:pPr>
            <w:r w:rsidRPr="009040B8">
              <w:rPr>
                <w:rFonts w:ascii="Verdana" w:hAnsi="Verdana" w:cs="Arial"/>
              </w:rPr>
              <w:t>PN-EN 933-6</w:t>
            </w:r>
          </w:p>
        </w:tc>
        <w:tc>
          <w:tcPr>
            <w:tcW w:w="7839" w:type="dxa"/>
          </w:tcPr>
          <w:p w:rsidR="0051730D" w:rsidRPr="009040B8" w:rsidRDefault="0051730D" w:rsidP="0051730D">
            <w:pPr>
              <w:rPr>
                <w:rFonts w:ascii="Verdana" w:hAnsi="Verdana" w:cs="Arial"/>
              </w:rPr>
            </w:pPr>
            <w:r w:rsidRPr="009040B8">
              <w:rPr>
                <w:rFonts w:ascii="Verdana" w:hAnsi="Verdana" w:cs="Arial"/>
              </w:rPr>
              <w:t>Badania geometrycznych właściwości kruszyw – Część 6: Ocena właściwości powierzchni – Wskaźnik przepływu kruszywa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10.</w:t>
            </w:r>
          </w:p>
        </w:tc>
        <w:tc>
          <w:tcPr>
            <w:tcW w:w="1456" w:type="dxa"/>
          </w:tcPr>
          <w:p w:rsidR="0051730D" w:rsidRPr="009040B8" w:rsidRDefault="0051730D" w:rsidP="0051730D">
            <w:pPr>
              <w:rPr>
                <w:rFonts w:ascii="Verdana" w:hAnsi="Verdana" w:cs="Arial"/>
              </w:rPr>
            </w:pPr>
            <w:r w:rsidRPr="009040B8">
              <w:rPr>
                <w:rFonts w:ascii="Verdana" w:hAnsi="Verdana" w:cs="Arial"/>
              </w:rPr>
              <w:t>PN-EN 933-9</w:t>
            </w:r>
          </w:p>
        </w:tc>
        <w:tc>
          <w:tcPr>
            <w:tcW w:w="7839" w:type="dxa"/>
          </w:tcPr>
          <w:p w:rsidR="0051730D" w:rsidRPr="009040B8" w:rsidRDefault="0051730D" w:rsidP="0051730D">
            <w:pPr>
              <w:rPr>
                <w:rFonts w:ascii="Verdana" w:hAnsi="Verdana" w:cs="Arial"/>
              </w:rPr>
            </w:pPr>
            <w:r w:rsidRPr="009040B8">
              <w:rPr>
                <w:rFonts w:ascii="Verdana" w:hAnsi="Verdana" w:cs="Arial"/>
              </w:rPr>
              <w:t>Badania geometrycznych właściwości kruszyw – Ocena zawartości drobnych cząstek – Badania błękitem metylenowym</w:t>
            </w:r>
          </w:p>
          <w:p w:rsidR="0051730D" w:rsidRPr="009040B8" w:rsidRDefault="0051730D" w:rsidP="0051730D">
            <w:pPr>
              <w:rPr>
                <w:rFonts w:ascii="Verdana" w:hAnsi="Verdana" w:cs="Arial"/>
              </w:rPr>
            </w:pP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11.</w:t>
            </w:r>
          </w:p>
        </w:tc>
        <w:tc>
          <w:tcPr>
            <w:tcW w:w="1456" w:type="dxa"/>
          </w:tcPr>
          <w:p w:rsidR="0051730D" w:rsidRPr="009040B8" w:rsidRDefault="0051730D" w:rsidP="0051730D">
            <w:pPr>
              <w:rPr>
                <w:rFonts w:ascii="Verdana" w:hAnsi="Verdana" w:cs="Arial"/>
              </w:rPr>
            </w:pPr>
            <w:r w:rsidRPr="009040B8">
              <w:rPr>
                <w:rFonts w:ascii="Verdana" w:hAnsi="Verdana" w:cs="Arial"/>
              </w:rPr>
              <w:t>PN-EN 933-10</w:t>
            </w:r>
          </w:p>
        </w:tc>
        <w:tc>
          <w:tcPr>
            <w:tcW w:w="7839" w:type="dxa"/>
          </w:tcPr>
          <w:p w:rsidR="0051730D" w:rsidRPr="009040B8" w:rsidRDefault="0051730D" w:rsidP="0051730D">
            <w:pPr>
              <w:rPr>
                <w:rFonts w:ascii="Verdana" w:hAnsi="Verdana" w:cs="Arial"/>
              </w:rPr>
            </w:pPr>
            <w:r w:rsidRPr="009040B8">
              <w:rPr>
                <w:rFonts w:ascii="Verdana" w:hAnsi="Verdana" w:cs="Arial"/>
              </w:rPr>
              <w:t>Badania geometrycznych właściwości kruszyw – Część 10: Ocena zawartości drobnych cząstek – Uziarnienie wypełniaczy (przesiewanie w strumieniu powietrza)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12.</w:t>
            </w:r>
          </w:p>
        </w:tc>
        <w:tc>
          <w:tcPr>
            <w:tcW w:w="1456" w:type="dxa"/>
          </w:tcPr>
          <w:p w:rsidR="0051730D" w:rsidRPr="009040B8" w:rsidRDefault="0051730D" w:rsidP="0051730D">
            <w:pPr>
              <w:rPr>
                <w:rFonts w:ascii="Verdana" w:hAnsi="Verdana" w:cs="Arial"/>
              </w:rPr>
            </w:pPr>
            <w:r w:rsidRPr="009040B8">
              <w:rPr>
                <w:rFonts w:ascii="Verdana" w:hAnsi="Verdana" w:cs="Arial"/>
              </w:rPr>
              <w:t>PN-EN 1097-2</w:t>
            </w:r>
          </w:p>
        </w:tc>
        <w:tc>
          <w:tcPr>
            <w:tcW w:w="7839" w:type="dxa"/>
          </w:tcPr>
          <w:p w:rsidR="0051730D" w:rsidRPr="009040B8" w:rsidRDefault="0051730D" w:rsidP="0051730D">
            <w:pPr>
              <w:rPr>
                <w:rFonts w:ascii="Verdana" w:hAnsi="Verdana" w:cs="Arial"/>
              </w:rPr>
            </w:pPr>
            <w:r w:rsidRPr="009040B8">
              <w:rPr>
                <w:rFonts w:ascii="Verdana" w:hAnsi="Verdana" w:cs="Arial"/>
              </w:rPr>
              <w:t>Badania mechanicznych i fizycznych właściwości kruszyw – Metody oznaczania odporności na rozdrabnianie</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13.</w:t>
            </w:r>
          </w:p>
        </w:tc>
        <w:tc>
          <w:tcPr>
            <w:tcW w:w="1456" w:type="dxa"/>
          </w:tcPr>
          <w:p w:rsidR="0051730D" w:rsidRPr="009040B8" w:rsidRDefault="0051730D" w:rsidP="0051730D">
            <w:pPr>
              <w:rPr>
                <w:rFonts w:ascii="Verdana" w:hAnsi="Verdana" w:cs="Arial"/>
              </w:rPr>
            </w:pPr>
            <w:r w:rsidRPr="009040B8">
              <w:rPr>
                <w:rFonts w:ascii="Verdana" w:hAnsi="Verdana" w:cs="Arial"/>
              </w:rPr>
              <w:t>PN-EN 1097-3</w:t>
            </w:r>
          </w:p>
        </w:tc>
        <w:tc>
          <w:tcPr>
            <w:tcW w:w="7839" w:type="dxa"/>
          </w:tcPr>
          <w:p w:rsidR="0051730D" w:rsidRPr="009040B8" w:rsidRDefault="0051730D" w:rsidP="0051730D">
            <w:pPr>
              <w:rPr>
                <w:rFonts w:ascii="Verdana" w:hAnsi="Verdana" w:cs="Arial"/>
              </w:rPr>
            </w:pPr>
            <w:r w:rsidRPr="009040B8">
              <w:rPr>
                <w:rFonts w:ascii="Verdana" w:hAnsi="Verdana" w:cs="Arial"/>
              </w:rPr>
              <w:t>Badania mechanicznych i fizycznych właściwości kruszyw – Oznaczanie gęstości nasypowej i jamistości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14.</w:t>
            </w:r>
          </w:p>
        </w:tc>
        <w:tc>
          <w:tcPr>
            <w:tcW w:w="1456" w:type="dxa"/>
          </w:tcPr>
          <w:p w:rsidR="0051730D" w:rsidRPr="009040B8" w:rsidRDefault="0051730D" w:rsidP="0051730D">
            <w:pPr>
              <w:rPr>
                <w:rFonts w:ascii="Verdana" w:hAnsi="Verdana" w:cs="Arial"/>
              </w:rPr>
            </w:pPr>
            <w:r w:rsidRPr="009040B8">
              <w:rPr>
                <w:rFonts w:ascii="Verdana" w:hAnsi="Verdana" w:cs="Arial"/>
              </w:rPr>
              <w:t>PN-EN 1097-4</w:t>
            </w:r>
          </w:p>
        </w:tc>
        <w:tc>
          <w:tcPr>
            <w:tcW w:w="7839" w:type="dxa"/>
          </w:tcPr>
          <w:p w:rsidR="0051730D" w:rsidRPr="009040B8" w:rsidRDefault="0051730D" w:rsidP="0051730D">
            <w:pPr>
              <w:rPr>
                <w:rFonts w:ascii="Verdana" w:hAnsi="Verdana" w:cs="Arial"/>
              </w:rPr>
            </w:pPr>
            <w:r w:rsidRPr="009040B8">
              <w:rPr>
                <w:rFonts w:ascii="Verdana" w:hAnsi="Verdana" w:cs="Arial"/>
              </w:rPr>
              <w:t>Badania mechanicznych i fizycznych właściwości kruszyw – Część 4: Oznaczanie pustych przestrzeni suchego, zagęszczonego wypełniacza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15.</w:t>
            </w:r>
          </w:p>
        </w:tc>
        <w:tc>
          <w:tcPr>
            <w:tcW w:w="1456" w:type="dxa"/>
          </w:tcPr>
          <w:p w:rsidR="0051730D" w:rsidRPr="009040B8" w:rsidRDefault="0051730D" w:rsidP="0051730D">
            <w:pPr>
              <w:rPr>
                <w:rFonts w:ascii="Verdana" w:hAnsi="Verdana" w:cs="Arial"/>
              </w:rPr>
            </w:pPr>
            <w:r w:rsidRPr="009040B8">
              <w:rPr>
                <w:rFonts w:ascii="Verdana" w:hAnsi="Verdana" w:cs="Arial"/>
              </w:rPr>
              <w:t>PN-EN 1097-5</w:t>
            </w:r>
          </w:p>
        </w:tc>
        <w:tc>
          <w:tcPr>
            <w:tcW w:w="7839" w:type="dxa"/>
          </w:tcPr>
          <w:p w:rsidR="0051730D" w:rsidRPr="009040B8" w:rsidRDefault="0051730D" w:rsidP="0051730D">
            <w:pPr>
              <w:rPr>
                <w:rFonts w:ascii="Verdana" w:hAnsi="Verdana" w:cs="Arial"/>
              </w:rPr>
            </w:pPr>
            <w:r w:rsidRPr="009040B8">
              <w:rPr>
                <w:rFonts w:ascii="Verdana" w:hAnsi="Verdana" w:cs="Arial"/>
              </w:rPr>
              <w:t>Badania mechanicznych i fizycznych właściwości kruszyw – Część 5: Oznaczanie zawartości wody przez suszenie w suszarce z wentylacją</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16.</w:t>
            </w:r>
          </w:p>
        </w:tc>
        <w:tc>
          <w:tcPr>
            <w:tcW w:w="1456" w:type="dxa"/>
          </w:tcPr>
          <w:p w:rsidR="0051730D" w:rsidRPr="009040B8" w:rsidRDefault="0051730D" w:rsidP="0051730D">
            <w:pPr>
              <w:rPr>
                <w:rFonts w:ascii="Verdana" w:hAnsi="Verdana" w:cs="Arial"/>
              </w:rPr>
            </w:pPr>
            <w:r w:rsidRPr="009040B8">
              <w:rPr>
                <w:rFonts w:ascii="Verdana" w:hAnsi="Verdana" w:cs="Arial"/>
              </w:rPr>
              <w:t>PN-EN 1097-6</w:t>
            </w:r>
          </w:p>
        </w:tc>
        <w:tc>
          <w:tcPr>
            <w:tcW w:w="7839" w:type="dxa"/>
          </w:tcPr>
          <w:p w:rsidR="0051730D" w:rsidRPr="009040B8" w:rsidRDefault="0051730D" w:rsidP="0051730D">
            <w:pPr>
              <w:rPr>
                <w:rFonts w:ascii="Verdana" w:hAnsi="Verdana" w:cs="Arial"/>
              </w:rPr>
            </w:pPr>
            <w:r w:rsidRPr="009040B8">
              <w:rPr>
                <w:rFonts w:ascii="Verdana" w:hAnsi="Verdana" w:cs="Arial"/>
              </w:rPr>
              <w:t>Badania mechanicznych i fizycznych właściwości kruszyw –Część 6: Oznaczanie gęstości ziaren i nasiąkliwości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lastRenderedPageBreak/>
              <w:t>17.</w:t>
            </w:r>
          </w:p>
        </w:tc>
        <w:tc>
          <w:tcPr>
            <w:tcW w:w="1456" w:type="dxa"/>
          </w:tcPr>
          <w:p w:rsidR="0051730D" w:rsidRPr="009040B8" w:rsidRDefault="0051730D" w:rsidP="0051730D">
            <w:pPr>
              <w:rPr>
                <w:rFonts w:ascii="Verdana" w:hAnsi="Verdana" w:cs="Arial"/>
              </w:rPr>
            </w:pPr>
            <w:r w:rsidRPr="009040B8">
              <w:rPr>
                <w:rFonts w:ascii="Verdana" w:hAnsi="Verdana" w:cs="Arial"/>
              </w:rPr>
              <w:t>PN-EN 1097-7</w:t>
            </w:r>
          </w:p>
        </w:tc>
        <w:tc>
          <w:tcPr>
            <w:tcW w:w="7839" w:type="dxa"/>
          </w:tcPr>
          <w:p w:rsidR="0051730D" w:rsidRPr="009040B8" w:rsidRDefault="0051730D" w:rsidP="0051730D">
            <w:pPr>
              <w:rPr>
                <w:rFonts w:ascii="Verdana" w:hAnsi="Verdana" w:cs="Arial"/>
              </w:rPr>
            </w:pPr>
            <w:r w:rsidRPr="009040B8">
              <w:rPr>
                <w:rFonts w:ascii="Verdana" w:hAnsi="Verdana" w:cs="Arial"/>
              </w:rPr>
              <w:t>Badania mechanicznych i fizycznych właściwości kruszyw – Część 7: Oznaczanie gęstości wypełniacza – Metoda piknometryczna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18.</w:t>
            </w:r>
          </w:p>
        </w:tc>
        <w:tc>
          <w:tcPr>
            <w:tcW w:w="1456" w:type="dxa"/>
          </w:tcPr>
          <w:p w:rsidR="0051730D" w:rsidRPr="009040B8" w:rsidRDefault="0051730D" w:rsidP="0051730D">
            <w:pPr>
              <w:rPr>
                <w:rFonts w:ascii="Verdana" w:hAnsi="Verdana" w:cs="Arial"/>
              </w:rPr>
            </w:pPr>
            <w:r w:rsidRPr="009040B8">
              <w:rPr>
                <w:rFonts w:ascii="Verdana" w:hAnsi="Verdana" w:cs="Arial"/>
              </w:rPr>
              <w:t>PN-EN 1097-8</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Badania mechanicznych i fizycznych właściwości kruszyw – Część 8: Oznaczanie </w:t>
            </w:r>
            <w:proofErr w:type="spellStart"/>
            <w:r w:rsidRPr="009040B8">
              <w:rPr>
                <w:rFonts w:ascii="Verdana" w:hAnsi="Verdana" w:cs="Arial"/>
              </w:rPr>
              <w:t>polerowalności</w:t>
            </w:r>
            <w:proofErr w:type="spellEnd"/>
            <w:r w:rsidRPr="009040B8">
              <w:rPr>
                <w:rFonts w:ascii="Verdana" w:hAnsi="Verdana" w:cs="Arial"/>
              </w:rPr>
              <w:t xml:space="preserve"> kamienia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19.</w:t>
            </w:r>
          </w:p>
        </w:tc>
        <w:tc>
          <w:tcPr>
            <w:tcW w:w="1456" w:type="dxa"/>
          </w:tcPr>
          <w:p w:rsidR="0051730D" w:rsidRPr="009040B8" w:rsidRDefault="0051730D" w:rsidP="0051730D">
            <w:pPr>
              <w:rPr>
                <w:rFonts w:ascii="Verdana" w:hAnsi="Verdana" w:cs="Arial"/>
              </w:rPr>
            </w:pPr>
            <w:r w:rsidRPr="009040B8">
              <w:rPr>
                <w:rFonts w:ascii="Verdana" w:hAnsi="Verdana" w:cs="Arial"/>
              </w:rPr>
              <w:t>PN-EN 1367-1</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Badania właściwości cieplnych i odporności kruszyw na działanie czynników atmosferycznych </w:t>
            </w:r>
            <w:r w:rsidRPr="009040B8">
              <w:rPr>
                <w:rFonts w:ascii="Verdana" w:hAnsi="Verdana" w:cs="Arial"/>
              </w:rPr>
              <w:br/>
              <w:t>– Część 1: Oznaczanie mrozoodporności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20.</w:t>
            </w:r>
          </w:p>
        </w:tc>
        <w:tc>
          <w:tcPr>
            <w:tcW w:w="1456" w:type="dxa"/>
          </w:tcPr>
          <w:p w:rsidR="0051730D" w:rsidRPr="009040B8" w:rsidRDefault="0051730D" w:rsidP="0051730D">
            <w:pPr>
              <w:rPr>
                <w:rFonts w:ascii="Verdana" w:hAnsi="Verdana" w:cs="Arial"/>
              </w:rPr>
            </w:pPr>
            <w:r w:rsidRPr="009040B8">
              <w:rPr>
                <w:rFonts w:ascii="Verdana" w:hAnsi="Verdana" w:cs="Arial"/>
              </w:rPr>
              <w:t>PN-EN 1367-3</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Badania właściwości cieplnych i odporności kruszyw na działanie czynników atmosferycznych </w:t>
            </w:r>
            <w:r w:rsidRPr="009040B8">
              <w:rPr>
                <w:rFonts w:ascii="Verdana" w:hAnsi="Verdana" w:cs="Arial"/>
              </w:rPr>
              <w:br/>
              <w:t>– Część 3: Badanie bazaltowej zgorzeli słonecznej metodą gotowania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21.</w:t>
            </w:r>
          </w:p>
        </w:tc>
        <w:tc>
          <w:tcPr>
            <w:tcW w:w="1456" w:type="dxa"/>
          </w:tcPr>
          <w:p w:rsidR="0051730D" w:rsidRPr="009040B8" w:rsidRDefault="0051730D" w:rsidP="0051730D">
            <w:pPr>
              <w:rPr>
                <w:rFonts w:ascii="Verdana" w:hAnsi="Verdana" w:cs="Arial"/>
              </w:rPr>
            </w:pPr>
            <w:r w:rsidRPr="009040B8">
              <w:rPr>
                <w:rFonts w:ascii="Verdana" w:hAnsi="Verdana" w:cs="Arial"/>
              </w:rPr>
              <w:t>PN-EN 1426</w:t>
            </w:r>
          </w:p>
        </w:tc>
        <w:tc>
          <w:tcPr>
            <w:tcW w:w="7839" w:type="dxa"/>
          </w:tcPr>
          <w:p w:rsidR="0051730D" w:rsidRPr="009040B8" w:rsidRDefault="0051730D" w:rsidP="0051730D">
            <w:pPr>
              <w:rPr>
                <w:rFonts w:ascii="Verdana" w:hAnsi="Verdana" w:cs="Arial"/>
              </w:rPr>
            </w:pPr>
            <w:r w:rsidRPr="009040B8">
              <w:rPr>
                <w:rFonts w:ascii="Verdana" w:hAnsi="Verdana" w:cs="Arial"/>
              </w:rPr>
              <w:t>Asfalty i produkty asfaltowe – Oznaczanie penetracji igłą</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 xml:space="preserve">22. </w:t>
            </w:r>
          </w:p>
        </w:tc>
        <w:tc>
          <w:tcPr>
            <w:tcW w:w="1456" w:type="dxa"/>
          </w:tcPr>
          <w:p w:rsidR="0051730D" w:rsidRPr="009040B8" w:rsidRDefault="0051730D" w:rsidP="0051730D">
            <w:pPr>
              <w:rPr>
                <w:rFonts w:ascii="Verdana" w:hAnsi="Verdana" w:cs="Arial"/>
              </w:rPr>
            </w:pPr>
            <w:r w:rsidRPr="009040B8">
              <w:rPr>
                <w:rFonts w:ascii="Verdana" w:hAnsi="Verdana" w:cs="Arial"/>
              </w:rPr>
              <w:t>PN-EN 1427</w:t>
            </w:r>
          </w:p>
        </w:tc>
        <w:tc>
          <w:tcPr>
            <w:tcW w:w="7839" w:type="dxa"/>
          </w:tcPr>
          <w:p w:rsidR="0051730D" w:rsidRPr="009040B8" w:rsidRDefault="0051730D" w:rsidP="0051730D">
            <w:pPr>
              <w:rPr>
                <w:rFonts w:ascii="Verdana" w:hAnsi="Verdana" w:cs="Arial"/>
              </w:rPr>
            </w:pPr>
            <w:r w:rsidRPr="009040B8">
              <w:rPr>
                <w:rFonts w:ascii="Verdana" w:hAnsi="Verdana" w:cs="Arial"/>
              </w:rPr>
              <w:t>Asfalty i produkty asfaltowe – Oznaczanie temperatury mięknienia – Metoda Pierścień i Kula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 xml:space="preserve">23. </w:t>
            </w:r>
          </w:p>
        </w:tc>
        <w:tc>
          <w:tcPr>
            <w:tcW w:w="1456" w:type="dxa"/>
          </w:tcPr>
          <w:p w:rsidR="0051730D" w:rsidRPr="009040B8" w:rsidRDefault="0051730D" w:rsidP="0051730D">
            <w:pPr>
              <w:rPr>
                <w:rFonts w:ascii="Verdana" w:hAnsi="Verdana" w:cs="Arial"/>
              </w:rPr>
            </w:pPr>
            <w:r w:rsidRPr="009040B8">
              <w:rPr>
                <w:rFonts w:ascii="Verdana" w:hAnsi="Verdana" w:cs="Arial"/>
              </w:rPr>
              <w:t>PN-EN 1428</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zawartości wody w emulsjach asfaltowych – Metoda destylacji azeotropowej</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24.</w:t>
            </w:r>
          </w:p>
        </w:tc>
        <w:tc>
          <w:tcPr>
            <w:tcW w:w="1456" w:type="dxa"/>
          </w:tcPr>
          <w:p w:rsidR="0051730D" w:rsidRPr="009040B8" w:rsidRDefault="0051730D" w:rsidP="0051730D">
            <w:pPr>
              <w:rPr>
                <w:rFonts w:ascii="Verdana" w:hAnsi="Verdana" w:cs="Arial"/>
              </w:rPr>
            </w:pPr>
            <w:r w:rsidRPr="009040B8">
              <w:rPr>
                <w:rFonts w:ascii="Verdana" w:hAnsi="Verdana" w:cs="Arial"/>
              </w:rPr>
              <w:t>PN-EN 1429</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pozostałości na sicie emulsji asfaltowych oraz trwałości podczas magazynowania metodą pozostałości na sicie</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25.</w:t>
            </w:r>
          </w:p>
        </w:tc>
        <w:tc>
          <w:tcPr>
            <w:tcW w:w="1456" w:type="dxa"/>
          </w:tcPr>
          <w:p w:rsidR="0051730D" w:rsidRPr="009040B8" w:rsidRDefault="0051730D" w:rsidP="0051730D">
            <w:pPr>
              <w:rPr>
                <w:rFonts w:ascii="Verdana" w:hAnsi="Verdana" w:cs="Arial"/>
              </w:rPr>
            </w:pPr>
            <w:r w:rsidRPr="009040B8">
              <w:rPr>
                <w:rFonts w:ascii="Verdana" w:hAnsi="Verdana" w:cs="Arial"/>
              </w:rPr>
              <w:t>PN-EN 1744-1</w:t>
            </w:r>
          </w:p>
        </w:tc>
        <w:tc>
          <w:tcPr>
            <w:tcW w:w="7839" w:type="dxa"/>
          </w:tcPr>
          <w:p w:rsidR="0051730D" w:rsidRPr="009040B8" w:rsidRDefault="0051730D" w:rsidP="0051730D">
            <w:pPr>
              <w:rPr>
                <w:rFonts w:ascii="Verdana" w:hAnsi="Verdana" w:cs="Arial"/>
              </w:rPr>
            </w:pPr>
            <w:r w:rsidRPr="009040B8">
              <w:rPr>
                <w:rFonts w:ascii="Verdana" w:hAnsi="Verdana" w:cs="Arial"/>
              </w:rPr>
              <w:t>Badania chemicznych właściwości kruszyw – Analiza chemiczna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26.</w:t>
            </w:r>
          </w:p>
        </w:tc>
        <w:tc>
          <w:tcPr>
            <w:tcW w:w="1456" w:type="dxa"/>
          </w:tcPr>
          <w:p w:rsidR="0051730D" w:rsidRPr="009040B8" w:rsidRDefault="0051730D" w:rsidP="0051730D">
            <w:pPr>
              <w:rPr>
                <w:rFonts w:ascii="Verdana" w:hAnsi="Verdana" w:cs="Arial"/>
              </w:rPr>
            </w:pPr>
            <w:r w:rsidRPr="009040B8">
              <w:rPr>
                <w:rFonts w:ascii="Verdana" w:hAnsi="Verdana" w:cs="Arial"/>
              </w:rPr>
              <w:t>PN-EN 1744-4</w:t>
            </w:r>
          </w:p>
        </w:tc>
        <w:tc>
          <w:tcPr>
            <w:tcW w:w="7839" w:type="dxa"/>
          </w:tcPr>
          <w:p w:rsidR="0051730D" w:rsidRPr="009040B8" w:rsidRDefault="0051730D" w:rsidP="0051730D">
            <w:pPr>
              <w:rPr>
                <w:rFonts w:ascii="Verdana" w:hAnsi="Verdana" w:cs="Arial"/>
              </w:rPr>
            </w:pPr>
            <w:r w:rsidRPr="009040B8">
              <w:rPr>
                <w:rFonts w:ascii="Verdana" w:hAnsi="Verdana" w:cs="Arial"/>
              </w:rPr>
              <w:t>Badania chemicznych właściwości kruszyw – Część 4: Oznaczanie podatności wypełniaczy do mieszanek mineralno-asfaltowych na działanie wody</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27.</w:t>
            </w:r>
          </w:p>
        </w:tc>
        <w:tc>
          <w:tcPr>
            <w:tcW w:w="1456" w:type="dxa"/>
          </w:tcPr>
          <w:p w:rsidR="0051730D" w:rsidRPr="009040B8" w:rsidRDefault="0051730D" w:rsidP="0051730D">
            <w:pPr>
              <w:rPr>
                <w:rFonts w:ascii="Verdana" w:hAnsi="Verdana" w:cs="Arial"/>
              </w:rPr>
            </w:pPr>
            <w:r w:rsidRPr="009040B8">
              <w:rPr>
                <w:rFonts w:ascii="Verdana" w:hAnsi="Verdana" w:cs="Arial"/>
              </w:rPr>
              <w:t>PN-EN 12591</w:t>
            </w:r>
          </w:p>
        </w:tc>
        <w:tc>
          <w:tcPr>
            <w:tcW w:w="7839" w:type="dxa"/>
          </w:tcPr>
          <w:p w:rsidR="0051730D" w:rsidRPr="009040B8" w:rsidRDefault="0051730D" w:rsidP="0051730D">
            <w:pPr>
              <w:rPr>
                <w:rFonts w:ascii="Verdana" w:hAnsi="Verdana" w:cs="Arial"/>
              </w:rPr>
            </w:pPr>
            <w:r w:rsidRPr="009040B8">
              <w:rPr>
                <w:rFonts w:ascii="Verdana" w:hAnsi="Verdana" w:cs="Arial"/>
              </w:rPr>
              <w:t>Asfalty i produkty asfaltowe – Wymagania dla asfaltów drogowych</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28.</w:t>
            </w:r>
          </w:p>
        </w:tc>
        <w:tc>
          <w:tcPr>
            <w:tcW w:w="1456" w:type="dxa"/>
          </w:tcPr>
          <w:p w:rsidR="0051730D" w:rsidRPr="009040B8" w:rsidRDefault="0051730D" w:rsidP="0051730D">
            <w:pPr>
              <w:rPr>
                <w:rFonts w:ascii="Verdana" w:hAnsi="Verdana" w:cs="Arial"/>
              </w:rPr>
            </w:pPr>
            <w:r w:rsidRPr="009040B8">
              <w:rPr>
                <w:rFonts w:ascii="Verdana" w:hAnsi="Verdana" w:cs="Arial"/>
              </w:rPr>
              <w:t>PN-EN 12592</w:t>
            </w:r>
          </w:p>
        </w:tc>
        <w:tc>
          <w:tcPr>
            <w:tcW w:w="7839" w:type="dxa"/>
          </w:tcPr>
          <w:p w:rsidR="0051730D" w:rsidRPr="009040B8" w:rsidRDefault="0051730D" w:rsidP="0051730D">
            <w:pPr>
              <w:rPr>
                <w:rFonts w:ascii="Verdana" w:hAnsi="Verdana" w:cs="Arial"/>
              </w:rPr>
            </w:pPr>
            <w:r w:rsidRPr="009040B8">
              <w:rPr>
                <w:rFonts w:ascii="Verdana" w:hAnsi="Verdana" w:cs="Arial"/>
              </w:rPr>
              <w:t>Asfalty i produkty asfaltowe – Oznaczanie rozpuszczalności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29.</w:t>
            </w:r>
          </w:p>
        </w:tc>
        <w:tc>
          <w:tcPr>
            <w:tcW w:w="1456" w:type="dxa"/>
          </w:tcPr>
          <w:p w:rsidR="0051730D" w:rsidRPr="009040B8" w:rsidRDefault="0051730D" w:rsidP="0051730D">
            <w:pPr>
              <w:rPr>
                <w:rFonts w:ascii="Verdana" w:hAnsi="Verdana" w:cs="Arial"/>
              </w:rPr>
            </w:pPr>
            <w:r w:rsidRPr="009040B8">
              <w:rPr>
                <w:rFonts w:ascii="Verdana" w:hAnsi="Verdana" w:cs="Arial"/>
              </w:rPr>
              <w:t>PN-EN 12593</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Asfalty i produkty asfaltowe – Oznaczanie temperatury łamliwości </w:t>
            </w:r>
            <w:proofErr w:type="spellStart"/>
            <w:r w:rsidRPr="009040B8">
              <w:rPr>
                <w:rFonts w:ascii="Verdana" w:hAnsi="Verdana" w:cs="Arial"/>
              </w:rPr>
              <w:t>Fraassa</w:t>
            </w:r>
            <w:proofErr w:type="spellEnd"/>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30.</w:t>
            </w:r>
          </w:p>
        </w:tc>
        <w:tc>
          <w:tcPr>
            <w:tcW w:w="1456" w:type="dxa"/>
          </w:tcPr>
          <w:p w:rsidR="0051730D" w:rsidRPr="009040B8" w:rsidRDefault="0051730D" w:rsidP="0051730D">
            <w:pPr>
              <w:rPr>
                <w:rFonts w:ascii="Verdana" w:hAnsi="Verdana" w:cs="Arial"/>
              </w:rPr>
            </w:pPr>
            <w:r w:rsidRPr="009040B8">
              <w:rPr>
                <w:rFonts w:ascii="Verdana" w:hAnsi="Verdana" w:cs="Arial"/>
              </w:rPr>
              <w:t>PN-EN 12606-1</w:t>
            </w:r>
          </w:p>
        </w:tc>
        <w:tc>
          <w:tcPr>
            <w:tcW w:w="7839" w:type="dxa"/>
          </w:tcPr>
          <w:p w:rsidR="0051730D" w:rsidRPr="009040B8" w:rsidRDefault="0051730D" w:rsidP="0051730D">
            <w:pPr>
              <w:rPr>
                <w:rFonts w:ascii="Verdana" w:hAnsi="Verdana" w:cs="Arial"/>
              </w:rPr>
            </w:pPr>
            <w:r w:rsidRPr="009040B8">
              <w:rPr>
                <w:rFonts w:ascii="Verdana" w:hAnsi="Verdana" w:cs="Arial"/>
              </w:rPr>
              <w:t>Asfalty i produkty asfaltowe – Oznaczanie zawartości parafiny – Część 1: Metoda destylacyjna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31.</w:t>
            </w:r>
          </w:p>
        </w:tc>
        <w:tc>
          <w:tcPr>
            <w:tcW w:w="1456" w:type="dxa"/>
          </w:tcPr>
          <w:p w:rsidR="0051730D" w:rsidRPr="009040B8" w:rsidRDefault="0051730D" w:rsidP="0051730D">
            <w:pPr>
              <w:rPr>
                <w:rFonts w:ascii="Verdana" w:hAnsi="Verdana" w:cs="Arial"/>
              </w:rPr>
            </w:pPr>
            <w:r w:rsidRPr="009040B8">
              <w:rPr>
                <w:rFonts w:ascii="Verdana" w:hAnsi="Verdana" w:cs="Arial"/>
              </w:rPr>
              <w:t>PN-EN 12607-1</w:t>
            </w:r>
          </w:p>
          <w:p w:rsidR="0051730D" w:rsidRPr="009040B8" w:rsidRDefault="0051730D" w:rsidP="0051730D">
            <w:pPr>
              <w:rPr>
                <w:rFonts w:ascii="Verdana" w:hAnsi="Verdana" w:cs="Arial"/>
              </w:rPr>
            </w:pPr>
            <w:r w:rsidRPr="009040B8">
              <w:rPr>
                <w:rFonts w:ascii="Verdana" w:hAnsi="Verdana" w:cs="Arial"/>
              </w:rPr>
              <w:t>i</w:t>
            </w:r>
          </w:p>
          <w:p w:rsidR="0051730D" w:rsidRPr="009040B8" w:rsidRDefault="0051730D" w:rsidP="0051730D">
            <w:pPr>
              <w:rPr>
                <w:rFonts w:ascii="Verdana" w:hAnsi="Verdana" w:cs="Arial"/>
              </w:rPr>
            </w:pPr>
            <w:r w:rsidRPr="009040B8">
              <w:rPr>
                <w:rFonts w:ascii="Verdana" w:hAnsi="Verdana" w:cs="Arial"/>
              </w:rPr>
              <w:t>PN-EN 12607-3</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Asfalty i produkty asfaltowe – Oznaczanie odporności na twardnienie pod wpływem ciepła i powietrza </w:t>
            </w:r>
            <w:r w:rsidRPr="009040B8">
              <w:rPr>
                <w:rFonts w:ascii="Verdana" w:hAnsi="Verdana" w:cs="Arial"/>
              </w:rPr>
              <w:br/>
              <w:t>– Część 1: Metoda RTFOT</w:t>
            </w:r>
          </w:p>
          <w:p w:rsidR="0051730D" w:rsidRPr="009040B8" w:rsidRDefault="0051730D" w:rsidP="0051730D">
            <w:pPr>
              <w:rPr>
                <w:rFonts w:ascii="Verdana" w:hAnsi="Verdana" w:cs="Arial"/>
              </w:rPr>
            </w:pPr>
            <w:r w:rsidRPr="009040B8">
              <w:rPr>
                <w:rFonts w:ascii="Verdana" w:hAnsi="Verdana" w:cs="Arial"/>
              </w:rPr>
              <w:t>Jw. Część 3: Metoda RFT</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32.</w:t>
            </w:r>
          </w:p>
        </w:tc>
        <w:tc>
          <w:tcPr>
            <w:tcW w:w="1456" w:type="dxa"/>
          </w:tcPr>
          <w:p w:rsidR="0051730D" w:rsidRPr="009040B8" w:rsidRDefault="0051730D" w:rsidP="0051730D">
            <w:pPr>
              <w:rPr>
                <w:rFonts w:ascii="Verdana" w:hAnsi="Verdana" w:cs="Arial"/>
              </w:rPr>
            </w:pPr>
            <w:r w:rsidRPr="009040B8">
              <w:rPr>
                <w:rFonts w:ascii="Verdana" w:hAnsi="Verdana" w:cs="Arial"/>
              </w:rPr>
              <w:t>PN-EN 12697-6</w:t>
            </w:r>
          </w:p>
        </w:tc>
        <w:tc>
          <w:tcPr>
            <w:tcW w:w="7839" w:type="dxa"/>
          </w:tcPr>
          <w:p w:rsidR="0051730D" w:rsidRPr="009040B8" w:rsidRDefault="0051730D" w:rsidP="0051730D">
            <w:pPr>
              <w:rPr>
                <w:rFonts w:ascii="Verdana" w:hAnsi="Verdana" w:cs="Arial"/>
              </w:rPr>
            </w:pPr>
            <w:r w:rsidRPr="009040B8">
              <w:rPr>
                <w:rFonts w:ascii="Verdana" w:hAnsi="Verdana" w:cs="Arial"/>
              </w:rPr>
              <w:t>Mieszanki mineralno-asfaltowe – Metody badań mieszanek mineralno-asfaltowych na gorąco</w:t>
            </w:r>
            <w:r w:rsidRPr="009040B8">
              <w:rPr>
                <w:rFonts w:ascii="Verdana" w:hAnsi="Verdana" w:cs="Arial"/>
              </w:rPr>
              <w:br/>
              <w:t>– Część 6: Oznaczanie gęstości objętościowej metodą hydrostatyczną</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33.</w:t>
            </w:r>
          </w:p>
        </w:tc>
        <w:tc>
          <w:tcPr>
            <w:tcW w:w="1456" w:type="dxa"/>
          </w:tcPr>
          <w:p w:rsidR="0051730D" w:rsidRPr="009040B8" w:rsidRDefault="0051730D" w:rsidP="0051730D">
            <w:pPr>
              <w:rPr>
                <w:rFonts w:ascii="Verdana" w:hAnsi="Verdana" w:cs="Arial"/>
              </w:rPr>
            </w:pPr>
            <w:r w:rsidRPr="009040B8">
              <w:rPr>
                <w:rFonts w:ascii="Verdana" w:hAnsi="Verdana" w:cs="Arial"/>
              </w:rPr>
              <w:t>PN-EN 12697-8</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8: Oznaczanie zawartości wolnej przestrzeni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34.</w:t>
            </w:r>
          </w:p>
        </w:tc>
        <w:tc>
          <w:tcPr>
            <w:tcW w:w="1456" w:type="dxa"/>
          </w:tcPr>
          <w:p w:rsidR="0051730D" w:rsidRPr="009040B8" w:rsidRDefault="0051730D" w:rsidP="0051730D">
            <w:pPr>
              <w:rPr>
                <w:rFonts w:ascii="Verdana" w:hAnsi="Verdana" w:cs="Arial"/>
              </w:rPr>
            </w:pPr>
            <w:r w:rsidRPr="009040B8">
              <w:rPr>
                <w:rFonts w:ascii="Verdana" w:hAnsi="Verdana" w:cs="Arial"/>
              </w:rPr>
              <w:t>PN-EN 12697-11</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11: Określenie powiązania pomiędzy kruszywem i asfaltem</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35.</w:t>
            </w:r>
          </w:p>
        </w:tc>
        <w:tc>
          <w:tcPr>
            <w:tcW w:w="1456" w:type="dxa"/>
          </w:tcPr>
          <w:p w:rsidR="0051730D" w:rsidRPr="009040B8" w:rsidRDefault="0051730D" w:rsidP="0051730D">
            <w:pPr>
              <w:rPr>
                <w:rFonts w:ascii="Verdana" w:hAnsi="Verdana" w:cs="Arial"/>
              </w:rPr>
            </w:pPr>
            <w:r w:rsidRPr="009040B8">
              <w:rPr>
                <w:rFonts w:ascii="Verdana" w:hAnsi="Verdana" w:cs="Arial"/>
              </w:rPr>
              <w:t>PN-EN 12697-12</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12: Określanie wrażliwości na wodę</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36.</w:t>
            </w:r>
          </w:p>
        </w:tc>
        <w:tc>
          <w:tcPr>
            <w:tcW w:w="1456" w:type="dxa"/>
          </w:tcPr>
          <w:p w:rsidR="0051730D" w:rsidRPr="009040B8" w:rsidRDefault="0051730D" w:rsidP="0051730D">
            <w:pPr>
              <w:rPr>
                <w:rFonts w:ascii="Verdana" w:hAnsi="Verdana" w:cs="Arial"/>
              </w:rPr>
            </w:pPr>
            <w:r w:rsidRPr="009040B8">
              <w:rPr>
                <w:rFonts w:ascii="Verdana" w:hAnsi="Verdana" w:cs="Arial"/>
              </w:rPr>
              <w:t>PN-EN 12697-13</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13: Pomiar temperatury</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37.</w:t>
            </w:r>
          </w:p>
        </w:tc>
        <w:tc>
          <w:tcPr>
            <w:tcW w:w="1456" w:type="dxa"/>
          </w:tcPr>
          <w:p w:rsidR="0051730D" w:rsidRPr="009040B8" w:rsidRDefault="0051730D" w:rsidP="0051730D">
            <w:pPr>
              <w:rPr>
                <w:rFonts w:ascii="Verdana" w:hAnsi="Verdana" w:cs="Arial"/>
              </w:rPr>
            </w:pPr>
            <w:r w:rsidRPr="009040B8">
              <w:rPr>
                <w:rFonts w:ascii="Verdana" w:hAnsi="Verdana" w:cs="Arial"/>
              </w:rPr>
              <w:t>PN-EN 12697-18</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18: Spływanie lepiszcza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38.</w:t>
            </w:r>
          </w:p>
        </w:tc>
        <w:tc>
          <w:tcPr>
            <w:tcW w:w="1456" w:type="dxa"/>
          </w:tcPr>
          <w:p w:rsidR="0051730D" w:rsidRPr="009040B8" w:rsidRDefault="0051730D" w:rsidP="0051730D">
            <w:pPr>
              <w:rPr>
                <w:rFonts w:ascii="Verdana" w:hAnsi="Verdana" w:cs="Arial"/>
              </w:rPr>
            </w:pPr>
            <w:r w:rsidRPr="009040B8">
              <w:rPr>
                <w:rFonts w:ascii="Verdana" w:hAnsi="Verdana" w:cs="Arial"/>
              </w:rPr>
              <w:t>PN-EN 12697-22</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22: Koleinowanie</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lastRenderedPageBreak/>
              <w:t>39.</w:t>
            </w:r>
          </w:p>
        </w:tc>
        <w:tc>
          <w:tcPr>
            <w:tcW w:w="1456" w:type="dxa"/>
          </w:tcPr>
          <w:p w:rsidR="0051730D" w:rsidRPr="009040B8" w:rsidRDefault="0051730D" w:rsidP="0051730D">
            <w:pPr>
              <w:rPr>
                <w:rFonts w:ascii="Verdana" w:hAnsi="Verdana" w:cs="Arial"/>
              </w:rPr>
            </w:pPr>
            <w:r w:rsidRPr="009040B8">
              <w:rPr>
                <w:rFonts w:ascii="Verdana" w:hAnsi="Verdana" w:cs="Arial"/>
              </w:rPr>
              <w:t>PN-EN 12697-27</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27: Pobieranie próbek</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40.</w:t>
            </w:r>
          </w:p>
        </w:tc>
        <w:tc>
          <w:tcPr>
            <w:tcW w:w="1456" w:type="dxa"/>
          </w:tcPr>
          <w:p w:rsidR="0051730D" w:rsidRPr="009040B8" w:rsidRDefault="0051730D" w:rsidP="0051730D">
            <w:pPr>
              <w:rPr>
                <w:rFonts w:ascii="Verdana" w:hAnsi="Verdana" w:cs="Arial"/>
              </w:rPr>
            </w:pPr>
            <w:r w:rsidRPr="009040B8">
              <w:rPr>
                <w:rFonts w:ascii="Verdana" w:hAnsi="Verdana" w:cs="Arial"/>
              </w:rPr>
              <w:t>PN-EN 12697-36</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36: Oznaczanie grubości nawierzchni asfaltowych</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41.</w:t>
            </w:r>
          </w:p>
        </w:tc>
        <w:tc>
          <w:tcPr>
            <w:tcW w:w="1456" w:type="dxa"/>
          </w:tcPr>
          <w:p w:rsidR="0051730D" w:rsidRPr="009040B8" w:rsidRDefault="0051730D" w:rsidP="0051730D">
            <w:pPr>
              <w:rPr>
                <w:rFonts w:ascii="Verdana" w:hAnsi="Verdana" w:cs="Arial"/>
              </w:rPr>
            </w:pPr>
            <w:r w:rsidRPr="009040B8">
              <w:rPr>
                <w:rFonts w:ascii="Verdana" w:hAnsi="Verdana" w:cs="Arial"/>
              </w:rPr>
              <w:t>PN-EN 12846</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czasu wypływu emulsji asfaltowych lepkościomierzem wypływowym</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42.</w:t>
            </w:r>
          </w:p>
        </w:tc>
        <w:tc>
          <w:tcPr>
            <w:tcW w:w="1456" w:type="dxa"/>
          </w:tcPr>
          <w:p w:rsidR="0051730D" w:rsidRPr="009040B8" w:rsidRDefault="0051730D" w:rsidP="0051730D">
            <w:pPr>
              <w:rPr>
                <w:rFonts w:ascii="Verdana" w:hAnsi="Verdana" w:cs="Arial"/>
              </w:rPr>
            </w:pPr>
            <w:r w:rsidRPr="009040B8">
              <w:rPr>
                <w:rFonts w:ascii="Verdana" w:hAnsi="Verdana" w:cs="Arial"/>
              </w:rPr>
              <w:t>PN-EN 12847</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sedymentacji emulsji asfaltowych</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43.</w:t>
            </w:r>
          </w:p>
        </w:tc>
        <w:tc>
          <w:tcPr>
            <w:tcW w:w="1456" w:type="dxa"/>
          </w:tcPr>
          <w:p w:rsidR="0051730D" w:rsidRPr="009040B8" w:rsidRDefault="0051730D" w:rsidP="0051730D">
            <w:pPr>
              <w:rPr>
                <w:rFonts w:ascii="Verdana" w:hAnsi="Verdana" w:cs="Arial"/>
              </w:rPr>
            </w:pPr>
            <w:r w:rsidRPr="009040B8">
              <w:rPr>
                <w:rFonts w:ascii="Verdana" w:hAnsi="Verdana" w:cs="Arial"/>
              </w:rPr>
              <w:t>PN-EN 12850</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Asfalty i lepiszcza asfaltowe – Oznaczanie wartości </w:t>
            </w:r>
            <w:proofErr w:type="spellStart"/>
            <w:r w:rsidRPr="009040B8">
              <w:rPr>
                <w:rFonts w:ascii="Verdana" w:hAnsi="Verdana" w:cs="Arial"/>
              </w:rPr>
              <w:t>pH</w:t>
            </w:r>
            <w:proofErr w:type="spellEnd"/>
            <w:r w:rsidRPr="009040B8">
              <w:rPr>
                <w:rFonts w:ascii="Verdana" w:hAnsi="Verdana" w:cs="Arial"/>
              </w:rPr>
              <w:t xml:space="preserve"> emulsji asfaltowych</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44.</w:t>
            </w:r>
          </w:p>
        </w:tc>
        <w:tc>
          <w:tcPr>
            <w:tcW w:w="1456" w:type="dxa"/>
          </w:tcPr>
          <w:p w:rsidR="0051730D" w:rsidRPr="009040B8" w:rsidRDefault="0051730D" w:rsidP="0051730D">
            <w:pPr>
              <w:rPr>
                <w:rFonts w:ascii="Verdana" w:hAnsi="Verdana" w:cs="Arial"/>
              </w:rPr>
            </w:pPr>
            <w:r w:rsidRPr="009040B8">
              <w:rPr>
                <w:rFonts w:ascii="Verdana" w:hAnsi="Verdana" w:cs="Arial"/>
              </w:rPr>
              <w:t>PN-EN 13043</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Kruszywa do mieszanek bitumicznych i powierzchniowych utrwaleń stosowanych na drogach, lotniskach </w:t>
            </w:r>
            <w:r w:rsidRPr="009040B8">
              <w:rPr>
                <w:rFonts w:ascii="Verdana" w:hAnsi="Verdana" w:cs="Arial"/>
              </w:rPr>
              <w:br/>
              <w:t>i innych powierzchniach przeznaczonych do ruchu</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45.</w:t>
            </w:r>
          </w:p>
        </w:tc>
        <w:tc>
          <w:tcPr>
            <w:tcW w:w="1456" w:type="dxa"/>
          </w:tcPr>
          <w:p w:rsidR="0051730D" w:rsidRPr="009040B8" w:rsidRDefault="0051730D" w:rsidP="0051730D">
            <w:pPr>
              <w:rPr>
                <w:rFonts w:ascii="Verdana" w:hAnsi="Verdana" w:cs="Arial"/>
              </w:rPr>
            </w:pPr>
            <w:r w:rsidRPr="009040B8">
              <w:rPr>
                <w:rFonts w:ascii="Verdana" w:hAnsi="Verdana" w:cs="Arial"/>
              </w:rPr>
              <w:t>PN-EN 13074</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lepiszczy z emulsji asfaltowych przez odparowanie</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46.</w:t>
            </w:r>
          </w:p>
        </w:tc>
        <w:tc>
          <w:tcPr>
            <w:tcW w:w="1456" w:type="dxa"/>
          </w:tcPr>
          <w:p w:rsidR="0051730D" w:rsidRPr="009040B8" w:rsidRDefault="0051730D" w:rsidP="0051730D">
            <w:pPr>
              <w:rPr>
                <w:rFonts w:ascii="Verdana" w:hAnsi="Verdana" w:cs="Arial"/>
              </w:rPr>
            </w:pPr>
            <w:r w:rsidRPr="009040B8">
              <w:rPr>
                <w:rFonts w:ascii="Verdana" w:hAnsi="Verdana" w:cs="Arial"/>
              </w:rPr>
              <w:t>PN-EN 13075-1</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Badanie rozpadu – Część 1: Oznaczanie indeksu rozpadu kationowych emulsji asfaltowych, metoda z wypełniaczem mineralnym</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47.</w:t>
            </w:r>
          </w:p>
        </w:tc>
        <w:tc>
          <w:tcPr>
            <w:tcW w:w="1456" w:type="dxa"/>
          </w:tcPr>
          <w:p w:rsidR="0051730D" w:rsidRPr="009040B8" w:rsidRDefault="0051730D" w:rsidP="0051730D">
            <w:pPr>
              <w:rPr>
                <w:rFonts w:ascii="Verdana" w:hAnsi="Verdana" w:cs="Arial"/>
              </w:rPr>
            </w:pPr>
            <w:r w:rsidRPr="009040B8">
              <w:rPr>
                <w:rFonts w:ascii="Verdana" w:hAnsi="Verdana" w:cs="Arial"/>
              </w:rPr>
              <w:t>PN-EN 13108-1</w:t>
            </w:r>
          </w:p>
        </w:tc>
        <w:tc>
          <w:tcPr>
            <w:tcW w:w="7839" w:type="dxa"/>
          </w:tcPr>
          <w:p w:rsidR="0051730D" w:rsidRPr="009040B8" w:rsidRDefault="0051730D" w:rsidP="0051730D">
            <w:pPr>
              <w:rPr>
                <w:rFonts w:ascii="Verdana" w:hAnsi="Verdana" w:cs="Arial"/>
              </w:rPr>
            </w:pPr>
            <w:r w:rsidRPr="009040B8">
              <w:rPr>
                <w:rFonts w:ascii="Verdana" w:hAnsi="Verdana" w:cs="Arial"/>
              </w:rPr>
              <w:t>Mieszanki mineralno-asfaltowe – Wymagania – Część 1: Beton Asfaltowy</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48.</w:t>
            </w:r>
          </w:p>
        </w:tc>
        <w:tc>
          <w:tcPr>
            <w:tcW w:w="1456" w:type="dxa"/>
          </w:tcPr>
          <w:p w:rsidR="0051730D" w:rsidRPr="009040B8" w:rsidRDefault="0051730D" w:rsidP="0051730D">
            <w:pPr>
              <w:rPr>
                <w:rFonts w:ascii="Verdana" w:hAnsi="Verdana" w:cs="Arial"/>
              </w:rPr>
            </w:pPr>
            <w:r w:rsidRPr="009040B8">
              <w:rPr>
                <w:rFonts w:ascii="Verdana" w:hAnsi="Verdana" w:cs="Arial"/>
              </w:rPr>
              <w:t>PN-EN 13108-20</w:t>
            </w:r>
          </w:p>
        </w:tc>
        <w:tc>
          <w:tcPr>
            <w:tcW w:w="7839" w:type="dxa"/>
          </w:tcPr>
          <w:p w:rsidR="0051730D" w:rsidRPr="009040B8" w:rsidRDefault="0051730D" w:rsidP="0051730D">
            <w:pPr>
              <w:rPr>
                <w:rFonts w:ascii="Verdana" w:hAnsi="Verdana" w:cs="Arial"/>
              </w:rPr>
            </w:pPr>
            <w:r w:rsidRPr="009040B8">
              <w:rPr>
                <w:rFonts w:ascii="Verdana" w:hAnsi="Verdana" w:cs="Arial"/>
              </w:rPr>
              <w:t>Mieszanki mineralno-asfaltowe – Wymagania – Część 20: Badanie typu</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49.</w:t>
            </w:r>
          </w:p>
        </w:tc>
        <w:tc>
          <w:tcPr>
            <w:tcW w:w="1456" w:type="dxa"/>
          </w:tcPr>
          <w:p w:rsidR="0051730D" w:rsidRPr="009040B8" w:rsidRDefault="0051730D" w:rsidP="0051730D">
            <w:pPr>
              <w:rPr>
                <w:rFonts w:ascii="Verdana" w:hAnsi="Verdana" w:cs="Arial"/>
              </w:rPr>
            </w:pPr>
            <w:r w:rsidRPr="009040B8">
              <w:rPr>
                <w:rFonts w:ascii="Verdana" w:hAnsi="Verdana" w:cs="Arial"/>
              </w:rPr>
              <w:t>PN-EN 13179-1</w:t>
            </w:r>
          </w:p>
        </w:tc>
        <w:tc>
          <w:tcPr>
            <w:tcW w:w="7839" w:type="dxa"/>
          </w:tcPr>
          <w:p w:rsidR="0051730D" w:rsidRPr="009040B8" w:rsidRDefault="0051730D" w:rsidP="0051730D">
            <w:pPr>
              <w:rPr>
                <w:rFonts w:ascii="Verdana" w:hAnsi="Verdana" w:cs="Arial"/>
              </w:rPr>
            </w:pPr>
            <w:r w:rsidRPr="009040B8">
              <w:rPr>
                <w:rFonts w:ascii="Verdana" w:hAnsi="Verdana" w:cs="Arial"/>
              </w:rPr>
              <w:t>Badania kruszyw wypełniających stosowanych do mieszanek bitumicznych – Część 1: Badanie metodą Pierścienia i Kuli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50.</w:t>
            </w:r>
          </w:p>
        </w:tc>
        <w:tc>
          <w:tcPr>
            <w:tcW w:w="1456" w:type="dxa"/>
          </w:tcPr>
          <w:p w:rsidR="0051730D" w:rsidRPr="009040B8" w:rsidRDefault="0051730D" w:rsidP="0051730D">
            <w:pPr>
              <w:rPr>
                <w:rFonts w:ascii="Verdana" w:hAnsi="Verdana" w:cs="Arial"/>
              </w:rPr>
            </w:pPr>
            <w:r w:rsidRPr="009040B8">
              <w:rPr>
                <w:rFonts w:ascii="Verdana" w:hAnsi="Verdana" w:cs="Arial"/>
              </w:rPr>
              <w:t>PN-EN 13179-2</w:t>
            </w:r>
          </w:p>
        </w:tc>
        <w:tc>
          <w:tcPr>
            <w:tcW w:w="7839" w:type="dxa"/>
          </w:tcPr>
          <w:p w:rsidR="0051730D" w:rsidRPr="009040B8" w:rsidRDefault="0051730D" w:rsidP="0051730D">
            <w:pPr>
              <w:rPr>
                <w:rFonts w:ascii="Verdana" w:hAnsi="Verdana" w:cs="Arial"/>
              </w:rPr>
            </w:pPr>
            <w:r w:rsidRPr="009040B8">
              <w:rPr>
                <w:rFonts w:ascii="Verdana" w:hAnsi="Verdana" w:cs="Arial"/>
              </w:rPr>
              <w:t>Badania kruszyw wypełniających stosowanych do mieszanek bitumicznych – Część 2: Liczba bitumiczna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51.</w:t>
            </w:r>
          </w:p>
        </w:tc>
        <w:tc>
          <w:tcPr>
            <w:tcW w:w="1456" w:type="dxa"/>
          </w:tcPr>
          <w:p w:rsidR="0051730D" w:rsidRPr="009040B8" w:rsidRDefault="0051730D" w:rsidP="0051730D">
            <w:pPr>
              <w:rPr>
                <w:rFonts w:ascii="Verdana" w:hAnsi="Verdana" w:cs="Arial"/>
              </w:rPr>
            </w:pPr>
            <w:r w:rsidRPr="009040B8">
              <w:rPr>
                <w:rFonts w:ascii="Verdana" w:hAnsi="Verdana" w:cs="Arial"/>
              </w:rPr>
              <w:t>PN-EN 13398</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nawrotu sprężystego asfaltów modyfikowanych</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52.</w:t>
            </w:r>
          </w:p>
        </w:tc>
        <w:tc>
          <w:tcPr>
            <w:tcW w:w="1456" w:type="dxa"/>
          </w:tcPr>
          <w:p w:rsidR="0051730D" w:rsidRPr="009040B8" w:rsidRDefault="0051730D" w:rsidP="0051730D">
            <w:pPr>
              <w:rPr>
                <w:rFonts w:ascii="Verdana" w:hAnsi="Verdana" w:cs="Arial"/>
              </w:rPr>
            </w:pPr>
            <w:r w:rsidRPr="009040B8">
              <w:rPr>
                <w:rFonts w:ascii="Verdana" w:hAnsi="Verdana" w:cs="Arial"/>
              </w:rPr>
              <w:t>PN-EN 13399</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odporności na magazynowanie modyfikowanych asfaltów</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53.</w:t>
            </w:r>
          </w:p>
        </w:tc>
        <w:tc>
          <w:tcPr>
            <w:tcW w:w="1456" w:type="dxa"/>
          </w:tcPr>
          <w:p w:rsidR="0051730D" w:rsidRPr="009040B8" w:rsidRDefault="0051730D" w:rsidP="0051730D">
            <w:pPr>
              <w:rPr>
                <w:rFonts w:ascii="Verdana" w:hAnsi="Verdana" w:cs="Arial"/>
              </w:rPr>
            </w:pPr>
            <w:r w:rsidRPr="009040B8">
              <w:rPr>
                <w:rFonts w:ascii="Verdana" w:hAnsi="Verdana" w:cs="Arial"/>
              </w:rPr>
              <w:t>PN-EN 13587</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ciągliwości lepiszczy asfaltowych metodą pomiaru ciągliwości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54.</w:t>
            </w:r>
          </w:p>
        </w:tc>
        <w:tc>
          <w:tcPr>
            <w:tcW w:w="1456" w:type="dxa"/>
          </w:tcPr>
          <w:p w:rsidR="0051730D" w:rsidRPr="009040B8" w:rsidRDefault="0051730D" w:rsidP="0051730D">
            <w:pPr>
              <w:rPr>
                <w:rFonts w:ascii="Verdana" w:hAnsi="Verdana" w:cs="Arial"/>
              </w:rPr>
            </w:pPr>
            <w:r w:rsidRPr="009040B8">
              <w:rPr>
                <w:rFonts w:ascii="Verdana" w:hAnsi="Verdana" w:cs="Arial"/>
              </w:rPr>
              <w:t>PN-EN 13588</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kohezji lepiszczy asfaltowych metodą testu wahadłowego</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55.</w:t>
            </w:r>
          </w:p>
        </w:tc>
        <w:tc>
          <w:tcPr>
            <w:tcW w:w="1456" w:type="dxa"/>
          </w:tcPr>
          <w:p w:rsidR="0051730D" w:rsidRPr="009040B8" w:rsidRDefault="0051730D" w:rsidP="0051730D">
            <w:pPr>
              <w:rPr>
                <w:rFonts w:ascii="Verdana" w:hAnsi="Verdana" w:cs="Arial"/>
              </w:rPr>
            </w:pPr>
            <w:r w:rsidRPr="009040B8">
              <w:rPr>
                <w:rFonts w:ascii="Verdana" w:hAnsi="Verdana" w:cs="Arial"/>
              </w:rPr>
              <w:t>PN-EN 13589</w:t>
            </w:r>
          </w:p>
        </w:tc>
        <w:tc>
          <w:tcPr>
            <w:tcW w:w="7839" w:type="dxa"/>
          </w:tcPr>
          <w:p w:rsidR="0051730D" w:rsidRPr="009040B8" w:rsidRDefault="0051730D" w:rsidP="0051730D">
            <w:pPr>
              <w:rPr>
                <w:rFonts w:ascii="Verdana" w:hAnsi="Verdana" w:cs="Arial"/>
              </w:rPr>
            </w:pPr>
            <w:r w:rsidRPr="009040B8">
              <w:rPr>
                <w:rFonts w:ascii="Verdana" w:hAnsi="Verdana" w:cs="Arial"/>
              </w:rPr>
              <w:t xml:space="preserve">Asfalty i lepiszcza asfaltowe – Oznaczanie ciągliwości modyfikowanych asfaltów – Metoda z </w:t>
            </w:r>
            <w:proofErr w:type="spellStart"/>
            <w:r w:rsidRPr="009040B8">
              <w:rPr>
                <w:rFonts w:ascii="Verdana" w:hAnsi="Verdana" w:cs="Arial"/>
              </w:rPr>
              <w:t>duktylometrem</w:t>
            </w:r>
            <w:proofErr w:type="spellEnd"/>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56.</w:t>
            </w:r>
          </w:p>
        </w:tc>
        <w:tc>
          <w:tcPr>
            <w:tcW w:w="1456" w:type="dxa"/>
          </w:tcPr>
          <w:p w:rsidR="0051730D" w:rsidRPr="009040B8" w:rsidRDefault="0051730D" w:rsidP="0051730D">
            <w:pPr>
              <w:rPr>
                <w:rFonts w:ascii="Verdana" w:hAnsi="Verdana" w:cs="Arial"/>
              </w:rPr>
            </w:pPr>
            <w:r w:rsidRPr="009040B8">
              <w:rPr>
                <w:rFonts w:ascii="Verdana" w:hAnsi="Verdana" w:cs="Arial"/>
              </w:rPr>
              <w:t>PN-EN 13614</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przyczepności emulsji bitumicznych przez zanurzenie w wodzie – Metoda z kruszywem</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57.</w:t>
            </w:r>
          </w:p>
        </w:tc>
        <w:tc>
          <w:tcPr>
            <w:tcW w:w="1456" w:type="dxa"/>
          </w:tcPr>
          <w:p w:rsidR="0051730D" w:rsidRPr="009040B8" w:rsidRDefault="0051730D" w:rsidP="0051730D">
            <w:pPr>
              <w:rPr>
                <w:rFonts w:ascii="Verdana" w:hAnsi="Verdana" w:cs="Arial"/>
              </w:rPr>
            </w:pPr>
            <w:r w:rsidRPr="009040B8">
              <w:rPr>
                <w:rFonts w:ascii="Verdana" w:hAnsi="Verdana" w:cs="Arial"/>
              </w:rPr>
              <w:t>PN-EN 13703</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Oznaczanie energii deformacji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58.</w:t>
            </w:r>
          </w:p>
        </w:tc>
        <w:tc>
          <w:tcPr>
            <w:tcW w:w="1456" w:type="dxa"/>
          </w:tcPr>
          <w:p w:rsidR="0051730D" w:rsidRPr="009040B8" w:rsidRDefault="0051730D" w:rsidP="0051730D">
            <w:pPr>
              <w:rPr>
                <w:rFonts w:ascii="Verdana" w:hAnsi="Verdana" w:cs="Arial"/>
              </w:rPr>
            </w:pPr>
            <w:r w:rsidRPr="009040B8">
              <w:rPr>
                <w:rFonts w:ascii="Verdana" w:hAnsi="Verdana" w:cs="Arial"/>
              </w:rPr>
              <w:t>PN-EN 13808</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Zasady specyfikacji kationowych emulsji asfaltowych</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59.</w:t>
            </w:r>
          </w:p>
        </w:tc>
        <w:tc>
          <w:tcPr>
            <w:tcW w:w="1456" w:type="dxa"/>
          </w:tcPr>
          <w:p w:rsidR="0051730D" w:rsidRPr="009040B8" w:rsidRDefault="0051730D" w:rsidP="0051730D">
            <w:pPr>
              <w:rPr>
                <w:rFonts w:ascii="Verdana" w:hAnsi="Verdana" w:cs="Arial"/>
              </w:rPr>
            </w:pPr>
            <w:r w:rsidRPr="009040B8">
              <w:rPr>
                <w:rFonts w:ascii="Verdana" w:hAnsi="Verdana" w:cs="Arial"/>
              </w:rPr>
              <w:t>PN-EN 14023</w:t>
            </w:r>
          </w:p>
        </w:tc>
        <w:tc>
          <w:tcPr>
            <w:tcW w:w="7839" w:type="dxa"/>
          </w:tcPr>
          <w:p w:rsidR="0051730D" w:rsidRPr="009040B8" w:rsidRDefault="0051730D" w:rsidP="0051730D">
            <w:pPr>
              <w:rPr>
                <w:rFonts w:ascii="Verdana" w:hAnsi="Verdana" w:cs="Arial"/>
              </w:rPr>
            </w:pPr>
            <w:r w:rsidRPr="009040B8">
              <w:rPr>
                <w:rFonts w:ascii="Verdana" w:hAnsi="Verdana" w:cs="Arial"/>
              </w:rPr>
              <w:t>Asfalty i lepiszcza asfaltowe – Zasady specyfikacji asfaltów modyfikowanych polimerami</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60.</w:t>
            </w:r>
          </w:p>
        </w:tc>
        <w:tc>
          <w:tcPr>
            <w:tcW w:w="1456" w:type="dxa"/>
          </w:tcPr>
          <w:p w:rsidR="0051730D" w:rsidRPr="009040B8" w:rsidRDefault="0051730D" w:rsidP="0051730D">
            <w:pPr>
              <w:rPr>
                <w:rFonts w:ascii="Verdana" w:hAnsi="Verdana" w:cs="Arial"/>
              </w:rPr>
            </w:pPr>
            <w:r w:rsidRPr="009040B8">
              <w:rPr>
                <w:rFonts w:ascii="Verdana" w:hAnsi="Verdana" w:cs="Arial"/>
              </w:rPr>
              <w:t>PN-EN 14188-1</w:t>
            </w:r>
          </w:p>
        </w:tc>
        <w:tc>
          <w:tcPr>
            <w:tcW w:w="7839" w:type="dxa"/>
          </w:tcPr>
          <w:p w:rsidR="0051730D" w:rsidRPr="009040B8" w:rsidRDefault="0051730D" w:rsidP="0051730D">
            <w:pPr>
              <w:rPr>
                <w:rFonts w:ascii="Verdana" w:hAnsi="Verdana" w:cs="Arial"/>
              </w:rPr>
            </w:pPr>
            <w:r w:rsidRPr="009040B8">
              <w:rPr>
                <w:rFonts w:ascii="Verdana" w:hAnsi="Verdana" w:cs="Arial"/>
              </w:rPr>
              <w:t>Wypełniacze złączy i zalewy – Część 1: Specyfikacja zalew na gorąco</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61.</w:t>
            </w:r>
          </w:p>
        </w:tc>
        <w:tc>
          <w:tcPr>
            <w:tcW w:w="1456" w:type="dxa"/>
          </w:tcPr>
          <w:p w:rsidR="0051730D" w:rsidRPr="009040B8" w:rsidRDefault="0051730D" w:rsidP="0051730D">
            <w:pPr>
              <w:rPr>
                <w:rFonts w:ascii="Verdana" w:hAnsi="Verdana" w:cs="Arial"/>
              </w:rPr>
            </w:pPr>
            <w:r w:rsidRPr="009040B8">
              <w:rPr>
                <w:rFonts w:ascii="Verdana" w:hAnsi="Verdana" w:cs="Arial"/>
              </w:rPr>
              <w:t>PN-EN 14188-2</w:t>
            </w:r>
          </w:p>
        </w:tc>
        <w:tc>
          <w:tcPr>
            <w:tcW w:w="7839" w:type="dxa"/>
          </w:tcPr>
          <w:p w:rsidR="0051730D" w:rsidRPr="009040B8" w:rsidRDefault="0051730D" w:rsidP="0051730D">
            <w:pPr>
              <w:rPr>
                <w:rFonts w:ascii="Verdana" w:hAnsi="Verdana" w:cs="Arial"/>
              </w:rPr>
            </w:pPr>
            <w:r w:rsidRPr="009040B8">
              <w:rPr>
                <w:rFonts w:ascii="Verdana" w:hAnsi="Verdana" w:cs="Arial"/>
              </w:rPr>
              <w:t>Wypełniacze złączy i zalewy – Część 2: Specyfikacja zalew na zimno</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62.</w:t>
            </w:r>
          </w:p>
        </w:tc>
        <w:tc>
          <w:tcPr>
            <w:tcW w:w="1456" w:type="dxa"/>
          </w:tcPr>
          <w:p w:rsidR="0051730D" w:rsidRPr="009040B8" w:rsidRDefault="0051730D" w:rsidP="0051730D">
            <w:pPr>
              <w:rPr>
                <w:rFonts w:ascii="Verdana" w:hAnsi="Verdana" w:cs="Arial"/>
              </w:rPr>
            </w:pPr>
            <w:r w:rsidRPr="009040B8">
              <w:rPr>
                <w:rFonts w:ascii="Verdana" w:hAnsi="Verdana" w:cs="Arial"/>
              </w:rPr>
              <w:t>PN-EN 22592</w:t>
            </w:r>
          </w:p>
        </w:tc>
        <w:tc>
          <w:tcPr>
            <w:tcW w:w="7839" w:type="dxa"/>
          </w:tcPr>
          <w:p w:rsidR="0051730D" w:rsidRPr="009040B8" w:rsidRDefault="0051730D" w:rsidP="0051730D">
            <w:pPr>
              <w:rPr>
                <w:rFonts w:ascii="Verdana" w:hAnsi="Verdana" w:cs="Arial"/>
              </w:rPr>
            </w:pPr>
            <w:r w:rsidRPr="009040B8">
              <w:rPr>
                <w:rFonts w:ascii="Verdana" w:hAnsi="Verdana" w:cs="Arial"/>
              </w:rPr>
              <w:t>Przetwory naftowe – Oznaczanie temperatury zapłonu i palenia – Pomiar metodą otwartego tygla Clevelanda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63.</w:t>
            </w:r>
          </w:p>
        </w:tc>
        <w:tc>
          <w:tcPr>
            <w:tcW w:w="1456" w:type="dxa"/>
          </w:tcPr>
          <w:p w:rsidR="0051730D" w:rsidRPr="009040B8" w:rsidRDefault="0051730D" w:rsidP="0051730D">
            <w:pPr>
              <w:rPr>
                <w:rFonts w:ascii="Verdana" w:hAnsi="Verdana" w:cs="Arial"/>
              </w:rPr>
            </w:pPr>
            <w:r w:rsidRPr="009040B8">
              <w:rPr>
                <w:rFonts w:ascii="Verdana" w:hAnsi="Verdana" w:cs="Arial"/>
              </w:rPr>
              <w:t>PN-EN ISO 2592</w:t>
            </w:r>
          </w:p>
        </w:tc>
        <w:tc>
          <w:tcPr>
            <w:tcW w:w="7839" w:type="dxa"/>
          </w:tcPr>
          <w:p w:rsidR="0051730D" w:rsidRPr="009040B8" w:rsidRDefault="0051730D" w:rsidP="0051730D">
            <w:pPr>
              <w:rPr>
                <w:rFonts w:ascii="Verdana" w:hAnsi="Verdana" w:cs="Arial"/>
              </w:rPr>
            </w:pPr>
            <w:r w:rsidRPr="009040B8">
              <w:rPr>
                <w:rFonts w:ascii="Verdana" w:hAnsi="Verdana" w:cs="Arial"/>
              </w:rPr>
              <w:t>Oznaczanie temperatury zapłonu i palenia – Metoda otwartego tygla Clevelanda</w:t>
            </w:r>
          </w:p>
        </w:tc>
      </w:tr>
      <w:tr w:rsidR="0051730D" w:rsidRPr="009040B8" w:rsidTr="0051730D">
        <w:tc>
          <w:tcPr>
            <w:tcW w:w="743" w:type="dxa"/>
          </w:tcPr>
          <w:p w:rsidR="0051730D" w:rsidRPr="009040B8" w:rsidRDefault="0051730D" w:rsidP="0051730D">
            <w:pPr>
              <w:jc w:val="right"/>
              <w:rPr>
                <w:rFonts w:ascii="Verdana" w:hAnsi="Verdana" w:cs="Arial"/>
              </w:rPr>
            </w:pPr>
            <w:r w:rsidRPr="009040B8">
              <w:rPr>
                <w:rFonts w:ascii="Verdana" w:hAnsi="Verdana" w:cs="Arial"/>
              </w:rPr>
              <w:t>63.1.</w:t>
            </w:r>
          </w:p>
        </w:tc>
        <w:tc>
          <w:tcPr>
            <w:tcW w:w="1456" w:type="dxa"/>
          </w:tcPr>
          <w:p w:rsidR="0051730D" w:rsidRPr="009040B8" w:rsidRDefault="0051730D" w:rsidP="0051730D">
            <w:pPr>
              <w:rPr>
                <w:rFonts w:ascii="Verdana" w:hAnsi="Verdana" w:cs="Arial"/>
              </w:rPr>
            </w:pPr>
            <w:r w:rsidRPr="009040B8">
              <w:rPr>
                <w:rFonts w:ascii="Verdana" w:hAnsi="Verdana" w:cs="Arial"/>
              </w:rPr>
              <w:t>PN-EN 13108-21</w:t>
            </w:r>
          </w:p>
        </w:tc>
        <w:tc>
          <w:tcPr>
            <w:tcW w:w="7839" w:type="dxa"/>
          </w:tcPr>
          <w:p w:rsidR="0051730D" w:rsidRPr="009040B8" w:rsidRDefault="0051730D" w:rsidP="0051730D">
            <w:pPr>
              <w:rPr>
                <w:rFonts w:ascii="Verdana" w:hAnsi="Verdana" w:cs="Arial"/>
              </w:rPr>
            </w:pPr>
            <w:r w:rsidRPr="009040B8">
              <w:rPr>
                <w:rFonts w:ascii="Verdana" w:hAnsi="Verdana" w:cs="Arial"/>
              </w:rPr>
              <w:t>Mieszanki mineralno-asfaltowe – Wymagania – Część 21: Zakładowa Kontrola Produkcji</w:t>
            </w:r>
          </w:p>
        </w:tc>
      </w:tr>
      <w:tr w:rsidR="0051730D" w:rsidRPr="009040B8" w:rsidTr="0051730D">
        <w:tc>
          <w:tcPr>
            <w:tcW w:w="743" w:type="dxa"/>
          </w:tcPr>
          <w:p w:rsidR="0051730D" w:rsidRPr="009040B8" w:rsidRDefault="0051730D" w:rsidP="0051730D">
            <w:pPr>
              <w:rPr>
                <w:rFonts w:ascii="Verdana" w:hAnsi="Verdana" w:cs="Arial"/>
              </w:rPr>
            </w:pPr>
          </w:p>
        </w:tc>
        <w:tc>
          <w:tcPr>
            <w:tcW w:w="1456" w:type="dxa"/>
          </w:tcPr>
          <w:p w:rsidR="0051730D" w:rsidRPr="009040B8" w:rsidRDefault="0051730D" w:rsidP="0051730D">
            <w:pPr>
              <w:rPr>
                <w:rFonts w:ascii="Verdana" w:hAnsi="Verdana" w:cs="Arial"/>
              </w:rPr>
            </w:pPr>
          </w:p>
        </w:tc>
        <w:tc>
          <w:tcPr>
            <w:tcW w:w="7839" w:type="dxa"/>
          </w:tcPr>
          <w:p w:rsidR="0051730D" w:rsidRPr="009040B8" w:rsidRDefault="0051730D" w:rsidP="0051730D">
            <w:pPr>
              <w:rPr>
                <w:rFonts w:ascii="Verdana" w:hAnsi="Verdana" w:cs="Arial"/>
              </w:rPr>
            </w:pPr>
          </w:p>
        </w:tc>
      </w:tr>
    </w:tbl>
    <w:p w:rsidR="0051730D" w:rsidRPr="006D2270" w:rsidRDefault="0051730D" w:rsidP="0051730D">
      <w:pPr>
        <w:keepNext/>
        <w:outlineLvl w:val="1"/>
        <w:rPr>
          <w:rFonts w:ascii="Verdana" w:hAnsi="Verdana" w:cs="Arial"/>
          <w:b/>
          <w:bCs/>
          <w:iCs/>
        </w:rPr>
      </w:pPr>
      <w:r w:rsidRPr="006D2270">
        <w:rPr>
          <w:rFonts w:ascii="Verdana" w:hAnsi="Verdana" w:cs="Arial"/>
          <w:b/>
          <w:bCs/>
          <w:iCs/>
        </w:rPr>
        <w:lastRenderedPageBreak/>
        <w:t xml:space="preserve">10.3. Wymagania techniczne </w:t>
      </w:r>
    </w:p>
    <w:p w:rsidR="0051730D" w:rsidRPr="0051730D" w:rsidRDefault="0051730D" w:rsidP="002122BD">
      <w:pPr>
        <w:numPr>
          <w:ilvl w:val="0"/>
          <w:numId w:val="45"/>
        </w:numPr>
        <w:tabs>
          <w:tab w:val="num" w:pos="426"/>
        </w:tabs>
        <w:overflowPunct w:val="0"/>
        <w:autoSpaceDE w:val="0"/>
        <w:autoSpaceDN w:val="0"/>
        <w:adjustRightInd w:val="0"/>
        <w:ind w:left="426" w:hanging="426"/>
        <w:jc w:val="both"/>
        <w:textAlignment w:val="baseline"/>
        <w:rPr>
          <w:sz w:val="22"/>
          <w:szCs w:val="22"/>
        </w:rPr>
      </w:pPr>
      <w:r w:rsidRPr="0051730D">
        <w:rPr>
          <w:sz w:val="22"/>
          <w:szCs w:val="22"/>
        </w:rPr>
        <w:t xml:space="preserve">WT-1 2014 Kruszywa do mieszanek mineralno-asfaltowych i powierzchniowych utrwaleń na drogach krajowych Wymagania Techniczne, </w:t>
      </w:r>
      <w:r w:rsidRPr="0051730D">
        <w:rPr>
          <w:rStyle w:val="FontStyle81"/>
          <w:rFonts w:ascii="Times New Roman" w:hAnsi="Times New Roman" w:cs="Times New Roman"/>
          <w:sz w:val="22"/>
          <w:szCs w:val="22"/>
        </w:rPr>
        <w:t>Załącznik do zarządzenia nr 46 Generalnego Dyrektora Dróg Krajowych i Autostrad z dnia 25.09.2014 r.,</w:t>
      </w:r>
    </w:p>
    <w:p w:rsidR="0051730D" w:rsidRPr="0051730D" w:rsidRDefault="0051730D" w:rsidP="002122BD">
      <w:pPr>
        <w:numPr>
          <w:ilvl w:val="0"/>
          <w:numId w:val="45"/>
        </w:numPr>
        <w:tabs>
          <w:tab w:val="num" w:pos="426"/>
        </w:tabs>
        <w:overflowPunct w:val="0"/>
        <w:autoSpaceDE w:val="0"/>
        <w:autoSpaceDN w:val="0"/>
        <w:adjustRightInd w:val="0"/>
        <w:ind w:left="426" w:hanging="426"/>
        <w:jc w:val="both"/>
        <w:textAlignment w:val="baseline"/>
        <w:rPr>
          <w:sz w:val="22"/>
          <w:szCs w:val="22"/>
        </w:rPr>
      </w:pPr>
      <w:r w:rsidRPr="0051730D">
        <w:rPr>
          <w:sz w:val="22"/>
          <w:szCs w:val="22"/>
        </w:rPr>
        <w:t xml:space="preserve">WT-2 2014-część I Nawierzchnie asfaltowe na drogach krajowych Mieszanki mineralno-asfaltowe Wymagania Techniczne, </w:t>
      </w:r>
      <w:r w:rsidRPr="0051730D">
        <w:rPr>
          <w:rStyle w:val="FontStyle81"/>
          <w:rFonts w:ascii="Times New Roman" w:hAnsi="Times New Roman" w:cs="Times New Roman"/>
          <w:sz w:val="22"/>
          <w:szCs w:val="22"/>
        </w:rPr>
        <w:t>Załącznik do zarządzenia nr 54 Generalnego Dyrektora Dróg Krajowych i Autostrad z dnia 18.11.2014 r.</w:t>
      </w:r>
      <w:r w:rsidRPr="0051730D">
        <w:rPr>
          <w:sz w:val="22"/>
          <w:szCs w:val="22"/>
        </w:rPr>
        <w:t>,</w:t>
      </w:r>
    </w:p>
    <w:p w:rsidR="0051730D" w:rsidRPr="0051414C" w:rsidRDefault="0051730D" w:rsidP="002122BD">
      <w:pPr>
        <w:numPr>
          <w:ilvl w:val="0"/>
          <w:numId w:val="45"/>
        </w:numPr>
        <w:tabs>
          <w:tab w:val="left" w:pos="426"/>
        </w:tabs>
        <w:rPr>
          <w:rFonts w:ascii="Verdana" w:hAnsi="Verdana" w:cs="Arial"/>
        </w:rPr>
      </w:pPr>
      <w:r w:rsidRPr="0051414C">
        <w:rPr>
          <w:rFonts w:ascii="Verdana" w:hAnsi="Verdana" w:cs="Arial"/>
        </w:rPr>
        <w:t>WT-2 2016-część II Nawierzchnie asfaltowe na drogach krajowych Wykonanie warstw nawierzchni asfaltowych Wymagania Techniczne,</w:t>
      </w:r>
      <w:r w:rsidRPr="0051414C">
        <w:rPr>
          <w:rFonts w:ascii="Arial" w:hAnsi="Arial" w:cs="Arial"/>
        </w:rPr>
        <w:t xml:space="preserve"> </w:t>
      </w:r>
      <w:r w:rsidRPr="0051414C">
        <w:rPr>
          <w:rFonts w:ascii="Verdana" w:hAnsi="Verdana" w:cs="Arial"/>
        </w:rPr>
        <w:t>Załącznik do zarządzenia Nr 7 Generalnego Dyrektora Dróg Krajowych i Autostrad z dnia 09.05.2016 r.,</w:t>
      </w:r>
    </w:p>
    <w:p w:rsidR="0051730D" w:rsidRPr="00F82D98" w:rsidRDefault="0051730D" w:rsidP="002122BD">
      <w:pPr>
        <w:numPr>
          <w:ilvl w:val="0"/>
          <w:numId w:val="45"/>
        </w:numPr>
        <w:tabs>
          <w:tab w:val="right" w:pos="709"/>
        </w:tabs>
        <w:spacing w:line="276" w:lineRule="auto"/>
        <w:jc w:val="both"/>
        <w:rPr>
          <w:rFonts w:ascii="Verdana" w:hAnsi="Verdana" w:cs="Arial"/>
        </w:rPr>
      </w:pPr>
      <w:r w:rsidRPr="0051414C">
        <w:rPr>
          <w:rFonts w:ascii="Verdana" w:hAnsi="Verdana" w:cs="Arial"/>
        </w:rPr>
        <w:t xml:space="preserve">Instrukcji DP-T 14 Ocena jakości na drogach krajowych. Część I – Roboty drogowe, załącznik do zarządzenia nr 10 Generalnego Dyrektora Dróg Krajowych i Autostrad </w:t>
      </w:r>
      <w:r>
        <w:rPr>
          <w:rFonts w:ascii="Verdana" w:hAnsi="Verdana" w:cs="Arial"/>
        </w:rPr>
        <w:br/>
      </w:r>
      <w:r w:rsidRPr="0051414C">
        <w:rPr>
          <w:rFonts w:ascii="Verdana" w:hAnsi="Verdana" w:cs="Arial"/>
        </w:rPr>
        <w:t>z dnia 30 marca 2017 r.</w:t>
      </w:r>
    </w:p>
    <w:p w:rsidR="0051730D" w:rsidRDefault="0051730D" w:rsidP="0051730D">
      <w:pPr>
        <w:overflowPunct w:val="0"/>
        <w:autoSpaceDE w:val="0"/>
        <w:autoSpaceDN w:val="0"/>
        <w:adjustRightInd w:val="0"/>
        <w:jc w:val="both"/>
        <w:textAlignment w:val="baseline"/>
        <w:rPr>
          <w:rFonts w:ascii="Verdana" w:hAnsi="Verdana" w:cs="Arial"/>
          <w:b/>
          <w:bCs/>
          <w:iCs/>
        </w:rPr>
      </w:pPr>
    </w:p>
    <w:p w:rsidR="0051730D" w:rsidRPr="00D6645C" w:rsidRDefault="0051730D" w:rsidP="0051730D">
      <w:pPr>
        <w:overflowPunct w:val="0"/>
        <w:autoSpaceDE w:val="0"/>
        <w:autoSpaceDN w:val="0"/>
        <w:adjustRightInd w:val="0"/>
        <w:jc w:val="both"/>
        <w:textAlignment w:val="baseline"/>
        <w:rPr>
          <w:rFonts w:ascii="Verdana" w:hAnsi="Verdana" w:cs="Arial"/>
        </w:rPr>
      </w:pPr>
      <w:r w:rsidRPr="00D6645C">
        <w:rPr>
          <w:rFonts w:ascii="Verdana" w:hAnsi="Verdana" w:cs="Arial"/>
          <w:b/>
          <w:bCs/>
          <w:iCs/>
        </w:rPr>
        <w:t>10.4. Inne dokumenty</w:t>
      </w:r>
    </w:p>
    <w:p w:rsidR="0051730D" w:rsidRPr="006D2270" w:rsidRDefault="0051730D" w:rsidP="002122BD">
      <w:pPr>
        <w:numPr>
          <w:ilvl w:val="0"/>
          <w:numId w:val="45"/>
        </w:numPr>
        <w:overflowPunct w:val="0"/>
        <w:autoSpaceDE w:val="0"/>
        <w:autoSpaceDN w:val="0"/>
        <w:adjustRightInd w:val="0"/>
        <w:jc w:val="both"/>
        <w:textAlignment w:val="baseline"/>
        <w:rPr>
          <w:rFonts w:ascii="Verdana" w:hAnsi="Verdana" w:cs="Arial"/>
        </w:rPr>
      </w:pPr>
      <w:bookmarkStart w:id="340" w:name="_Toc316558765"/>
      <w:r w:rsidRPr="006D2270">
        <w:rPr>
          <w:rFonts w:ascii="Verdana" w:hAnsi="Verdana" w:cs="Arial"/>
        </w:rPr>
        <w:t xml:space="preserve">Rozporządzenie Ministra Transportu i Gospodarki Morskiej z dnia 2 marca 1999 r. </w:t>
      </w:r>
      <w:r>
        <w:rPr>
          <w:rFonts w:ascii="Verdana" w:hAnsi="Verdana" w:cs="Arial"/>
        </w:rPr>
        <w:br/>
      </w:r>
      <w:r w:rsidRPr="006D2270">
        <w:rPr>
          <w:rFonts w:ascii="Verdana" w:hAnsi="Verdana" w:cs="Arial"/>
        </w:rPr>
        <w:t>w sprawie warunków technicznych, jakim powinny odpowiadać drogi publiczne i ich usytuowanie (</w:t>
      </w:r>
      <w:proofErr w:type="spellStart"/>
      <w:r w:rsidRPr="006D2270">
        <w:rPr>
          <w:rFonts w:ascii="Verdana" w:hAnsi="Verdana" w:cs="Arial"/>
        </w:rPr>
        <w:t>Dz.U</w:t>
      </w:r>
      <w:proofErr w:type="spellEnd"/>
      <w:r w:rsidRPr="006D2270">
        <w:rPr>
          <w:rFonts w:ascii="Verdana" w:hAnsi="Verdana" w:cs="Arial"/>
        </w:rPr>
        <w:t>. nr 43, poz. 430</w:t>
      </w:r>
      <w:r>
        <w:rPr>
          <w:rFonts w:ascii="Verdana" w:hAnsi="Verdana" w:cs="Arial"/>
        </w:rPr>
        <w:t xml:space="preserve"> z </w:t>
      </w:r>
      <w:proofErr w:type="spellStart"/>
      <w:r>
        <w:rPr>
          <w:rFonts w:ascii="Verdana" w:hAnsi="Verdana" w:cs="Arial"/>
        </w:rPr>
        <w:t>późn</w:t>
      </w:r>
      <w:proofErr w:type="spellEnd"/>
      <w:r>
        <w:rPr>
          <w:rFonts w:ascii="Verdana" w:hAnsi="Verdana" w:cs="Arial"/>
        </w:rPr>
        <w:t>. zm.</w:t>
      </w:r>
      <w:r w:rsidRPr="006D2270">
        <w:rPr>
          <w:rFonts w:ascii="Verdana" w:hAnsi="Verdana" w:cs="Arial"/>
        </w:rPr>
        <w:t>)</w:t>
      </w:r>
      <w:r>
        <w:rPr>
          <w:rFonts w:ascii="Verdana" w:hAnsi="Verdana" w:cs="Arial"/>
        </w:rPr>
        <w:t>,</w:t>
      </w:r>
    </w:p>
    <w:p w:rsidR="0051730D" w:rsidRDefault="0051730D" w:rsidP="002122BD">
      <w:pPr>
        <w:numPr>
          <w:ilvl w:val="0"/>
          <w:numId w:val="45"/>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Katalog typowych konstrukcji nawierzchni podatnych i półsztywnych. </w:t>
      </w:r>
      <w:r>
        <w:rPr>
          <w:rFonts w:ascii="Verdana" w:hAnsi="Verdana" w:cs="Arial"/>
        </w:rPr>
        <w:t>Politechnika Gdańska – Katedra Inżynierii Drogowej, Gdańsk 2014,</w:t>
      </w:r>
    </w:p>
    <w:p w:rsidR="0051730D" w:rsidRPr="006D2270" w:rsidRDefault="0051730D" w:rsidP="002122BD">
      <w:pPr>
        <w:numPr>
          <w:ilvl w:val="0"/>
          <w:numId w:val="45"/>
        </w:numPr>
        <w:overflowPunct w:val="0"/>
        <w:autoSpaceDE w:val="0"/>
        <w:autoSpaceDN w:val="0"/>
        <w:adjustRightInd w:val="0"/>
        <w:jc w:val="both"/>
        <w:textAlignment w:val="baseline"/>
        <w:rPr>
          <w:rFonts w:ascii="Verdana" w:hAnsi="Verdana" w:cs="Arial"/>
        </w:rPr>
      </w:pPr>
      <w:r>
        <w:rPr>
          <w:rFonts w:ascii="Verdana" w:hAnsi="Verdana" w:cs="Arial"/>
        </w:rPr>
        <w:t xml:space="preserve">Instrukcja laboratoryjnego badania </w:t>
      </w:r>
      <w:proofErr w:type="spellStart"/>
      <w:r>
        <w:rPr>
          <w:rFonts w:ascii="Verdana" w:hAnsi="Verdana" w:cs="Arial"/>
        </w:rPr>
        <w:t>sczepności</w:t>
      </w:r>
      <w:proofErr w:type="spellEnd"/>
      <w:r>
        <w:rPr>
          <w:rFonts w:ascii="Verdana" w:hAnsi="Verdana" w:cs="Arial"/>
        </w:rPr>
        <w:t xml:space="preserve"> </w:t>
      </w:r>
      <w:proofErr w:type="spellStart"/>
      <w:r>
        <w:rPr>
          <w:rFonts w:ascii="Verdana" w:hAnsi="Verdana" w:cs="Arial"/>
        </w:rPr>
        <w:t>międzywarstwowej</w:t>
      </w:r>
      <w:proofErr w:type="spellEnd"/>
      <w:r>
        <w:rPr>
          <w:rFonts w:ascii="Verdana" w:hAnsi="Verdana" w:cs="Arial"/>
        </w:rPr>
        <w:t xml:space="preserve"> warstw asfaltowych wg metody </w:t>
      </w:r>
      <w:proofErr w:type="spellStart"/>
      <w:r>
        <w:rPr>
          <w:rFonts w:ascii="Verdana" w:hAnsi="Verdana" w:cs="Arial"/>
        </w:rPr>
        <w:t>Leutnera</w:t>
      </w:r>
      <w:proofErr w:type="spellEnd"/>
      <w:r>
        <w:rPr>
          <w:rFonts w:ascii="Verdana" w:hAnsi="Verdana" w:cs="Arial"/>
        </w:rPr>
        <w:t xml:space="preserve"> i Wymagania techniczne </w:t>
      </w:r>
      <w:proofErr w:type="spellStart"/>
      <w:r>
        <w:rPr>
          <w:rFonts w:ascii="Verdana" w:hAnsi="Verdana" w:cs="Arial"/>
        </w:rPr>
        <w:t>sczepności</w:t>
      </w:r>
      <w:proofErr w:type="spellEnd"/>
      <w:r>
        <w:rPr>
          <w:rFonts w:ascii="Verdana" w:hAnsi="Verdana" w:cs="Arial"/>
        </w:rPr>
        <w:t>. Politechnika Gdańska, Gdańsk 2014.</w:t>
      </w:r>
    </w:p>
    <w:bookmarkEnd w:id="340"/>
    <w:p w:rsidR="0051730D" w:rsidRPr="00A4041B" w:rsidRDefault="0051730D" w:rsidP="0051730D">
      <w:pPr>
        <w:keepNext/>
        <w:ind w:left="397"/>
        <w:outlineLvl w:val="1"/>
        <w:rPr>
          <w:rFonts w:ascii="Verdana" w:hAnsi="Verdana" w:cs="Arial"/>
          <w:b/>
          <w:bCs/>
          <w:iCs/>
        </w:rPr>
      </w:pPr>
    </w:p>
    <w:p w:rsidR="0051730D" w:rsidRPr="00EE49AA" w:rsidRDefault="0051730D" w:rsidP="0051730D">
      <w:pPr>
        <w:overflowPunct w:val="0"/>
        <w:autoSpaceDE w:val="0"/>
        <w:autoSpaceDN w:val="0"/>
        <w:adjustRightInd w:val="0"/>
        <w:ind w:left="426" w:hanging="426"/>
        <w:jc w:val="both"/>
        <w:textAlignment w:val="baseline"/>
        <w:rPr>
          <w:rFonts w:ascii="Verdana" w:hAnsi="Verdana" w:cs="Arial"/>
        </w:rPr>
      </w:pPr>
    </w:p>
    <w:p w:rsidR="0051730D" w:rsidRDefault="0051730D"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A36FDB" w:rsidRDefault="00A36FDB" w:rsidP="00E52B27"/>
    <w:p w:rsidR="0051730D" w:rsidRDefault="0051730D" w:rsidP="00E52B27"/>
    <w:p w:rsidR="00683496" w:rsidRPr="005068EB" w:rsidRDefault="00683496" w:rsidP="00683496">
      <w:pPr>
        <w:keepNext/>
        <w:widowControl w:val="0"/>
        <w:ind w:left="1701" w:hanging="1701"/>
        <w:outlineLvl w:val="0"/>
        <w:rPr>
          <w:rFonts w:ascii="Verdana" w:hAnsi="Verdana" w:cs="Arial"/>
          <w:b/>
          <w:snapToGrid w:val="0"/>
          <w:sz w:val="22"/>
          <w:szCs w:val="22"/>
        </w:rPr>
      </w:pPr>
      <w:bookmarkStart w:id="341" w:name="_Hlk15765235"/>
      <w:r w:rsidRPr="005068EB">
        <w:rPr>
          <w:rFonts w:ascii="Verdana" w:hAnsi="Verdana" w:cs="Arial"/>
          <w:b/>
          <w:snapToGrid w:val="0"/>
          <w:sz w:val="22"/>
          <w:szCs w:val="22"/>
        </w:rPr>
        <w:lastRenderedPageBreak/>
        <w:t>D-05.03.05B-1 NAWIERZCHNIA Z BETONU ASFALTOWEGO – WARSTWA WIĄŻĄCA AC 16 W KR 3÷4</w:t>
      </w:r>
    </w:p>
    <w:bookmarkEnd w:id="341"/>
    <w:p w:rsidR="00683496" w:rsidRPr="009040B8" w:rsidRDefault="00683496" w:rsidP="00683496">
      <w:pPr>
        <w:keepNext/>
        <w:widowControl w:val="0"/>
        <w:ind w:left="1418" w:hanging="1418"/>
        <w:outlineLvl w:val="0"/>
        <w:rPr>
          <w:rFonts w:ascii="Verdana" w:hAnsi="Verdana" w:cs="Arial"/>
          <w:b/>
          <w:snapToGrid w:val="0"/>
        </w:rPr>
      </w:pPr>
    </w:p>
    <w:p w:rsidR="00683496" w:rsidRPr="009040B8" w:rsidRDefault="00683496" w:rsidP="00683496">
      <w:pPr>
        <w:keepNext/>
        <w:widowControl w:val="0"/>
        <w:spacing w:line="276" w:lineRule="auto"/>
        <w:jc w:val="both"/>
        <w:outlineLvl w:val="0"/>
        <w:rPr>
          <w:rFonts w:ascii="Verdana" w:hAnsi="Verdana" w:cs="Arial"/>
          <w:b/>
          <w:snapToGrid w:val="0"/>
        </w:rPr>
      </w:pPr>
      <w:r w:rsidRPr="009040B8">
        <w:rPr>
          <w:rFonts w:ascii="Verdana" w:hAnsi="Verdana" w:cs="Arial"/>
          <w:b/>
          <w:snapToGrid w:val="0"/>
        </w:rPr>
        <w:t>1. Wstęp</w:t>
      </w: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1.1. Przedmiot SST</w:t>
      </w:r>
    </w:p>
    <w:p w:rsidR="00675564" w:rsidRDefault="00683496" w:rsidP="00683496">
      <w:pPr>
        <w:jc w:val="both"/>
        <w:rPr>
          <w:rFonts w:ascii="Verdana" w:hAnsi="Verdana" w:cs="Arial"/>
        </w:rPr>
      </w:pPr>
      <w:r w:rsidRPr="009040B8">
        <w:rPr>
          <w:rFonts w:ascii="Verdana" w:hAnsi="Verdana" w:cs="Arial"/>
        </w:rPr>
        <w:t>Przedmiotem niniejszej szczegółowej specyfikacji technicznej (SST) są wymagania dotyczące wykonania i odbioru robót związanych z wykonaniem warstwy wiążącej</w:t>
      </w:r>
      <w:r>
        <w:rPr>
          <w:rFonts w:ascii="Verdana" w:hAnsi="Verdana" w:cs="Arial"/>
        </w:rPr>
        <w:t xml:space="preserve"> konstrukcji </w:t>
      </w:r>
      <w:r w:rsidRPr="009040B8">
        <w:rPr>
          <w:rFonts w:ascii="Verdana" w:hAnsi="Verdana" w:cs="Arial"/>
        </w:rPr>
        <w:t xml:space="preserve">nawierzchni z betonu asfaltowego. </w:t>
      </w:r>
    </w:p>
    <w:p w:rsidR="00683496" w:rsidRPr="009040B8" w:rsidRDefault="00683496" w:rsidP="00683496">
      <w:pPr>
        <w:jc w:val="both"/>
        <w:rPr>
          <w:rFonts w:ascii="Verdana" w:hAnsi="Verdana" w:cs="Arial"/>
        </w:rPr>
      </w:pPr>
      <w:r w:rsidRPr="009040B8">
        <w:rPr>
          <w:rFonts w:ascii="Verdana" w:hAnsi="Verdana" w:cs="Arial"/>
        </w:rPr>
        <w:br/>
      </w:r>
      <w:r w:rsidRPr="009040B8">
        <w:rPr>
          <w:rFonts w:ascii="Verdana" w:hAnsi="Verdana" w:cs="Arial"/>
          <w:b/>
          <w:bCs/>
          <w:iCs/>
        </w:rPr>
        <w:t>1.2. Zakres stosowania SST</w:t>
      </w:r>
    </w:p>
    <w:p w:rsidR="00683496" w:rsidRPr="009040B8" w:rsidRDefault="00683496" w:rsidP="00683496">
      <w:pPr>
        <w:jc w:val="both"/>
        <w:rPr>
          <w:rFonts w:ascii="Verdana" w:hAnsi="Verdana" w:cs="Arial"/>
        </w:rPr>
      </w:pPr>
      <w:r w:rsidRPr="009040B8">
        <w:rPr>
          <w:rFonts w:ascii="Verdana" w:hAnsi="Verdana" w:cs="Arial"/>
        </w:rPr>
        <w:t>Szczegółowa specyfikacja techniczna (SST) jest stosowana jako dokument przetargowy i kontraktowy przy zleceniu i realizacji robót</w:t>
      </w:r>
      <w:r w:rsidR="00675564">
        <w:rPr>
          <w:rFonts w:ascii="Verdana" w:hAnsi="Verdana" w:cs="Arial"/>
        </w:rPr>
        <w:t>.</w:t>
      </w:r>
    </w:p>
    <w:p w:rsidR="00683496" w:rsidRPr="009040B8" w:rsidRDefault="00683496" w:rsidP="00683496">
      <w:pPr>
        <w:jc w:val="both"/>
        <w:rPr>
          <w:rFonts w:ascii="Verdana" w:hAnsi="Verdana" w:cs="Arial"/>
          <w:b/>
        </w:rPr>
      </w:pPr>
    </w:p>
    <w:p w:rsidR="00683496" w:rsidRPr="009040B8" w:rsidRDefault="00683496" w:rsidP="00683496">
      <w:pPr>
        <w:jc w:val="both"/>
        <w:rPr>
          <w:rFonts w:ascii="Verdana" w:hAnsi="Verdana" w:cs="Arial"/>
          <w:b/>
        </w:rPr>
      </w:pPr>
      <w:r w:rsidRPr="009040B8">
        <w:rPr>
          <w:rFonts w:ascii="Verdana" w:hAnsi="Verdana" w:cs="Arial"/>
          <w:b/>
        </w:rPr>
        <w:t>1.3. Zakres robót objętych SST</w:t>
      </w:r>
    </w:p>
    <w:p w:rsidR="00683496" w:rsidRPr="009040B8" w:rsidRDefault="00683496" w:rsidP="00683496">
      <w:pPr>
        <w:jc w:val="both"/>
        <w:rPr>
          <w:rFonts w:ascii="Verdana" w:hAnsi="Verdana" w:cs="Arial"/>
        </w:rPr>
      </w:pPr>
      <w:r w:rsidRPr="009040B8">
        <w:rPr>
          <w:rFonts w:ascii="Verdana" w:hAnsi="Verdana" w:cs="Arial"/>
        </w:rPr>
        <w:t>Ustalenia zawarte w niniejszej specyfikacji dotyczą zasad prowadzenia robót związanych z wykonaniem i odbiorem warstwy wiążącej z betonu asfaltowego wg PN-EN 13108-1 [47] i WT-2 Nawierzchnie asfaltowe na drogach krajowych 201</w:t>
      </w:r>
      <w:r>
        <w:rPr>
          <w:rFonts w:ascii="Verdana" w:hAnsi="Verdana" w:cs="Arial"/>
        </w:rPr>
        <w:t>4-część I</w:t>
      </w:r>
      <w:r w:rsidRPr="009040B8">
        <w:rPr>
          <w:rFonts w:ascii="Verdana" w:hAnsi="Verdana" w:cs="Arial"/>
        </w:rPr>
        <w:t xml:space="preserve"> [65] z mieszanki mineralno-asfaltowej dostarczonej od producenta. W przypadku produkcji mieszanki mineralno-asfaltowej przez Wykonawcę dla potrzeb budowy, Wykonawca zobowiązany jest prowadzić Zakładową Kontrolę Produkcji (ZKP) zgodnie z WT-2 [65] punkt 8.4.</w:t>
      </w:r>
      <w:r>
        <w:rPr>
          <w:rFonts w:ascii="Verdana" w:hAnsi="Verdana" w:cs="Arial"/>
        </w:rPr>
        <w:t>2</w:t>
      </w:r>
      <w:r w:rsidRPr="009040B8">
        <w:rPr>
          <w:rFonts w:ascii="Verdana" w:hAnsi="Verdana" w:cs="Arial"/>
        </w:rPr>
        <w:t>.</w:t>
      </w:r>
    </w:p>
    <w:p w:rsidR="00683496" w:rsidRDefault="00683496" w:rsidP="00683496">
      <w:pPr>
        <w:jc w:val="both"/>
        <w:rPr>
          <w:rFonts w:ascii="Verdana" w:hAnsi="Verdana" w:cs="Arial"/>
        </w:rPr>
      </w:pPr>
      <w:r w:rsidRPr="009040B8">
        <w:rPr>
          <w:rFonts w:ascii="Verdana" w:hAnsi="Verdana" w:cs="Arial"/>
        </w:rPr>
        <w:t>Do wykonania nakładek nawierzchni dróg  krajowych o kategorii ruchu KR 3</w:t>
      </w:r>
      <w:r>
        <w:rPr>
          <w:rFonts w:ascii="Verdana" w:hAnsi="Verdana" w:cs="Arial"/>
        </w:rPr>
        <w:t>÷</w:t>
      </w:r>
      <w:r w:rsidRPr="009040B8">
        <w:rPr>
          <w:rFonts w:ascii="Verdana" w:hAnsi="Verdana" w:cs="Arial"/>
        </w:rPr>
        <w:t xml:space="preserve">4 należy stosować warstwę wiążącą </w:t>
      </w:r>
      <w:r>
        <w:rPr>
          <w:rFonts w:ascii="Verdana" w:hAnsi="Verdana" w:cs="Arial"/>
        </w:rPr>
        <w:t xml:space="preserve">z betonu asfaltowego. </w:t>
      </w:r>
      <w:r w:rsidRPr="009040B8">
        <w:rPr>
          <w:rFonts w:ascii="Verdana" w:hAnsi="Verdana" w:cs="Arial"/>
        </w:rPr>
        <w:t>Stosowana mieszanka</w:t>
      </w:r>
      <w:r>
        <w:rPr>
          <w:rFonts w:ascii="Verdana" w:hAnsi="Verdana" w:cs="Arial"/>
        </w:rPr>
        <w:t xml:space="preserve"> </w:t>
      </w:r>
      <w:r w:rsidRPr="009040B8">
        <w:rPr>
          <w:rFonts w:ascii="Verdana" w:hAnsi="Verdana" w:cs="Arial"/>
        </w:rPr>
        <w:t>betonu asfaltowego o wymiarze D podano w tab</w:t>
      </w:r>
      <w:r>
        <w:rPr>
          <w:rFonts w:ascii="Verdana" w:hAnsi="Verdana" w:cs="Arial"/>
        </w:rPr>
        <w:t>eli</w:t>
      </w:r>
      <w:r w:rsidRPr="009040B8">
        <w:rPr>
          <w:rFonts w:ascii="Verdana" w:hAnsi="Verdana" w:cs="Arial"/>
        </w:rPr>
        <w:t xml:space="preserve"> 1.</w:t>
      </w:r>
    </w:p>
    <w:p w:rsidR="00B718AA" w:rsidRDefault="00B718AA" w:rsidP="00683496">
      <w:pPr>
        <w:jc w:val="both"/>
        <w:rPr>
          <w:rFonts w:ascii="Verdana" w:hAnsi="Verdana" w:cs="Arial"/>
        </w:rPr>
      </w:pPr>
    </w:p>
    <w:p w:rsidR="00B718AA" w:rsidRDefault="00B718AA" w:rsidP="00683496">
      <w:pPr>
        <w:jc w:val="both"/>
        <w:rPr>
          <w:rFonts w:ascii="Verdana" w:hAnsi="Verdana" w:cs="Arial"/>
        </w:rPr>
      </w:pPr>
    </w:p>
    <w:p w:rsidR="00B718AA" w:rsidRDefault="00B718AA" w:rsidP="00683496">
      <w:pPr>
        <w:jc w:val="both"/>
        <w:rPr>
          <w:rFonts w:ascii="Verdana" w:hAnsi="Verdana" w:cs="Arial"/>
        </w:rPr>
      </w:pPr>
    </w:p>
    <w:p w:rsidR="00B718AA" w:rsidRDefault="00B718AA" w:rsidP="00683496">
      <w:pPr>
        <w:jc w:val="both"/>
        <w:rPr>
          <w:rFonts w:ascii="Verdana" w:hAnsi="Verdana" w:cs="Arial"/>
        </w:rPr>
      </w:pPr>
    </w:p>
    <w:p w:rsidR="00B718AA" w:rsidRPr="009040B8" w:rsidRDefault="00B718AA" w:rsidP="00683496">
      <w:pPr>
        <w:jc w:val="both"/>
        <w:rPr>
          <w:rFonts w:ascii="Verdana" w:hAnsi="Verdana" w:cs="Arial"/>
        </w:rPr>
      </w:pPr>
    </w:p>
    <w:p w:rsidR="00683496" w:rsidRPr="009040B8" w:rsidRDefault="00683496" w:rsidP="00683496">
      <w:pPr>
        <w:spacing w:before="60" w:after="6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 Stosowana mieszanka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683496" w:rsidRPr="009040B8" w:rsidTr="00683496">
        <w:trPr>
          <w:trHeight w:val="710"/>
        </w:trPr>
        <w:tc>
          <w:tcPr>
            <w:tcW w:w="1276" w:type="dxa"/>
            <w:vAlign w:val="center"/>
          </w:tcPr>
          <w:p w:rsidR="00683496" w:rsidRPr="009040B8" w:rsidRDefault="00683496" w:rsidP="00683496">
            <w:pPr>
              <w:spacing w:before="60"/>
              <w:jc w:val="center"/>
              <w:rPr>
                <w:rFonts w:ascii="Verdana" w:hAnsi="Verdana" w:cs="Arial"/>
              </w:rPr>
            </w:pPr>
            <w:r w:rsidRPr="009040B8">
              <w:rPr>
                <w:rFonts w:ascii="Verdana" w:hAnsi="Verdana" w:cs="Arial"/>
              </w:rPr>
              <w:t>Kategoria</w:t>
            </w:r>
          </w:p>
          <w:p w:rsidR="00683496" w:rsidRPr="009040B8" w:rsidRDefault="00683496" w:rsidP="00683496">
            <w:pPr>
              <w:spacing w:after="60"/>
              <w:jc w:val="center"/>
              <w:rPr>
                <w:rFonts w:ascii="Verdana" w:hAnsi="Verdana" w:cs="Arial"/>
              </w:rPr>
            </w:pPr>
            <w:r w:rsidRPr="009040B8">
              <w:rPr>
                <w:rFonts w:ascii="Verdana" w:hAnsi="Verdana" w:cs="Arial"/>
              </w:rPr>
              <w:t>ruchu</w:t>
            </w:r>
          </w:p>
        </w:tc>
        <w:tc>
          <w:tcPr>
            <w:tcW w:w="6132" w:type="dxa"/>
            <w:vAlign w:val="center"/>
          </w:tcPr>
          <w:p w:rsidR="00683496" w:rsidRPr="009040B8" w:rsidRDefault="00683496" w:rsidP="00683496">
            <w:pPr>
              <w:spacing w:before="60" w:after="60"/>
              <w:jc w:val="center"/>
              <w:rPr>
                <w:rFonts w:ascii="Verdana" w:hAnsi="Verdana" w:cs="Arial"/>
              </w:rPr>
            </w:pPr>
            <w:r w:rsidRPr="009040B8">
              <w:rPr>
                <w:rFonts w:ascii="Verdana" w:hAnsi="Verdana" w:cs="Arial"/>
              </w:rPr>
              <w:t>Mieszanki  o wymiarze D</w:t>
            </w:r>
            <w:r w:rsidRPr="009040B8">
              <w:rPr>
                <w:rFonts w:ascii="Verdana" w:hAnsi="Verdana" w:cs="Arial"/>
                <w:vertAlign w:val="superscript"/>
              </w:rPr>
              <w:t>1)</w:t>
            </w:r>
            <w:r w:rsidRPr="009040B8">
              <w:rPr>
                <w:rFonts w:ascii="Verdana" w:hAnsi="Verdana" w:cs="Arial"/>
              </w:rPr>
              <w:t>,  mm</w:t>
            </w:r>
          </w:p>
        </w:tc>
      </w:tr>
      <w:tr w:rsidR="00683496" w:rsidRPr="009040B8" w:rsidTr="00683496">
        <w:tc>
          <w:tcPr>
            <w:tcW w:w="1276" w:type="dxa"/>
          </w:tcPr>
          <w:p w:rsidR="00683496" w:rsidRPr="009040B8" w:rsidRDefault="00683496" w:rsidP="00683496">
            <w:pPr>
              <w:spacing w:before="60" w:after="6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c>
          <w:tcPr>
            <w:tcW w:w="6132" w:type="dxa"/>
          </w:tcPr>
          <w:p w:rsidR="00683496" w:rsidRPr="009040B8" w:rsidRDefault="00683496" w:rsidP="00683496">
            <w:pPr>
              <w:spacing w:before="60" w:after="60"/>
              <w:jc w:val="center"/>
              <w:rPr>
                <w:rFonts w:ascii="Verdana" w:hAnsi="Verdana" w:cs="Arial"/>
              </w:rPr>
            </w:pPr>
            <w:r w:rsidRPr="009040B8">
              <w:rPr>
                <w:rFonts w:ascii="Verdana" w:hAnsi="Verdana" w:cs="Arial"/>
              </w:rPr>
              <w:t>AC 16</w:t>
            </w:r>
            <w:r>
              <w:rPr>
                <w:rFonts w:ascii="Verdana" w:hAnsi="Verdana" w:cs="Arial"/>
              </w:rPr>
              <w:t xml:space="preserve"> </w:t>
            </w:r>
            <w:r w:rsidRPr="009040B8">
              <w:rPr>
                <w:rFonts w:ascii="Verdana" w:hAnsi="Verdana" w:cs="Arial"/>
              </w:rPr>
              <w:t>W</w:t>
            </w:r>
          </w:p>
        </w:tc>
      </w:tr>
    </w:tbl>
    <w:p w:rsidR="00683496" w:rsidRPr="009040B8" w:rsidRDefault="00683496" w:rsidP="00683496">
      <w:pPr>
        <w:jc w:val="both"/>
        <w:rPr>
          <w:rFonts w:ascii="Verdana" w:hAnsi="Verdana" w:cs="Arial"/>
        </w:rPr>
      </w:pPr>
      <w:r w:rsidRPr="009040B8">
        <w:rPr>
          <w:rFonts w:ascii="Verdana" w:hAnsi="Verdana" w:cs="Arial"/>
          <w:vertAlign w:val="superscript"/>
        </w:rPr>
        <w:t xml:space="preserve">1) </w:t>
      </w:r>
      <w:r w:rsidRPr="009040B8">
        <w:rPr>
          <w:rFonts w:ascii="Verdana" w:hAnsi="Verdana" w:cs="Arial"/>
        </w:rPr>
        <w:t>Podział ze względu na wymiar największego kruszywa w mieszance.</w:t>
      </w:r>
    </w:p>
    <w:p w:rsidR="00683496" w:rsidRPr="009040B8" w:rsidRDefault="00683496" w:rsidP="00683496">
      <w:pPr>
        <w:keepNext/>
        <w:spacing w:before="240"/>
        <w:jc w:val="both"/>
        <w:outlineLvl w:val="1"/>
        <w:rPr>
          <w:rFonts w:ascii="Verdana" w:hAnsi="Verdana" w:cs="Arial"/>
          <w:b/>
          <w:bCs/>
          <w:iCs/>
        </w:rPr>
      </w:pPr>
      <w:r w:rsidRPr="009040B8">
        <w:rPr>
          <w:rFonts w:ascii="Verdana" w:hAnsi="Verdana" w:cs="Arial"/>
          <w:b/>
          <w:bCs/>
          <w:iCs/>
        </w:rPr>
        <w:t>1.4. Określenia podstawowe</w:t>
      </w:r>
    </w:p>
    <w:p w:rsidR="00683496" w:rsidRPr="009040B8" w:rsidRDefault="00683496" w:rsidP="00683496">
      <w:pPr>
        <w:ind w:left="851" w:hanging="851"/>
        <w:jc w:val="both"/>
        <w:rPr>
          <w:rFonts w:ascii="Verdana" w:hAnsi="Verdana" w:cs="Arial"/>
        </w:rPr>
      </w:pPr>
      <w:r w:rsidRPr="009040B8">
        <w:rPr>
          <w:rFonts w:ascii="Verdana" w:hAnsi="Verdana" w:cs="Arial"/>
          <w:b/>
        </w:rPr>
        <w:t xml:space="preserve">1.4.1. </w:t>
      </w:r>
      <w:r>
        <w:rPr>
          <w:rFonts w:ascii="Verdana" w:hAnsi="Verdana" w:cs="Arial"/>
          <w:b/>
        </w:rPr>
        <w:t xml:space="preserve">  </w:t>
      </w:r>
      <w:r w:rsidRPr="009040B8">
        <w:rPr>
          <w:rFonts w:ascii="Verdana" w:hAnsi="Verdana" w:cs="Arial"/>
          <w:u w:val="single"/>
        </w:rPr>
        <w:t>Nawierzchnia</w:t>
      </w:r>
      <w:r w:rsidRPr="009040B8">
        <w:rPr>
          <w:rFonts w:ascii="Verdana" w:hAnsi="Verdana" w:cs="Arial"/>
        </w:rPr>
        <w:t xml:space="preserve"> – konstrukcja składająca się z jednej lub kilku warstw służących do </w:t>
      </w:r>
      <w:r>
        <w:rPr>
          <w:rFonts w:ascii="Verdana" w:hAnsi="Verdana" w:cs="Arial"/>
        </w:rPr>
        <w:t xml:space="preserve"> </w:t>
      </w:r>
      <w:r w:rsidRPr="009040B8">
        <w:rPr>
          <w:rFonts w:ascii="Verdana" w:hAnsi="Verdana" w:cs="Arial"/>
        </w:rPr>
        <w:t>przejmowania i rozkładania obciążeń od ruchu pojazdów na podłoże.</w:t>
      </w:r>
      <w:r w:rsidRPr="009040B8">
        <w:rPr>
          <w:rFonts w:ascii="Verdana" w:hAnsi="Verdana" w:cs="Arial"/>
          <w:b/>
        </w:rPr>
        <w:t xml:space="preserve"> </w:t>
      </w:r>
    </w:p>
    <w:p w:rsidR="00683496" w:rsidRPr="009040B8" w:rsidRDefault="00683496" w:rsidP="00683496">
      <w:pPr>
        <w:ind w:left="851" w:hanging="851"/>
        <w:jc w:val="both"/>
        <w:rPr>
          <w:rFonts w:ascii="Verdana" w:hAnsi="Verdana" w:cs="Arial"/>
        </w:rPr>
      </w:pPr>
      <w:r w:rsidRPr="009040B8">
        <w:rPr>
          <w:rFonts w:ascii="Verdana" w:hAnsi="Verdana" w:cs="Arial"/>
          <w:b/>
        </w:rPr>
        <w:t>1.4.2.</w:t>
      </w:r>
      <w:r>
        <w:rPr>
          <w:rFonts w:ascii="Verdana" w:hAnsi="Verdana" w:cs="Arial"/>
          <w:b/>
        </w:rPr>
        <w:t xml:space="preserve"> </w:t>
      </w:r>
      <w:r w:rsidRPr="009040B8">
        <w:rPr>
          <w:rFonts w:ascii="Verdana" w:hAnsi="Verdana" w:cs="Arial"/>
          <w:u w:val="single"/>
        </w:rPr>
        <w:t>Warstwa wiążąca</w:t>
      </w:r>
      <w:r w:rsidRPr="009040B8">
        <w:rPr>
          <w:rFonts w:ascii="Verdana" w:hAnsi="Verdana" w:cs="Arial"/>
        </w:rPr>
        <w:t xml:space="preserve"> – warstwa nawierzchni między warstwą ścieralną a wyrównawczą i/lub podbudową.</w:t>
      </w:r>
    </w:p>
    <w:p w:rsidR="00683496" w:rsidRPr="009040B8" w:rsidRDefault="00683496" w:rsidP="00683496">
      <w:pPr>
        <w:ind w:left="709" w:hanging="709"/>
        <w:jc w:val="both"/>
        <w:rPr>
          <w:rFonts w:ascii="Verdana" w:hAnsi="Verdana" w:cs="Arial"/>
        </w:rPr>
      </w:pPr>
      <w:r w:rsidRPr="009040B8">
        <w:rPr>
          <w:rFonts w:ascii="Verdana" w:hAnsi="Verdana" w:cs="Arial"/>
          <w:b/>
        </w:rPr>
        <w:t xml:space="preserve">1.4.3.   </w:t>
      </w:r>
      <w:r w:rsidRPr="009040B8">
        <w:rPr>
          <w:rFonts w:ascii="Verdana" w:hAnsi="Verdana" w:cs="Arial"/>
          <w:u w:val="single"/>
        </w:rPr>
        <w:t>Mieszanka mineralno-asfaltowa</w:t>
      </w:r>
      <w:r w:rsidRPr="009040B8">
        <w:rPr>
          <w:rFonts w:ascii="Verdana" w:hAnsi="Verdana" w:cs="Arial"/>
        </w:rPr>
        <w:t xml:space="preserve"> – mieszanka kruszyw i lepiszcza asfaltowego.</w:t>
      </w:r>
    </w:p>
    <w:p w:rsidR="00683496" w:rsidRPr="009040B8" w:rsidRDefault="00683496" w:rsidP="00683496">
      <w:pPr>
        <w:ind w:left="851" w:hanging="851"/>
        <w:jc w:val="both"/>
        <w:rPr>
          <w:rFonts w:ascii="Verdana" w:hAnsi="Verdana" w:cs="Arial"/>
        </w:rPr>
      </w:pPr>
      <w:r w:rsidRPr="009040B8">
        <w:rPr>
          <w:rFonts w:ascii="Verdana" w:hAnsi="Verdana" w:cs="Arial"/>
          <w:b/>
        </w:rPr>
        <w:t xml:space="preserve">1.4.4. </w:t>
      </w:r>
      <w:r w:rsidRPr="009040B8">
        <w:rPr>
          <w:rFonts w:ascii="Verdana" w:hAnsi="Verdana" w:cs="Arial"/>
          <w:u w:val="single"/>
        </w:rPr>
        <w:t>Wymiar mieszanki mineralno-asfaltowej</w:t>
      </w:r>
      <w:r w:rsidRPr="009040B8">
        <w:rPr>
          <w:rFonts w:ascii="Verdana" w:hAnsi="Verdana" w:cs="Arial"/>
        </w:rPr>
        <w:t xml:space="preserve"> – określenie mieszanki mineralno-asfaltowej, wyróżniające tę mieszankę ze zbioru mieszanek tego samego typu ze względu na największy wymiar kruszywa, np. wymiar 1</w:t>
      </w:r>
      <w:r>
        <w:rPr>
          <w:rFonts w:ascii="Verdana" w:hAnsi="Verdana" w:cs="Arial"/>
        </w:rPr>
        <w:t>6</w:t>
      </w:r>
      <w:r w:rsidRPr="009040B8">
        <w:rPr>
          <w:rFonts w:ascii="Verdana" w:hAnsi="Verdana" w:cs="Arial"/>
        </w:rPr>
        <w:t xml:space="preserve"> lub </w:t>
      </w:r>
      <w:r>
        <w:rPr>
          <w:rFonts w:ascii="Verdana" w:hAnsi="Verdana" w:cs="Arial"/>
        </w:rPr>
        <w:t>22</w:t>
      </w:r>
      <w:r w:rsidRPr="009040B8">
        <w:rPr>
          <w:rFonts w:ascii="Verdana" w:hAnsi="Verdana" w:cs="Arial"/>
        </w:rPr>
        <w:t>.</w:t>
      </w:r>
    </w:p>
    <w:p w:rsidR="00683496" w:rsidRPr="009040B8" w:rsidRDefault="00683496" w:rsidP="00683496">
      <w:pPr>
        <w:ind w:left="851" w:hanging="851"/>
        <w:jc w:val="both"/>
        <w:rPr>
          <w:rFonts w:ascii="Verdana" w:hAnsi="Verdana" w:cs="Arial"/>
        </w:rPr>
      </w:pPr>
      <w:r w:rsidRPr="009040B8">
        <w:rPr>
          <w:rFonts w:ascii="Verdana" w:hAnsi="Verdana" w:cs="Arial"/>
          <w:b/>
        </w:rPr>
        <w:t>1.4.5.</w:t>
      </w:r>
      <w:r>
        <w:rPr>
          <w:rFonts w:ascii="Verdana" w:hAnsi="Verdana" w:cs="Arial"/>
          <w:b/>
        </w:rPr>
        <w:t xml:space="preserve"> </w:t>
      </w:r>
      <w:r w:rsidRPr="009040B8">
        <w:rPr>
          <w:rFonts w:ascii="Verdana" w:hAnsi="Verdana" w:cs="Arial"/>
          <w:u w:val="single"/>
        </w:rPr>
        <w:t>Beton asfaltowy</w:t>
      </w:r>
      <w:r w:rsidRPr="009040B8">
        <w:rPr>
          <w:rFonts w:ascii="Verdana" w:hAnsi="Verdana" w:cs="Arial"/>
        </w:rPr>
        <w:t xml:space="preserve"> – mieszanka mineralno-asfaltowa, w której kruszywo o uziarnieniu ciągłym lub nieciągłym tworzy strukturę wzajemnie klinującą się.</w:t>
      </w:r>
    </w:p>
    <w:p w:rsidR="00683496" w:rsidRPr="009040B8" w:rsidRDefault="00683496" w:rsidP="00683496">
      <w:pPr>
        <w:ind w:left="851" w:hanging="851"/>
        <w:jc w:val="both"/>
        <w:rPr>
          <w:rFonts w:ascii="Verdana" w:hAnsi="Verdana" w:cs="Arial"/>
        </w:rPr>
      </w:pPr>
      <w:r w:rsidRPr="009040B8">
        <w:rPr>
          <w:rFonts w:ascii="Verdana" w:hAnsi="Verdana" w:cs="Arial"/>
          <w:b/>
        </w:rPr>
        <w:t xml:space="preserve">1.4.6. </w:t>
      </w:r>
      <w:r>
        <w:rPr>
          <w:rFonts w:ascii="Verdana" w:hAnsi="Verdana" w:cs="Arial"/>
          <w:b/>
        </w:rPr>
        <w:t xml:space="preserve"> </w:t>
      </w:r>
      <w:r w:rsidRPr="009040B8">
        <w:rPr>
          <w:rFonts w:ascii="Verdana" w:hAnsi="Verdana" w:cs="Arial"/>
          <w:u w:val="single"/>
        </w:rPr>
        <w:t>Uziarnienie</w:t>
      </w:r>
      <w:r w:rsidRPr="009040B8">
        <w:rPr>
          <w:rFonts w:ascii="Verdana" w:hAnsi="Verdana" w:cs="Arial"/>
        </w:rPr>
        <w:t xml:space="preserve"> – skład ziarnowy kruszywa, wyrażony w procentach masy ziaren przechodzących przez określony zestaw sit.</w:t>
      </w:r>
    </w:p>
    <w:p w:rsidR="00683496" w:rsidRPr="006D2270" w:rsidRDefault="00683496" w:rsidP="00683496">
      <w:pPr>
        <w:ind w:left="709" w:hanging="709"/>
        <w:jc w:val="both"/>
        <w:rPr>
          <w:rFonts w:ascii="Verdana" w:hAnsi="Verdana" w:cs="Arial"/>
        </w:rPr>
      </w:pPr>
      <w:r w:rsidRPr="009040B8">
        <w:rPr>
          <w:rFonts w:ascii="Verdana" w:hAnsi="Verdana" w:cs="Arial"/>
          <w:b/>
        </w:rPr>
        <w:t xml:space="preserve">1.4.7. </w:t>
      </w:r>
      <w:r>
        <w:rPr>
          <w:rFonts w:ascii="Verdana" w:hAnsi="Verdana" w:cs="Arial"/>
          <w:b/>
        </w:rPr>
        <w:t xml:space="preserve"> </w:t>
      </w:r>
      <w:r w:rsidRPr="009040B8">
        <w:rPr>
          <w:rFonts w:ascii="Verdana" w:hAnsi="Verdana" w:cs="Arial"/>
          <w:u w:val="single"/>
        </w:rPr>
        <w:t>Kategoria ruchu</w:t>
      </w:r>
      <w:r w:rsidRPr="009040B8">
        <w:rPr>
          <w:rFonts w:ascii="Verdana" w:hAnsi="Verdana" w:cs="Arial"/>
        </w:rPr>
        <w:t xml:space="preserve"> – </w:t>
      </w:r>
      <w:r w:rsidRPr="006D2270">
        <w:rPr>
          <w:rFonts w:ascii="Verdana" w:hAnsi="Verdana" w:cs="Arial"/>
        </w:rPr>
        <w:t xml:space="preserve">obciążenie drogi ruchem samochodowym, wyrażone w osiach obliczeniowych (100 </w:t>
      </w:r>
      <w:proofErr w:type="spellStart"/>
      <w:r w:rsidRPr="006D2270">
        <w:rPr>
          <w:rFonts w:ascii="Verdana" w:hAnsi="Verdana" w:cs="Arial"/>
        </w:rPr>
        <w:t>kN</w:t>
      </w:r>
      <w:proofErr w:type="spellEnd"/>
      <w:r w:rsidRPr="006D2270">
        <w:rPr>
          <w:rFonts w:ascii="Verdana" w:hAnsi="Verdana" w:cs="Arial"/>
        </w:rPr>
        <w:t>) wg „Katalogu typowych konstrukcji nawier</w:t>
      </w:r>
      <w:r>
        <w:rPr>
          <w:rFonts w:ascii="Verdana" w:hAnsi="Verdana" w:cs="Arial"/>
        </w:rPr>
        <w:t xml:space="preserve">zchni podatnych i półsztywnych”, Politechnika Gdańska, Gdańsk 2014 </w:t>
      </w:r>
      <w:r w:rsidRPr="006D2270">
        <w:rPr>
          <w:rFonts w:ascii="Verdana" w:hAnsi="Verdana" w:cs="Arial"/>
        </w:rPr>
        <w:t>[6</w:t>
      </w:r>
      <w:r>
        <w:rPr>
          <w:rFonts w:ascii="Verdana" w:hAnsi="Verdana" w:cs="Arial"/>
        </w:rPr>
        <w:t>8</w:t>
      </w:r>
      <w:r w:rsidRPr="006D2270">
        <w:rPr>
          <w:rFonts w:ascii="Verdana" w:hAnsi="Verdana" w:cs="Arial"/>
        </w:rPr>
        <w:t>].</w:t>
      </w:r>
    </w:p>
    <w:p w:rsidR="00683496" w:rsidRPr="009040B8" w:rsidRDefault="00683496" w:rsidP="00683496">
      <w:pPr>
        <w:ind w:left="851" w:hanging="851"/>
        <w:jc w:val="both"/>
        <w:rPr>
          <w:rFonts w:ascii="Verdana" w:hAnsi="Verdana" w:cs="Arial"/>
        </w:rPr>
      </w:pPr>
      <w:r w:rsidRPr="009040B8">
        <w:rPr>
          <w:rFonts w:ascii="Verdana" w:hAnsi="Verdana" w:cs="Arial"/>
          <w:b/>
        </w:rPr>
        <w:t xml:space="preserve">1.4.8. </w:t>
      </w:r>
      <w:r>
        <w:rPr>
          <w:rFonts w:ascii="Verdana" w:hAnsi="Verdana" w:cs="Arial"/>
          <w:b/>
        </w:rPr>
        <w:t xml:space="preserve"> </w:t>
      </w:r>
      <w:r w:rsidRPr="009040B8">
        <w:rPr>
          <w:rFonts w:ascii="Verdana" w:hAnsi="Verdana" w:cs="Arial"/>
          <w:u w:val="single"/>
        </w:rPr>
        <w:t>Wymiar kruszywa</w:t>
      </w:r>
      <w:r w:rsidRPr="009040B8">
        <w:rPr>
          <w:rFonts w:ascii="Verdana" w:hAnsi="Verdana" w:cs="Arial"/>
        </w:rPr>
        <w:t xml:space="preserve"> – wielkość ziaren kruszywa, określona przez dolny (d) i górny (D) wymiar sita.</w:t>
      </w:r>
    </w:p>
    <w:p w:rsidR="00683496" w:rsidRPr="009040B8" w:rsidRDefault="00683496" w:rsidP="00683496">
      <w:pPr>
        <w:ind w:left="709" w:hanging="709"/>
        <w:jc w:val="both"/>
        <w:rPr>
          <w:rFonts w:ascii="Verdana" w:hAnsi="Verdana" w:cs="Arial"/>
        </w:rPr>
      </w:pPr>
      <w:r w:rsidRPr="009040B8">
        <w:rPr>
          <w:rFonts w:ascii="Verdana" w:hAnsi="Verdana" w:cs="Arial"/>
          <w:b/>
        </w:rPr>
        <w:t xml:space="preserve">1.4.9. </w:t>
      </w:r>
      <w:r>
        <w:rPr>
          <w:rFonts w:ascii="Verdana" w:hAnsi="Verdana" w:cs="Arial"/>
          <w:b/>
        </w:rPr>
        <w:t xml:space="preserve">  </w:t>
      </w:r>
      <w:r w:rsidRPr="009040B8">
        <w:rPr>
          <w:rFonts w:ascii="Verdana" w:hAnsi="Verdana" w:cs="Arial"/>
          <w:u w:val="single"/>
        </w:rPr>
        <w:t>Kruszywo grube</w:t>
      </w:r>
      <w:r w:rsidRPr="009040B8">
        <w:rPr>
          <w:rFonts w:ascii="Verdana" w:hAnsi="Verdana" w:cs="Arial"/>
        </w:rPr>
        <w:t xml:space="preserve"> – kruszywo z ziaren o wymiarze: D ≤ 45 mm oraz d </w:t>
      </w:r>
      <w:r w:rsidRPr="008C4DC2">
        <w:rPr>
          <w:rFonts w:ascii="Verdana" w:hAnsi="Verdana" w:cs="Arial"/>
        </w:rPr>
        <w:t>≥</w:t>
      </w:r>
      <w:r w:rsidRPr="009040B8">
        <w:rPr>
          <w:rFonts w:ascii="Verdana" w:hAnsi="Verdana" w:cs="Arial"/>
        </w:rPr>
        <w:t xml:space="preserve"> 2 mm.</w:t>
      </w:r>
    </w:p>
    <w:p w:rsidR="00683496" w:rsidRPr="009040B8" w:rsidRDefault="00683496" w:rsidP="00683496">
      <w:pPr>
        <w:ind w:left="851" w:hanging="851"/>
        <w:jc w:val="both"/>
        <w:rPr>
          <w:rFonts w:ascii="Verdana" w:hAnsi="Verdana" w:cs="Arial"/>
        </w:rPr>
      </w:pPr>
      <w:r w:rsidRPr="009040B8">
        <w:rPr>
          <w:rFonts w:ascii="Verdana" w:hAnsi="Verdana" w:cs="Arial"/>
          <w:b/>
        </w:rPr>
        <w:t>1.4.10.</w:t>
      </w:r>
      <w:r>
        <w:rPr>
          <w:rFonts w:ascii="Verdana" w:hAnsi="Verdana" w:cs="Arial"/>
          <w:b/>
        </w:rPr>
        <w:t xml:space="preserve"> </w:t>
      </w:r>
      <w:r w:rsidRPr="009040B8">
        <w:rPr>
          <w:rFonts w:ascii="Verdana" w:hAnsi="Verdana" w:cs="Arial"/>
          <w:u w:val="single"/>
        </w:rPr>
        <w:t>Kruszywo drobne</w:t>
      </w:r>
      <w:r w:rsidRPr="009040B8">
        <w:rPr>
          <w:rFonts w:ascii="Verdana" w:hAnsi="Verdana" w:cs="Arial"/>
        </w:rPr>
        <w:t xml:space="preserve"> – kruszywo z ziaren o wymiarze: D ≤ 2 mm, którego większa część pozostaje na sicie 0,063 mm.</w:t>
      </w:r>
    </w:p>
    <w:p w:rsidR="00683496" w:rsidRPr="009040B8" w:rsidRDefault="00683496" w:rsidP="00683496">
      <w:pPr>
        <w:ind w:left="709" w:hanging="709"/>
        <w:jc w:val="both"/>
        <w:rPr>
          <w:rFonts w:ascii="Verdana" w:hAnsi="Verdana" w:cs="Arial"/>
        </w:rPr>
      </w:pPr>
      <w:r w:rsidRPr="009040B8">
        <w:rPr>
          <w:rFonts w:ascii="Verdana" w:hAnsi="Verdana" w:cs="Arial"/>
          <w:b/>
        </w:rPr>
        <w:lastRenderedPageBreak/>
        <w:t xml:space="preserve">1.4.11. </w:t>
      </w:r>
      <w:r w:rsidRPr="009040B8">
        <w:rPr>
          <w:rFonts w:ascii="Verdana" w:hAnsi="Verdana" w:cs="Arial"/>
          <w:u w:val="single"/>
        </w:rPr>
        <w:t>Pył</w:t>
      </w:r>
      <w:r>
        <w:rPr>
          <w:rFonts w:ascii="Verdana" w:hAnsi="Verdana" w:cs="Arial"/>
          <w:u w:val="single"/>
        </w:rPr>
        <w:t>y</w:t>
      </w:r>
      <w:r w:rsidRPr="009040B8">
        <w:rPr>
          <w:rFonts w:ascii="Verdana" w:hAnsi="Verdana" w:cs="Arial"/>
        </w:rPr>
        <w:t xml:space="preserve"> – kruszywo z ziaren przechodzących przez sito 0,063 mm.</w:t>
      </w:r>
    </w:p>
    <w:p w:rsidR="00683496" w:rsidRPr="009040B8" w:rsidRDefault="00683496" w:rsidP="00683496">
      <w:pPr>
        <w:ind w:left="851" w:hanging="851"/>
        <w:jc w:val="both"/>
        <w:rPr>
          <w:rFonts w:ascii="Verdana" w:hAnsi="Verdana" w:cs="Arial"/>
        </w:rPr>
      </w:pPr>
      <w:r w:rsidRPr="009040B8">
        <w:rPr>
          <w:rFonts w:ascii="Verdana" w:hAnsi="Verdana" w:cs="Arial"/>
          <w:b/>
        </w:rPr>
        <w:t xml:space="preserve">1.4.12. </w:t>
      </w:r>
      <w:r w:rsidRPr="009040B8">
        <w:rPr>
          <w:rFonts w:ascii="Verdana" w:hAnsi="Verdana" w:cs="Arial"/>
          <w:u w:val="single"/>
        </w:rPr>
        <w:t>Wypełniacz</w:t>
      </w:r>
      <w:r w:rsidRPr="009040B8">
        <w:rPr>
          <w:rFonts w:ascii="Verdana" w:hAnsi="Verdana" w:cs="Arial"/>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683496" w:rsidRPr="009040B8" w:rsidRDefault="00683496" w:rsidP="00683496">
      <w:pPr>
        <w:ind w:left="851" w:hanging="851"/>
        <w:jc w:val="both"/>
        <w:rPr>
          <w:rFonts w:ascii="Verdana" w:hAnsi="Verdana" w:cs="Arial"/>
        </w:rPr>
      </w:pPr>
      <w:r w:rsidRPr="009040B8">
        <w:rPr>
          <w:rFonts w:ascii="Verdana" w:hAnsi="Verdana" w:cs="Arial"/>
          <w:b/>
        </w:rPr>
        <w:t xml:space="preserve">1.4.13. </w:t>
      </w:r>
      <w:r w:rsidRPr="009040B8">
        <w:rPr>
          <w:rFonts w:ascii="Verdana" w:hAnsi="Verdana" w:cs="Arial"/>
          <w:u w:val="single"/>
        </w:rPr>
        <w:t>Kationowa emulsja asfaltowa</w:t>
      </w:r>
      <w:r w:rsidRPr="009040B8">
        <w:rPr>
          <w:rFonts w:ascii="Verdana" w:hAnsi="Verdana" w:cs="Arial"/>
        </w:rPr>
        <w:t xml:space="preserve"> – emulsja, w której emulgator nadaje dodatnie ładunki cząstkom zdyspergowanego asfaltu.</w:t>
      </w:r>
    </w:p>
    <w:p w:rsidR="00683496" w:rsidRPr="009040B8" w:rsidRDefault="00683496" w:rsidP="00683496">
      <w:pPr>
        <w:ind w:left="851" w:hanging="851"/>
        <w:jc w:val="both"/>
        <w:rPr>
          <w:rFonts w:ascii="Verdana" w:hAnsi="Verdana" w:cs="Arial"/>
        </w:rPr>
      </w:pPr>
      <w:r w:rsidRPr="009040B8">
        <w:rPr>
          <w:rFonts w:ascii="Verdana" w:hAnsi="Verdana" w:cs="Arial"/>
          <w:b/>
        </w:rPr>
        <w:t>1.4.14.</w:t>
      </w:r>
      <w:r>
        <w:rPr>
          <w:rFonts w:ascii="Verdana" w:hAnsi="Verdana" w:cs="Arial"/>
          <w:b/>
        </w:rPr>
        <w:t xml:space="preserve"> </w:t>
      </w:r>
      <w:r w:rsidRPr="009040B8">
        <w:rPr>
          <w:rFonts w:ascii="Verdana" w:hAnsi="Verdana" w:cs="Arial"/>
        </w:rPr>
        <w:t xml:space="preserve">Pozostałe określenia podstawowe są zgodne z obowiązującymi, odpowiednimi polskimi normami i z definicjami podanymi w </w:t>
      </w:r>
      <w:r>
        <w:rPr>
          <w:rFonts w:ascii="Verdana" w:hAnsi="Verdana" w:cs="Arial"/>
        </w:rPr>
        <w:t>S</w:t>
      </w:r>
      <w:r w:rsidRPr="009040B8">
        <w:rPr>
          <w:rFonts w:ascii="Verdana" w:hAnsi="Verdana" w:cs="Arial"/>
        </w:rPr>
        <w:t>ST D-M-00.00.00 „Wymagania ogólne” pkt 1.4.</w:t>
      </w:r>
    </w:p>
    <w:p w:rsidR="00683496" w:rsidRPr="009040B8" w:rsidRDefault="00683496" w:rsidP="00683496">
      <w:pPr>
        <w:ind w:left="709" w:hanging="709"/>
        <w:jc w:val="both"/>
        <w:rPr>
          <w:rFonts w:ascii="Verdana" w:hAnsi="Verdana" w:cs="Arial"/>
        </w:rPr>
      </w:pPr>
      <w:r w:rsidRPr="009040B8">
        <w:rPr>
          <w:rFonts w:ascii="Verdana" w:hAnsi="Verdana" w:cs="Arial"/>
          <w:b/>
        </w:rPr>
        <w:t xml:space="preserve">1.4.15.  </w:t>
      </w:r>
      <w:r w:rsidRPr="009040B8">
        <w:rPr>
          <w:rFonts w:ascii="Verdana" w:hAnsi="Verdana" w:cs="Arial"/>
        </w:rPr>
        <w:t>Symbole i skróty dodatkowe</w:t>
      </w:r>
    </w:p>
    <w:tbl>
      <w:tblPr>
        <w:tblW w:w="0" w:type="auto"/>
        <w:tblLook w:val="04A0" w:firstRow="1" w:lastRow="0" w:firstColumn="1" w:lastColumn="0" w:noHBand="0" w:noVBand="1"/>
      </w:tblPr>
      <w:tblGrid>
        <w:gridCol w:w="817"/>
        <w:gridCol w:w="6694"/>
      </w:tblGrid>
      <w:tr w:rsidR="00683496" w:rsidRPr="009040B8" w:rsidTr="00683496">
        <w:tc>
          <w:tcPr>
            <w:tcW w:w="817" w:type="dxa"/>
          </w:tcPr>
          <w:p w:rsidR="00683496" w:rsidRPr="009040B8" w:rsidRDefault="00683496" w:rsidP="00683496">
            <w:pPr>
              <w:tabs>
                <w:tab w:val="left" w:pos="601"/>
              </w:tabs>
              <w:jc w:val="both"/>
              <w:rPr>
                <w:rFonts w:ascii="Verdana" w:hAnsi="Verdana" w:cs="Arial"/>
              </w:rPr>
            </w:pPr>
            <w:r w:rsidRPr="009040B8">
              <w:rPr>
                <w:rFonts w:ascii="Verdana" w:hAnsi="Verdana" w:cs="Arial"/>
              </w:rPr>
              <w:t>AC W</w:t>
            </w:r>
          </w:p>
        </w:tc>
        <w:tc>
          <w:tcPr>
            <w:tcW w:w="6694" w:type="dxa"/>
          </w:tcPr>
          <w:p w:rsidR="00683496" w:rsidRPr="009040B8" w:rsidRDefault="00683496" w:rsidP="00683496">
            <w:pPr>
              <w:tabs>
                <w:tab w:val="left" w:pos="601"/>
              </w:tabs>
              <w:jc w:val="both"/>
              <w:rPr>
                <w:rFonts w:ascii="Verdana" w:hAnsi="Verdana" w:cs="Arial"/>
              </w:rPr>
            </w:pPr>
            <w:r w:rsidRPr="009040B8">
              <w:rPr>
                <w:rFonts w:ascii="Verdana" w:hAnsi="Verdana" w:cs="Arial"/>
              </w:rPr>
              <w:t>- beton asfaltowy do warstwy w</w:t>
            </w:r>
            <w:r>
              <w:rPr>
                <w:rFonts w:ascii="Verdana" w:hAnsi="Verdana" w:cs="Arial"/>
              </w:rPr>
              <w:t>iążącej</w:t>
            </w:r>
          </w:p>
        </w:tc>
      </w:tr>
      <w:tr w:rsidR="00683496" w:rsidRPr="009040B8" w:rsidTr="00683496">
        <w:tc>
          <w:tcPr>
            <w:tcW w:w="817" w:type="dxa"/>
          </w:tcPr>
          <w:p w:rsidR="00683496" w:rsidRPr="009040B8" w:rsidRDefault="00683496" w:rsidP="00683496">
            <w:pPr>
              <w:tabs>
                <w:tab w:val="left" w:pos="601"/>
              </w:tabs>
              <w:jc w:val="both"/>
              <w:rPr>
                <w:rFonts w:ascii="Verdana" w:hAnsi="Verdana" w:cs="Arial"/>
              </w:rPr>
            </w:pPr>
            <w:r w:rsidRPr="009040B8">
              <w:rPr>
                <w:rFonts w:ascii="Verdana" w:hAnsi="Verdana" w:cs="Arial"/>
              </w:rPr>
              <w:t>PMB</w:t>
            </w:r>
          </w:p>
        </w:tc>
        <w:tc>
          <w:tcPr>
            <w:tcW w:w="6694" w:type="dxa"/>
          </w:tcPr>
          <w:p w:rsidR="00683496" w:rsidRPr="009040B8" w:rsidRDefault="00683496" w:rsidP="00683496">
            <w:pPr>
              <w:tabs>
                <w:tab w:val="left" w:pos="601"/>
              </w:tabs>
              <w:jc w:val="both"/>
              <w:rPr>
                <w:rFonts w:ascii="Verdana" w:hAnsi="Verdana" w:cs="Arial"/>
              </w:rPr>
            </w:pPr>
            <w:r w:rsidRPr="009040B8">
              <w:rPr>
                <w:rFonts w:ascii="Verdana" w:hAnsi="Verdana" w:cs="Arial"/>
              </w:rPr>
              <w:t>- asfalt modyfikowany polimerami,</w:t>
            </w:r>
          </w:p>
        </w:tc>
      </w:tr>
      <w:tr w:rsidR="00683496" w:rsidRPr="009040B8" w:rsidTr="00683496">
        <w:tc>
          <w:tcPr>
            <w:tcW w:w="817" w:type="dxa"/>
          </w:tcPr>
          <w:p w:rsidR="00683496" w:rsidRPr="009040B8" w:rsidRDefault="00683496" w:rsidP="00683496">
            <w:pPr>
              <w:tabs>
                <w:tab w:val="left" w:pos="601"/>
              </w:tabs>
              <w:jc w:val="both"/>
              <w:rPr>
                <w:rFonts w:ascii="Verdana" w:hAnsi="Verdana" w:cs="Arial"/>
              </w:rPr>
            </w:pPr>
            <w:r w:rsidRPr="009040B8">
              <w:rPr>
                <w:rFonts w:ascii="Verdana" w:hAnsi="Verdana" w:cs="Arial"/>
              </w:rPr>
              <w:t>D</w:t>
            </w:r>
          </w:p>
        </w:tc>
        <w:tc>
          <w:tcPr>
            <w:tcW w:w="6694" w:type="dxa"/>
          </w:tcPr>
          <w:p w:rsidR="00683496" w:rsidRPr="009040B8" w:rsidRDefault="00683496" w:rsidP="00683496">
            <w:pPr>
              <w:tabs>
                <w:tab w:val="left" w:pos="601"/>
              </w:tabs>
              <w:ind w:left="176" w:hanging="176"/>
              <w:jc w:val="both"/>
              <w:rPr>
                <w:rFonts w:ascii="Verdana" w:hAnsi="Verdana" w:cs="Arial"/>
              </w:rPr>
            </w:pPr>
            <w:r>
              <w:rPr>
                <w:rFonts w:ascii="Verdana" w:hAnsi="Verdana" w:cs="Arial"/>
              </w:rPr>
              <w:t xml:space="preserve">- </w:t>
            </w:r>
            <w:r w:rsidRPr="009040B8">
              <w:rPr>
                <w:rFonts w:ascii="Verdana" w:hAnsi="Verdana" w:cs="Arial"/>
              </w:rPr>
              <w:t>górny wymiar sita (przy określaniu wielkości ziaren kruszywa),</w:t>
            </w:r>
          </w:p>
        </w:tc>
      </w:tr>
      <w:tr w:rsidR="00683496" w:rsidRPr="009040B8" w:rsidTr="00683496">
        <w:tc>
          <w:tcPr>
            <w:tcW w:w="817" w:type="dxa"/>
          </w:tcPr>
          <w:p w:rsidR="00683496" w:rsidRPr="009040B8" w:rsidRDefault="00683496" w:rsidP="00683496">
            <w:pPr>
              <w:tabs>
                <w:tab w:val="left" w:pos="601"/>
              </w:tabs>
              <w:jc w:val="both"/>
              <w:rPr>
                <w:rFonts w:ascii="Verdana" w:hAnsi="Verdana" w:cs="Arial"/>
              </w:rPr>
            </w:pPr>
            <w:r w:rsidRPr="009040B8">
              <w:rPr>
                <w:rFonts w:ascii="Verdana" w:hAnsi="Verdana" w:cs="Arial"/>
              </w:rPr>
              <w:t>d</w:t>
            </w:r>
          </w:p>
        </w:tc>
        <w:tc>
          <w:tcPr>
            <w:tcW w:w="6694" w:type="dxa"/>
          </w:tcPr>
          <w:p w:rsidR="00683496" w:rsidRPr="009040B8" w:rsidRDefault="00683496" w:rsidP="00683496">
            <w:pPr>
              <w:tabs>
                <w:tab w:val="left" w:pos="601"/>
              </w:tabs>
              <w:jc w:val="both"/>
              <w:rPr>
                <w:rFonts w:ascii="Verdana" w:hAnsi="Verdana" w:cs="Arial"/>
              </w:rPr>
            </w:pPr>
            <w:r w:rsidRPr="009040B8">
              <w:rPr>
                <w:rFonts w:ascii="Verdana" w:hAnsi="Verdana" w:cs="Arial"/>
              </w:rPr>
              <w:t>- dolny wymiar sita (przy określaniu wielkości ziaren kruszywa),</w:t>
            </w:r>
          </w:p>
        </w:tc>
      </w:tr>
      <w:tr w:rsidR="00683496" w:rsidRPr="009040B8" w:rsidTr="00683496">
        <w:tc>
          <w:tcPr>
            <w:tcW w:w="817" w:type="dxa"/>
          </w:tcPr>
          <w:p w:rsidR="00683496" w:rsidRPr="009040B8" w:rsidRDefault="00683496" w:rsidP="00683496">
            <w:pPr>
              <w:tabs>
                <w:tab w:val="left" w:pos="601"/>
              </w:tabs>
              <w:jc w:val="both"/>
              <w:rPr>
                <w:rFonts w:ascii="Verdana" w:hAnsi="Verdana" w:cs="Arial"/>
              </w:rPr>
            </w:pPr>
            <w:r w:rsidRPr="009040B8">
              <w:rPr>
                <w:rFonts w:ascii="Verdana" w:hAnsi="Verdana" w:cs="Arial"/>
              </w:rPr>
              <w:t>C</w:t>
            </w:r>
          </w:p>
        </w:tc>
        <w:tc>
          <w:tcPr>
            <w:tcW w:w="6694" w:type="dxa"/>
          </w:tcPr>
          <w:p w:rsidR="00683496" w:rsidRPr="009040B8" w:rsidRDefault="00683496" w:rsidP="00683496">
            <w:pPr>
              <w:tabs>
                <w:tab w:val="left" w:pos="601"/>
              </w:tabs>
              <w:jc w:val="both"/>
              <w:rPr>
                <w:rFonts w:ascii="Verdana" w:hAnsi="Verdana" w:cs="Arial"/>
              </w:rPr>
            </w:pPr>
            <w:r w:rsidRPr="009040B8">
              <w:rPr>
                <w:rFonts w:ascii="Verdana" w:hAnsi="Verdana" w:cs="Arial"/>
              </w:rPr>
              <w:t>- kationowa emulsja asfaltowa,</w:t>
            </w:r>
          </w:p>
        </w:tc>
      </w:tr>
      <w:tr w:rsidR="00683496" w:rsidRPr="009040B8" w:rsidTr="00683496">
        <w:tc>
          <w:tcPr>
            <w:tcW w:w="817" w:type="dxa"/>
          </w:tcPr>
          <w:p w:rsidR="00683496" w:rsidRPr="009040B8" w:rsidRDefault="00683496" w:rsidP="00683496">
            <w:pPr>
              <w:tabs>
                <w:tab w:val="left" w:pos="601"/>
              </w:tabs>
              <w:jc w:val="both"/>
              <w:rPr>
                <w:rFonts w:ascii="Verdana" w:hAnsi="Verdana" w:cs="Arial"/>
              </w:rPr>
            </w:pPr>
            <w:r w:rsidRPr="009040B8">
              <w:rPr>
                <w:rFonts w:ascii="Verdana" w:hAnsi="Verdana" w:cs="Arial"/>
              </w:rPr>
              <w:t>N</w:t>
            </w:r>
            <w:r>
              <w:rPr>
                <w:rFonts w:ascii="Verdana" w:hAnsi="Verdana" w:cs="Arial"/>
              </w:rPr>
              <w:t>R</w:t>
            </w:r>
          </w:p>
        </w:tc>
        <w:tc>
          <w:tcPr>
            <w:tcW w:w="6694" w:type="dxa"/>
          </w:tcPr>
          <w:p w:rsidR="00683496" w:rsidRPr="009040B8" w:rsidRDefault="00683496" w:rsidP="00683496">
            <w:pPr>
              <w:tabs>
                <w:tab w:val="left" w:pos="601"/>
              </w:tabs>
              <w:ind w:left="176" w:hanging="176"/>
              <w:jc w:val="both"/>
              <w:rPr>
                <w:rFonts w:ascii="Verdana" w:hAnsi="Verdana" w:cs="Arial"/>
              </w:rPr>
            </w:pPr>
            <w:r w:rsidRPr="009040B8">
              <w:rPr>
                <w:rFonts w:ascii="Verdana" w:hAnsi="Verdana" w:cs="Arial"/>
              </w:rPr>
              <w:t>- </w:t>
            </w:r>
            <w:r>
              <w:rPr>
                <w:rFonts w:ascii="Verdana" w:hAnsi="Verdana" w:cs="Arial"/>
              </w:rPr>
              <w:t xml:space="preserve">brak wymagań </w:t>
            </w:r>
            <w:r w:rsidRPr="006D2270">
              <w:rPr>
                <w:rFonts w:ascii="Verdana" w:hAnsi="Verdana" w:cs="Arial"/>
              </w:rPr>
              <w:t xml:space="preserve">(ang. </w:t>
            </w:r>
            <w:r w:rsidRPr="00896569">
              <w:rPr>
                <w:rFonts w:ascii="Verdana" w:hAnsi="Verdana" w:cs="Arial"/>
              </w:rPr>
              <w:t xml:space="preserve">No </w:t>
            </w:r>
            <w:proofErr w:type="spellStart"/>
            <w:r w:rsidRPr="00896569">
              <w:rPr>
                <w:rFonts w:ascii="Verdana" w:hAnsi="Verdana" w:cs="Arial"/>
              </w:rPr>
              <w:t>Requirement</w:t>
            </w:r>
            <w:proofErr w:type="spellEnd"/>
            <w:r w:rsidRPr="00896569">
              <w:rPr>
                <w:rFonts w:ascii="Verdana" w:hAnsi="Verdana" w:cs="Arial"/>
              </w:rPr>
              <w:t xml:space="preserve">; </w:t>
            </w:r>
            <w:r w:rsidRPr="006D2270">
              <w:rPr>
                <w:rFonts w:ascii="Verdana" w:hAnsi="Verdana" w:cs="Arial"/>
              </w:rPr>
              <w:t>właściwość użytkowa nie określana</w:t>
            </w:r>
            <w:r w:rsidRPr="00896569">
              <w:rPr>
                <w:rFonts w:ascii="Verdana" w:hAnsi="Verdana" w:cs="Arial"/>
              </w:rPr>
              <w:t>),</w:t>
            </w:r>
          </w:p>
        </w:tc>
      </w:tr>
      <w:tr w:rsidR="00683496" w:rsidRPr="009040B8" w:rsidTr="00683496">
        <w:tc>
          <w:tcPr>
            <w:tcW w:w="817" w:type="dxa"/>
          </w:tcPr>
          <w:p w:rsidR="00683496" w:rsidRPr="009040B8" w:rsidRDefault="00683496" w:rsidP="00683496">
            <w:pPr>
              <w:tabs>
                <w:tab w:val="left" w:pos="601"/>
              </w:tabs>
              <w:jc w:val="both"/>
              <w:rPr>
                <w:rFonts w:ascii="Verdana" w:hAnsi="Verdana" w:cs="Arial"/>
              </w:rPr>
            </w:pPr>
            <w:r w:rsidRPr="009040B8">
              <w:rPr>
                <w:rFonts w:ascii="Verdana" w:hAnsi="Verdana" w:cs="Arial"/>
              </w:rPr>
              <w:t>TBR</w:t>
            </w:r>
          </w:p>
        </w:tc>
        <w:tc>
          <w:tcPr>
            <w:tcW w:w="6694" w:type="dxa"/>
          </w:tcPr>
          <w:p w:rsidR="00683496" w:rsidRPr="009040B8" w:rsidRDefault="00683496" w:rsidP="00683496">
            <w:pPr>
              <w:tabs>
                <w:tab w:val="left" w:pos="601"/>
              </w:tabs>
              <w:ind w:left="176" w:hanging="176"/>
              <w:jc w:val="both"/>
              <w:rPr>
                <w:rFonts w:ascii="Verdana" w:hAnsi="Verdana" w:cs="Arial"/>
              </w:rPr>
            </w:pPr>
            <w:r w:rsidRPr="009040B8">
              <w:rPr>
                <w:rFonts w:ascii="Verdana" w:hAnsi="Verdana" w:cs="Arial"/>
              </w:rPr>
              <w:t xml:space="preserve">- do zadeklarowania (ang. To Be </w:t>
            </w:r>
            <w:proofErr w:type="spellStart"/>
            <w:r w:rsidRPr="009040B8">
              <w:rPr>
                <w:rFonts w:ascii="Verdana" w:hAnsi="Verdana" w:cs="Arial"/>
              </w:rPr>
              <w:t>Reported</w:t>
            </w:r>
            <w:proofErr w:type="spellEnd"/>
            <w:r w:rsidRPr="009040B8">
              <w:rPr>
                <w:rFonts w:ascii="Verdana" w:hAnsi="Verdana" w:cs="Arial"/>
              </w:rPr>
              <w:t>; producent może dostarczyć odpowiednie informacje, jednak nie jest do tego zobowiązany),</w:t>
            </w:r>
          </w:p>
        </w:tc>
      </w:tr>
    </w:tbl>
    <w:p w:rsidR="00683496" w:rsidRPr="009040B8" w:rsidRDefault="00683496" w:rsidP="00683496">
      <w:pPr>
        <w:keepNext/>
        <w:spacing w:before="120" w:after="60"/>
        <w:jc w:val="both"/>
        <w:outlineLvl w:val="1"/>
        <w:rPr>
          <w:rFonts w:ascii="Verdana" w:hAnsi="Verdana" w:cs="Arial"/>
          <w:b/>
          <w:bCs/>
          <w:iCs/>
        </w:rPr>
      </w:pPr>
      <w:r w:rsidRPr="009040B8">
        <w:rPr>
          <w:rFonts w:ascii="Verdana" w:hAnsi="Verdana" w:cs="Arial"/>
          <w:b/>
          <w:bCs/>
          <w:iCs/>
        </w:rPr>
        <w:t>1.5. Ogólne wymagania dotyczące robót</w:t>
      </w:r>
    </w:p>
    <w:p w:rsidR="00683496" w:rsidRPr="009040B8" w:rsidRDefault="00683496" w:rsidP="00683496">
      <w:pPr>
        <w:jc w:val="both"/>
        <w:rPr>
          <w:rFonts w:ascii="Verdana" w:hAnsi="Verdana" w:cs="Arial"/>
        </w:rPr>
      </w:pPr>
      <w:r w:rsidRPr="009040B8">
        <w:rPr>
          <w:rFonts w:ascii="Verdana" w:hAnsi="Verdana" w:cs="Arial"/>
        </w:rPr>
        <w:t>Ogólne wymagania dotyczące robót podano w SST D-M-00.00.00 „Wymagania ogólne” [1] pkt 1.5.</w:t>
      </w:r>
    </w:p>
    <w:p w:rsidR="00683496" w:rsidRPr="009040B8" w:rsidRDefault="00683496" w:rsidP="00683496">
      <w:pPr>
        <w:keepNext/>
        <w:widowControl w:val="0"/>
        <w:jc w:val="both"/>
        <w:outlineLvl w:val="0"/>
        <w:rPr>
          <w:rFonts w:ascii="Verdana" w:hAnsi="Verdana" w:cs="Arial"/>
          <w:b/>
          <w:snapToGrid w:val="0"/>
        </w:rPr>
      </w:pPr>
    </w:p>
    <w:p w:rsidR="00683496" w:rsidRPr="009040B8" w:rsidRDefault="00683496" w:rsidP="00683496">
      <w:pPr>
        <w:keepNext/>
        <w:widowControl w:val="0"/>
        <w:jc w:val="both"/>
        <w:outlineLvl w:val="0"/>
        <w:rPr>
          <w:rFonts w:ascii="Verdana" w:hAnsi="Verdana" w:cs="Arial"/>
          <w:b/>
          <w:snapToGrid w:val="0"/>
        </w:rPr>
      </w:pPr>
      <w:r w:rsidRPr="009040B8">
        <w:rPr>
          <w:rFonts w:ascii="Verdana" w:hAnsi="Verdana" w:cs="Arial"/>
          <w:b/>
          <w:snapToGrid w:val="0"/>
        </w:rPr>
        <w:t>2. Materiały</w:t>
      </w: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2.1. Ogólne wymagania dotyczące materiałów</w:t>
      </w:r>
    </w:p>
    <w:p w:rsidR="00683496" w:rsidRPr="009040B8" w:rsidRDefault="00683496" w:rsidP="00683496">
      <w:pPr>
        <w:jc w:val="both"/>
        <w:rPr>
          <w:rFonts w:ascii="Verdana" w:hAnsi="Verdana" w:cs="Arial"/>
        </w:rPr>
      </w:pPr>
      <w:r w:rsidRPr="009040B8">
        <w:rPr>
          <w:rFonts w:ascii="Verdana" w:hAnsi="Verdana" w:cs="Arial"/>
        </w:rPr>
        <w:t>Ogólne wymagania dotyczące materiałów, ich pozyskiwania i składowania, podano w SST D-M-00.00.00 „Wymagania ogólne” [1] pkt 2.</w:t>
      </w:r>
    </w:p>
    <w:p w:rsidR="00683496" w:rsidRPr="006D2270" w:rsidRDefault="00683496" w:rsidP="00683496">
      <w:pPr>
        <w:jc w:val="both"/>
        <w:rPr>
          <w:rFonts w:ascii="Verdana" w:hAnsi="Verdana" w:cs="Arial"/>
        </w:rPr>
      </w:pPr>
      <w:r>
        <w:rPr>
          <w:rFonts w:ascii="Verdana" w:hAnsi="Verdana" w:cs="Arial"/>
        </w:rPr>
        <w:t>Producent kruszywa, wypełniacza oraz asfaltu powinien prowadzić zakładową kontrolę produkcji (ZKP) z oceną zgodności wyrobu wg systemu 2+.</w:t>
      </w:r>
    </w:p>
    <w:p w:rsidR="00683496" w:rsidRPr="009040B8" w:rsidRDefault="00683496" w:rsidP="00683496">
      <w:pPr>
        <w:jc w:val="both"/>
        <w:rPr>
          <w:rFonts w:ascii="Verdana" w:hAnsi="Verdana" w:cs="Arial"/>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2.2. Lepiszcza asfaltowe</w:t>
      </w:r>
    </w:p>
    <w:p w:rsidR="00683496" w:rsidRPr="009040B8" w:rsidRDefault="00683496" w:rsidP="00683496">
      <w:pPr>
        <w:jc w:val="both"/>
        <w:rPr>
          <w:rFonts w:ascii="Verdana" w:hAnsi="Verdana" w:cs="Arial"/>
        </w:rPr>
      </w:pPr>
      <w:r w:rsidRPr="009040B8">
        <w:rPr>
          <w:rFonts w:ascii="Verdana" w:hAnsi="Verdana" w:cs="Arial"/>
        </w:rPr>
        <w:t>Należy stosować asfalty drogowe wg PN-EN 12591 [27] lub asfalt modyfikowany polimerami wg PN-EN 14023 [59]. Rodzaje stosowanych lepiszczy asfaltowych podano w tab</w:t>
      </w:r>
      <w:r>
        <w:rPr>
          <w:rFonts w:ascii="Verdana" w:hAnsi="Verdana" w:cs="Arial"/>
        </w:rPr>
        <w:t>eli</w:t>
      </w:r>
      <w:r w:rsidRPr="009040B8">
        <w:rPr>
          <w:rFonts w:ascii="Verdana" w:hAnsi="Verdana" w:cs="Arial"/>
        </w:rPr>
        <w:t xml:space="preserve"> 2. </w:t>
      </w:r>
    </w:p>
    <w:p w:rsidR="00683496" w:rsidRPr="009040B8" w:rsidRDefault="00683496" w:rsidP="00683496">
      <w:pPr>
        <w:spacing w:before="60" w:after="60"/>
        <w:ind w:left="900" w:hanging="90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 Zalecane  lepiszcza asfaltowe do warstwy wiążącej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683496" w:rsidRPr="009040B8" w:rsidTr="00683496">
        <w:tc>
          <w:tcPr>
            <w:tcW w:w="1384" w:type="dxa"/>
            <w:vMerge w:val="restart"/>
            <w:vAlign w:val="center"/>
          </w:tcPr>
          <w:p w:rsidR="00683496" w:rsidRPr="009040B8" w:rsidRDefault="00683496" w:rsidP="00683496">
            <w:pPr>
              <w:jc w:val="center"/>
              <w:rPr>
                <w:rFonts w:ascii="Verdana" w:hAnsi="Verdana" w:cs="Arial"/>
              </w:rPr>
            </w:pPr>
            <w:r w:rsidRPr="009040B8">
              <w:rPr>
                <w:rFonts w:ascii="Verdana" w:hAnsi="Verdana" w:cs="Arial"/>
              </w:rPr>
              <w:t>Kategoria</w:t>
            </w:r>
          </w:p>
          <w:p w:rsidR="00683496" w:rsidRPr="009040B8" w:rsidRDefault="00683496" w:rsidP="00683496">
            <w:pPr>
              <w:jc w:val="center"/>
              <w:rPr>
                <w:rFonts w:ascii="Verdana" w:hAnsi="Verdana" w:cs="Arial"/>
              </w:rPr>
            </w:pPr>
            <w:r w:rsidRPr="009040B8">
              <w:rPr>
                <w:rFonts w:ascii="Verdana" w:hAnsi="Verdana" w:cs="Arial"/>
              </w:rPr>
              <w:t>ruchu</w:t>
            </w:r>
          </w:p>
        </w:tc>
        <w:tc>
          <w:tcPr>
            <w:tcW w:w="1604" w:type="dxa"/>
            <w:vMerge w:val="restart"/>
            <w:vAlign w:val="center"/>
          </w:tcPr>
          <w:p w:rsidR="00683496" w:rsidRPr="009040B8" w:rsidRDefault="00683496" w:rsidP="00683496">
            <w:pPr>
              <w:jc w:val="center"/>
              <w:rPr>
                <w:rFonts w:ascii="Verdana" w:hAnsi="Verdana" w:cs="Arial"/>
              </w:rPr>
            </w:pPr>
            <w:r w:rsidRPr="009040B8">
              <w:rPr>
                <w:rFonts w:ascii="Verdana" w:hAnsi="Verdana" w:cs="Arial"/>
              </w:rPr>
              <w:t>Mieszanka</w:t>
            </w:r>
          </w:p>
          <w:p w:rsidR="00683496" w:rsidRPr="009040B8" w:rsidRDefault="00683496" w:rsidP="00683496">
            <w:pPr>
              <w:jc w:val="center"/>
              <w:rPr>
                <w:rFonts w:ascii="Verdana" w:hAnsi="Verdana" w:cs="Arial"/>
                <w:strike/>
              </w:rPr>
            </w:pPr>
            <w:r w:rsidRPr="009040B8">
              <w:rPr>
                <w:rFonts w:ascii="Verdana" w:hAnsi="Verdana" w:cs="Arial"/>
              </w:rPr>
              <w:t>AC</w:t>
            </w:r>
          </w:p>
        </w:tc>
        <w:tc>
          <w:tcPr>
            <w:tcW w:w="4523" w:type="dxa"/>
            <w:gridSpan w:val="2"/>
          </w:tcPr>
          <w:p w:rsidR="00683496" w:rsidRPr="009040B8" w:rsidRDefault="00683496" w:rsidP="00683496">
            <w:pPr>
              <w:jc w:val="center"/>
              <w:rPr>
                <w:rFonts w:ascii="Verdana" w:hAnsi="Verdana" w:cs="Arial"/>
              </w:rPr>
            </w:pPr>
            <w:r w:rsidRPr="009040B8">
              <w:rPr>
                <w:rFonts w:ascii="Verdana" w:hAnsi="Verdana" w:cs="Arial"/>
              </w:rPr>
              <w:t>Rodzaje asfaltów</w:t>
            </w:r>
          </w:p>
        </w:tc>
      </w:tr>
      <w:tr w:rsidR="00683496" w:rsidRPr="009040B8" w:rsidTr="00683496">
        <w:tc>
          <w:tcPr>
            <w:tcW w:w="1384" w:type="dxa"/>
            <w:vMerge/>
          </w:tcPr>
          <w:p w:rsidR="00683496" w:rsidRPr="009040B8" w:rsidRDefault="00683496" w:rsidP="00683496">
            <w:pPr>
              <w:jc w:val="center"/>
              <w:rPr>
                <w:rFonts w:ascii="Verdana" w:hAnsi="Verdana" w:cs="Arial"/>
              </w:rPr>
            </w:pPr>
          </w:p>
        </w:tc>
        <w:tc>
          <w:tcPr>
            <w:tcW w:w="1604" w:type="dxa"/>
            <w:vMerge/>
          </w:tcPr>
          <w:p w:rsidR="00683496" w:rsidRPr="009040B8" w:rsidRDefault="00683496" w:rsidP="00683496">
            <w:pPr>
              <w:jc w:val="center"/>
              <w:rPr>
                <w:rFonts w:ascii="Verdana" w:hAnsi="Verdana" w:cs="Arial"/>
              </w:rPr>
            </w:pPr>
          </w:p>
        </w:tc>
        <w:tc>
          <w:tcPr>
            <w:tcW w:w="1980" w:type="dxa"/>
            <w:vAlign w:val="center"/>
          </w:tcPr>
          <w:p w:rsidR="00683496" w:rsidRPr="009040B8" w:rsidRDefault="00683496" w:rsidP="00683496">
            <w:pPr>
              <w:jc w:val="center"/>
              <w:rPr>
                <w:rFonts w:ascii="Verdana" w:hAnsi="Verdana" w:cs="Arial"/>
              </w:rPr>
            </w:pPr>
            <w:r w:rsidRPr="009040B8">
              <w:rPr>
                <w:rFonts w:ascii="Verdana" w:hAnsi="Verdana" w:cs="Arial"/>
              </w:rPr>
              <w:t>Asfalty drogowe</w:t>
            </w:r>
          </w:p>
        </w:tc>
        <w:tc>
          <w:tcPr>
            <w:tcW w:w="2543" w:type="dxa"/>
          </w:tcPr>
          <w:p w:rsidR="00683496" w:rsidRPr="009040B8" w:rsidRDefault="00683496" w:rsidP="00683496">
            <w:pPr>
              <w:jc w:val="center"/>
              <w:rPr>
                <w:rFonts w:ascii="Verdana" w:hAnsi="Verdana" w:cs="Arial"/>
              </w:rPr>
            </w:pPr>
            <w:r w:rsidRPr="009040B8">
              <w:rPr>
                <w:rFonts w:ascii="Verdana" w:hAnsi="Verdana" w:cs="Arial"/>
              </w:rPr>
              <w:t>Asfalt modyfikowany polimerami</w:t>
            </w:r>
          </w:p>
        </w:tc>
      </w:tr>
      <w:tr w:rsidR="00683496" w:rsidRPr="009040B8" w:rsidTr="00683496">
        <w:tc>
          <w:tcPr>
            <w:tcW w:w="1384" w:type="dxa"/>
          </w:tcPr>
          <w:p w:rsidR="00683496" w:rsidRPr="009040B8" w:rsidRDefault="00683496" w:rsidP="00683496">
            <w:pPr>
              <w:spacing w:before="40" w:after="4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c>
          <w:tcPr>
            <w:tcW w:w="1604"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AC 16</w:t>
            </w:r>
            <w:r>
              <w:rPr>
                <w:rFonts w:ascii="Verdana" w:hAnsi="Verdana" w:cs="Arial"/>
              </w:rPr>
              <w:t xml:space="preserve"> </w:t>
            </w:r>
            <w:r w:rsidRPr="009040B8">
              <w:rPr>
                <w:rFonts w:ascii="Verdana" w:hAnsi="Verdana" w:cs="Arial"/>
              </w:rPr>
              <w:t>W</w:t>
            </w:r>
          </w:p>
        </w:tc>
        <w:tc>
          <w:tcPr>
            <w:tcW w:w="1980" w:type="dxa"/>
          </w:tcPr>
          <w:p w:rsidR="00683496" w:rsidRPr="009040B8" w:rsidRDefault="00683496" w:rsidP="00683496">
            <w:pPr>
              <w:spacing w:before="40" w:after="40"/>
              <w:jc w:val="center"/>
              <w:rPr>
                <w:rFonts w:ascii="Verdana" w:hAnsi="Verdana" w:cs="Arial"/>
              </w:rPr>
            </w:pPr>
            <w:r w:rsidRPr="009040B8">
              <w:rPr>
                <w:rFonts w:ascii="Verdana" w:hAnsi="Verdana" w:cs="Arial"/>
              </w:rPr>
              <w:t>35/50, 50/70</w:t>
            </w:r>
            <w:r w:rsidRPr="009040B8">
              <w:rPr>
                <w:rFonts w:ascii="Verdana" w:hAnsi="Verdana" w:cs="Arial"/>
                <w:vertAlign w:val="superscript"/>
              </w:rPr>
              <w:t>a)</w:t>
            </w:r>
          </w:p>
        </w:tc>
        <w:tc>
          <w:tcPr>
            <w:tcW w:w="2543" w:type="dxa"/>
          </w:tcPr>
          <w:p w:rsidR="00683496" w:rsidRPr="009040B8" w:rsidRDefault="00683496" w:rsidP="00683496">
            <w:pPr>
              <w:spacing w:before="40" w:after="40"/>
              <w:jc w:val="center"/>
              <w:rPr>
                <w:rFonts w:ascii="Verdana" w:hAnsi="Verdana" w:cs="Arial"/>
              </w:rPr>
            </w:pPr>
            <w:r w:rsidRPr="009040B8">
              <w:rPr>
                <w:rFonts w:ascii="Verdana" w:hAnsi="Verdana" w:cs="Arial"/>
              </w:rPr>
              <w:t>PMB 25/55-60</w:t>
            </w:r>
          </w:p>
        </w:tc>
      </w:tr>
      <w:tr w:rsidR="00683496" w:rsidRPr="009040B8" w:rsidTr="00683496">
        <w:tc>
          <w:tcPr>
            <w:tcW w:w="7511" w:type="dxa"/>
            <w:gridSpan w:val="4"/>
          </w:tcPr>
          <w:p w:rsidR="00683496" w:rsidRPr="009040B8" w:rsidRDefault="00683496" w:rsidP="00683496">
            <w:pPr>
              <w:spacing w:before="40" w:after="40"/>
              <w:ind w:left="284" w:hanging="284"/>
              <w:rPr>
                <w:rFonts w:ascii="Verdana" w:hAnsi="Verdana" w:cs="Arial"/>
              </w:rPr>
            </w:pPr>
            <w:r w:rsidRPr="009040B8">
              <w:rPr>
                <w:rFonts w:ascii="Verdana" w:hAnsi="Verdana" w:cs="Arial"/>
                <w:vertAlign w:val="superscript"/>
              </w:rPr>
              <w:t>a)</w:t>
            </w:r>
            <w:r w:rsidRPr="009040B8">
              <w:rPr>
                <w:rFonts w:ascii="Verdana" w:hAnsi="Verdana" w:cs="Arial"/>
              </w:rPr>
              <w:t xml:space="preserve"> </w:t>
            </w:r>
            <w:r>
              <w:rPr>
                <w:rFonts w:ascii="Verdana" w:hAnsi="Verdana" w:cs="Arial"/>
              </w:rPr>
              <w:t xml:space="preserve"> </w:t>
            </w:r>
            <w:r w:rsidRPr="009040B8">
              <w:rPr>
                <w:rFonts w:ascii="Verdana" w:hAnsi="Verdana" w:cs="Arial"/>
              </w:rPr>
              <w:t xml:space="preserve">asfalt 50/70 może być użyty w wyjątkowych przypadkach po uzyskaniu zgody Zamawiającego </w:t>
            </w:r>
          </w:p>
        </w:tc>
      </w:tr>
    </w:tbl>
    <w:p w:rsidR="00683496" w:rsidRPr="009040B8" w:rsidRDefault="00683496" w:rsidP="00683496">
      <w:pPr>
        <w:jc w:val="both"/>
        <w:rPr>
          <w:rFonts w:ascii="Verdana" w:hAnsi="Verdana" w:cs="Arial"/>
        </w:rPr>
      </w:pPr>
    </w:p>
    <w:p w:rsidR="00683496" w:rsidRPr="009040B8" w:rsidRDefault="00683496" w:rsidP="00683496">
      <w:pPr>
        <w:jc w:val="both"/>
        <w:rPr>
          <w:rFonts w:ascii="Verdana" w:hAnsi="Verdana" w:cs="Arial"/>
        </w:rPr>
      </w:pPr>
      <w:r w:rsidRPr="009040B8">
        <w:rPr>
          <w:rFonts w:ascii="Verdana" w:hAnsi="Verdana" w:cs="Arial"/>
        </w:rPr>
        <w:t>Asfalty drogowe powinny spełniać wymagania podane w tab</w:t>
      </w:r>
      <w:r>
        <w:rPr>
          <w:rFonts w:ascii="Verdana" w:hAnsi="Verdana" w:cs="Arial"/>
        </w:rPr>
        <w:t>eli</w:t>
      </w:r>
      <w:r w:rsidRPr="009040B8">
        <w:rPr>
          <w:rFonts w:ascii="Verdana" w:hAnsi="Verdana" w:cs="Arial"/>
        </w:rPr>
        <w:t xml:space="preserve"> 3. </w:t>
      </w:r>
    </w:p>
    <w:p w:rsidR="00683496" w:rsidRPr="009040B8" w:rsidRDefault="00683496" w:rsidP="00683496">
      <w:pPr>
        <w:jc w:val="both"/>
        <w:rPr>
          <w:rFonts w:ascii="Verdana" w:hAnsi="Verdana" w:cs="Arial"/>
        </w:rPr>
      </w:pPr>
      <w:r w:rsidRPr="009040B8">
        <w:rPr>
          <w:rFonts w:ascii="Verdana" w:hAnsi="Verdana" w:cs="Arial"/>
        </w:rPr>
        <w:t>Asfalt modyfikowany polimerami powinien spełniać wymagania podane  w tab</w:t>
      </w:r>
      <w:r>
        <w:rPr>
          <w:rFonts w:ascii="Verdana" w:hAnsi="Verdana" w:cs="Arial"/>
        </w:rPr>
        <w:t>eli</w:t>
      </w:r>
      <w:r w:rsidRPr="009040B8">
        <w:rPr>
          <w:rFonts w:ascii="Verdana" w:hAnsi="Verdana" w:cs="Arial"/>
        </w:rPr>
        <w:t xml:space="preserve"> 4.</w:t>
      </w:r>
    </w:p>
    <w:p w:rsidR="00683496" w:rsidRPr="009040B8" w:rsidRDefault="00683496" w:rsidP="00683496">
      <w:pPr>
        <w:spacing w:before="12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3. Wymagania wobec asfaltów drogowych wg PN-EN 12591 [27]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4184"/>
        <w:gridCol w:w="890"/>
        <w:gridCol w:w="1810"/>
        <w:gridCol w:w="1040"/>
        <w:gridCol w:w="821"/>
      </w:tblGrid>
      <w:tr w:rsidR="00683496" w:rsidRPr="009040B8" w:rsidTr="00683496">
        <w:trPr>
          <w:jc w:val="center"/>
        </w:trPr>
        <w:tc>
          <w:tcPr>
            <w:tcW w:w="283" w:type="pct"/>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Lp.</w:t>
            </w:r>
          </w:p>
        </w:tc>
        <w:tc>
          <w:tcPr>
            <w:tcW w:w="2737" w:type="pct"/>
            <w:gridSpan w:val="2"/>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Właściwości</w:t>
            </w:r>
          </w:p>
        </w:tc>
        <w:tc>
          <w:tcPr>
            <w:tcW w:w="976" w:type="pct"/>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Metoda</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badania</w:t>
            </w:r>
          </w:p>
        </w:tc>
        <w:tc>
          <w:tcPr>
            <w:tcW w:w="1004" w:type="pct"/>
            <w:gridSpan w:val="2"/>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Rodzaje asfaltów drogowych</w:t>
            </w:r>
          </w:p>
        </w:tc>
      </w:tr>
      <w:tr w:rsidR="00683496" w:rsidRPr="009040B8" w:rsidTr="00683496">
        <w:trPr>
          <w:jc w:val="center"/>
        </w:trPr>
        <w:tc>
          <w:tcPr>
            <w:tcW w:w="283" w:type="pct"/>
            <w:vMerge/>
          </w:tcPr>
          <w:p w:rsidR="00683496" w:rsidRPr="008230B1" w:rsidRDefault="00683496" w:rsidP="00683496">
            <w:pPr>
              <w:jc w:val="center"/>
              <w:rPr>
                <w:rFonts w:ascii="Verdana" w:hAnsi="Verdana" w:cs="Arial"/>
                <w:sz w:val="16"/>
                <w:szCs w:val="16"/>
              </w:rPr>
            </w:pPr>
          </w:p>
        </w:tc>
        <w:tc>
          <w:tcPr>
            <w:tcW w:w="2737" w:type="pct"/>
            <w:gridSpan w:val="2"/>
            <w:vMerge/>
          </w:tcPr>
          <w:p w:rsidR="00683496" w:rsidRPr="008230B1" w:rsidRDefault="00683496" w:rsidP="00683496">
            <w:pPr>
              <w:jc w:val="center"/>
              <w:rPr>
                <w:rFonts w:ascii="Verdana" w:hAnsi="Verdana" w:cs="Arial"/>
                <w:sz w:val="16"/>
                <w:szCs w:val="16"/>
              </w:rPr>
            </w:pPr>
          </w:p>
        </w:tc>
        <w:tc>
          <w:tcPr>
            <w:tcW w:w="976" w:type="pct"/>
            <w:vMerge/>
          </w:tcPr>
          <w:p w:rsidR="00683496" w:rsidRPr="008230B1" w:rsidRDefault="00683496" w:rsidP="00683496">
            <w:pPr>
              <w:jc w:val="center"/>
              <w:rPr>
                <w:rFonts w:ascii="Verdana" w:hAnsi="Verdana" w:cs="Arial"/>
                <w:sz w:val="16"/>
                <w:szCs w:val="16"/>
              </w:rPr>
            </w:pPr>
          </w:p>
        </w:tc>
        <w:tc>
          <w:tcPr>
            <w:tcW w:w="561" w:type="pc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35/50</w:t>
            </w:r>
          </w:p>
        </w:tc>
        <w:tc>
          <w:tcPr>
            <w:tcW w:w="443" w:type="pc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50/70</w:t>
            </w:r>
          </w:p>
        </w:tc>
      </w:tr>
      <w:tr w:rsidR="00683496" w:rsidRPr="009040B8" w:rsidTr="00683496">
        <w:trPr>
          <w:jc w:val="center"/>
        </w:trPr>
        <w:tc>
          <w:tcPr>
            <w:tcW w:w="5000" w:type="pct"/>
            <w:gridSpan w:val="6"/>
          </w:tcPr>
          <w:p w:rsidR="00683496" w:rsidRPr="008230B1" w:rsidRDefault="00683496" w:rsidP="00683496">
            <w:pPr>
              <w:jc w:val="center"/>
              <w:rPr>
                <w:rFonts w:ascii="Verdana" w:hAnsi="Verdana" w:cs="Arial"/>
                <w:sz w:val="16"/>
                <w:szCs w:val="16"/>
              </w:rPr>
            </w:pPr>
            <w:r>
              <w:rPr>
                <w:rFonts w:ascii="Verdana" w:hAnsi="Verdana" w:cs="Arial"/>
                <w:sz w:val="16"/>
                <w:szCs w:val="16"/>
              </w:rPr>
              <w:t>Właściwości obligatoryjne</w:t>
            </w:r>
          </w:p>
        </w:tc>
      </w:tr>
      <w:tr w:rsidR="00683496" w:rsidRPr="009040B8" w:rsidTr="00683496">
        <w:trPr>
          <w:jc w:val="center"/>
        </w:trPr>
        <w:tc>
          <w:tcPr>
            <w:tcW w:w="283"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1</w:t>
            </w:r>
          </w:p>
        </w:tc>
        <w:tc>
          <w:tcPr>
            <w:tcW w:w="2257" w:type="pct"/>
          </w:tcPr>
          <w:p w:rsidR="00683496" w:rsidRPr="008230B1" w:rsidRDefault="00683496" w:rsidP="00683496">
            <w:pPr>
              <w:spacing w:before="60" w:after="60"/>
              <w:rPr>
                <w:rFonts w:ascii="Verdana" w:hAnsi="Verdana" w:cs="Arial"/>
                <w:sz w:val="16"/>
                <w:szCs w:val="16"/>
              </w:rPr>
            </w:pPr>
            <w:r w:rsidRPr="008230B1">
              <w:rPr>
                <w:rFonts w:ascii="Verdana" w:hAnsi="Verdana" w:cs="Arial"/>
                <w:sz w:val="16"/>
                <w:szCs w:val="16"/>
              </w:rPr>
              <w:t>Penetracja w 25°C</w:t>
            </w:r>
          </w:p>
        </w:tc>
        <w:tc>
          <w:tcPr>
            <w:tcW w:w="480"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0,1 mm</w:t>
            </w:r>
          </w:p>
        </w:tc>
        <w:tc>
          <w:tcPr>
            <w:tcW w:w="976"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PN-EN 1426 [21]</w:t>
            </w:r>
          </w:p>
        </w:tc>
        <w:tc>
          <w:tcPr>
            <w:tcW w:w="561"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35</w:t>
            </w:r>
            <w:r>
              <w:rPr>
                <w:rFonts w:ascii="Verdana" w:hAnsi="Verdana" w:cs="Arial"/>
                <w:sz w:val="16"/>
                <w:szCs w:val="16"/>
              </w:rPr>
              <w:t>-</w:t>
            </w:r>
            <w:r w:rsidRPr="008230B1">
              <w:rPr>
                <w:rFonts w:ascii="Verdana" w:hAnsi="Verdana" w:cs="Arial"/>
                <w:sz w:val="16"/>
                <w:szCs w:val="16"/>
              </w:rPr>
              <w:t>50</w:t>
            </w:r>
          </w:p>
        </w:tc>
        <w:tc>
          <w:tcPr>
            <w:tcW w:w="443"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50</w:t>
            </w:r>
            <w:r>
              <w:rPr>
                <w:rFonts w:ascii="Verdana" w:hAnsi="Verdana" w:cs="Arial"/>
                <w:sz w:val="16"/>
                <w:szCs w:val="16"/>
              </w:rPr>
              <w:t>-</w:t>
            </w:r>
            <w:r w:rsidRPr="008230B1">
              <w:rPr>
                <w:rFonts w:ascii="Verdana" w:hAnsi="Verdana" w:cs="Arial"/>
                <w:sz w:val="16"/>
                <w:szCs w:val="16"/>
              </w:rPr>
              <w:t>70</w:t>
            </w:r>
          </w:p>
        </w:tc>
      </w:tr>
      <w:tr w:rsidR="00683496" w:rsidRPr="009040B8" w:rsidTr="00683496">
        <w:trPr>
          <w:jc w:val="center"/>
        </w:trPr>
        <w:tc>
          <w:tcPr>
            <w:tcW w:w="283"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2</w:t>
            </w:r>
          </w:p>
        </w:tc>
        <w:tc>
          <w:tcPr>
            <w:tcW w:w="2257" w:type="pct"/>
          </w:tcPr>
          <w:p w:rsidR="00683496" w:rsidRPr="008230B1" w:rsidRDefault="00683496" w:rsidP="00683496">
            <w:pPr>
              <w:spacing w:before="60" w:after="60"/>
              <w:rPr>
                <w:rFonts w:ascii="Verdana" w:hAnsi="Verdana" w:cs="Arial"/>
                <w:sz w:val="16"/>
                <w:szCs w:val="16"/>
              </w:rPr>
            </w:pPr>
            <w:r w:rsidRPr="008230B1">
              <w:rPr>
                <w:rFonts w:ascii="Verdana" w:hAnsi="Verdana" w:cs="Arial"/>
                <w:sz w:val="16"/>
                <w:szCs w:val="16"/>
              </w:rPr>
              <w:t>Temperatura mięknienia</w:t>
            </w:r>
          </w:p>
        </w:tc>
        <w:tc>
          <w:tcPr>
            <w:tcW w:w="480"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°C</w:t>
            </w:r>
          </w:p>
        </w:tc>
        <w:tc>
          <w:tcPr>
            <w:tcW w:w="976"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PN-EN 1427 [22]</w:t>
            </w:r>
          </w:p>
        </w:tc>
        <w:tc>
          <w:tcPr>
            <w:tcW w:w="561"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50</w:t>
            </w:r>
            <w:r>
              <w:rPr>
                <w:rFonts w:ascii="Verdana" w:hAnsi="Verdana" w:cs="Arial"/>
                <w:sz w:val="16"/>
                <w:szCs w:val="16"/>
              </w:rPr>
              <w:t>-</w:t>
            </w:r>
            <w:r w:rsidRPr="008230B1">
              <w:rPr>
                <w:rFonts w:ascii="Verdana" w:hAnsi="Verdana" w:cs="Arial"/>
                <w:sz w:val="16"/>
                <w:szCs w:val="16"/>
              </w:rPr>
              <w:t>58</w:t>
            </w:r>
          </w:p>
        </w:tc>
        <w:tc>
          <w:tcPr>
            <w:tcW w:w="443" w:type="pct"/>
          </w:tcPr>
          <w:p w:rsidR="00683496" w:rsidRPr="008230B1" w:rsidRDefault="00683496" w:rsidP="00683496">
            <w:pPr>
              <w:spacing w:before="60" w:after="60"/>
              <w:jc w:val="center"/>
              <w:rPr>
                <w:rFonts w:ascii="Verdana" w:hAnsi="Verdana" w:cs="Arial"/>
                <w:sz w:val="16"/>
                <w:szCs w:val="16"/>
              </w:rPr>
            </w:pPr>
            <w:r w:rsidRPr="008230B1">
              <w:rPr>
                <w:rFonts w:ascii="Verdana" w:hAnsi="Verdana" w:cs="Arial"/>
                <w:sz w:val="16"/>
                <w:szCs w:val="16"/>
              </w:rPr>
              <w:t>46</w:t>
            </w:r>
            <w:r>
              <w:rPr>
                <w:rFonts w:ascii="Verdana" w:hAnsi="Verdana" w:cs="Arial"/>
                <w:sz w:val="16"/>
                <w:szCs w:val="16"/>
              </w:rPr>
              <w:t>-</w:t>
            </w:r>
            <w:r w:rsidRPr="008230B1">
              <w:rPr>
                <w:rFonts w:ascii="Verdana" w:hAnsi="Verdana" w:cs="Arial"/>
                <w:sz w:val="16"/>
                <w:szCs w:val="16"/>
              </w:rPr>
              <w:t>54</w:t>
            </w:r>
          </w:p>
        </w:tc>
      </w:tr>
      <w:tr w:rsidR="00683496" w:rsidRPr="009040B8" w:rsidTr="00683496">
        <w:trPr>
          <w:jc w:val="center"/>
        </w:trPr>
        <w:tc>
          <w:tcPr>
            <w:tcW w:w="5000" w:type="pct"/>
            <w:gridSpan w:val="6"/>
            <w:vAlign w:val="center"/>
          </w:tcPr>
          <w:p w:rsidR="00683496" w:rsidRPr="002717A9" w:rsidRDefault="00683496" w:rsidP="00683496">
            <w:pPr>
              <w:spacing w:before="60" w:after="60"/>
              <w:jc w:val="center"/>
              <w:rPr>
                <w:rFonts w:ascii="Verdana" w:hAnsi="Verdana" w:cs="Arial"/>
                <w:sz w:val="16"/>
                <w:szCs w:val="16"/>
              </w:rPr>
            </w:pPr>
            <w:r>
              <w:rPr>
                <w:rFonts w:ascii="Verdana" w:hAnsi="Verdana" w:cs="Arial"/>
                <w:sz w:val="16"/>
                <w:szCs w:val="16"/>
              </w:rPr>
              <w:t>Odporność na starzenie w 163</w:t>
            </w:r>
            <w:r>
              <w:rPr>
                <w:rFonts w:ascii="Verdana" w:hAnsi="Verdana" w:cs="Arial"/>
                <w:sz w:val="16"/>
                <w:szCs w:val="16"/>
                <w:vertAlign w:val="superscript"/>
              </w:rPr>
              <w:t>o</w:t>
            </w:r>
            <w:r>
              <w:rPr>
                <w:rFonts w:ascii="Verdana" w:hAnsi="Verdana" w:cs="Arial"/>
                <w:sz w:val="16"/>
                <w:szCs w:val="16"/>
              </w:rPr>
              <w:t>C PN-EN 12607-1 [31]</w:t>
            </w:r>
          </w:p>
        </w:tc>
      </w:tr>
      <w:tr w:rsidR="00683496" w:rsidRPr="009040B8" w:rsidTr="00683496">
        <w:trPr>
          <w:jc w:val="center"/>
        </w:trPr>
        <w:tc>
          <w:tcPr>
            <w:tcW w:w="283" w:type="pc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3</w:t>
            </w:r>
          </w:p>
        </w:tc>
        <w:tc>
          <w:tcPr>
            <w:tcW w:w="2257" w:type="pct"/>
            <w:vAlign w:val="center"/>
          </w:tcPr>
          <w:p w:rsidR="00683496" w:rsidRPr="008230B1" w:rsidRDefault="00683496" w:rsidP="00683496">
            <w:pPr>
              <w:rPr>
                <w:rFonts w:ascii="Verdana" w:hAnsi="Verdana" w:cs="Arial"/>
                <w:sz w:val="16"/>
                <w:szCs w:val="16"/>
              </w:rPr>
            </w:pPr>
            <w:r w:rsidRPr="008230B1">
              <w:rPr>
                <w:rFonts w:ascii="Verdana" w:hAnsi="Verdana" w:cs="Arial"/>
                <w:sz w:val="16"/>
                <w:szCs w:val="16"/>
              </w:rPr>
              <w:t>Temperatura zapłonu, nie mniej niż</w:t>
            </w:r>
          </w:p>
        </w:tc>
        <w:tc>
          <w:tcPr>
            <w:tcW w:w="480" w:type="pct"/>
          </w:tcPr>
          <w:p w:rsidR="00683496" w:rsidRPr="004C7C44" w:rsidRDefault="00683496" w:rsidP="00683496">
            <w:pPr>
              <w:spacing w:before="60" w:after="60"/>
              <w:jc w:val="center"/>
              <w:rPr>
                <w:rFonts w:ascii="Verdana" w:hAnsi="Verdana" w:cs="Arial"/>
                <w:sz w:val="16"/>
                <w:szCs w:val="16"/>
              </w:rPr>
            </w:pPr>
            <w:r>
              <w:rPr>
                <w:rFonts w:ascii="Verdana" w:hAnsi="Verdana" w:cs="Arial"/>
                <w:sz w:val="16"/>
                <w:szCs w:val="16"/>
                <w:vertAlign w:val="superscript"/>
              </w:rPr>
              <w:t xml:space="preserve">o </w:t>
            </w:r>
            <w:r>
              <w:rPr>
                <w:rFonts w:ascii="Verdana" w:hAnsi="Verdana" w:cs="Arial"/>
                <w:sz w:val="16"/>
                <w:szCs w:val="16"/>
              </w:rPr>
              <w:t>C</w:t>
            </w:r>
          </w:p>
        </w:tc>
        <w:tc>
          <w:tcPr>
            <w:tcW w:w="976" w:type="pct"/>
          </w:tcPr>
          <w:p w:rsidR="00683496" w:rsidRPr="008230B1" w:rsidRDefault="00683496" w:rsidP="00683496">
            <w:pPr>
              <w:spacing w:before="60" w:after="60"/>
              <w:jc w:val="center"/>
              <w:rPr>
                <w:rFonts w:ascii="Verdana" w:hAnsi="Verdana" w:cs="Arial"/>
                <w:sz w:val="16"/>
                <w:szCs w:val="16"/>
              </w:rPr>
            </w:pPr>
            <w:r>
              <w:rPr>
                <w:rFonts w:ascii="Verdana" w:hAnsi="Verdana" w:cs="Arial"/>
                <w:sz w:val="16"/>
                <w:szCs w:val="16"/>
              </w:rPr>
              <w:t>PN-EN 22592 [62]</w:t>
            </w:r>
          </w:p>
        </w:tc>
        <w:tc>
          <w:tcPr>
            <w:tcW w:w="561" w:type="pct"/>
          </w:tcPr>
          <w:p w:rsidR="00683496" w:rsidRPr="008230B1" w:rsidRDefault="00683496" w:rsidP="00683496">
            <w:pPr>
              <w:spacing w:before="60" w:after="60"/>
              <w:jc w:val="center"/>
              <w:rPr>
                <w:rFonts w:ascii="Verdana" w:hAnsi="Verdana" w:cs="Arial"/>
                <w:sz w:val="16"/>
                <w:szCs w:val="16"/>
              </w:rPr>
            </w:pPr>
            <w:r>
              <w:rPr>
                <w:rFonts w:ascii="Verdana" w:hAnsi="Verdana" w:cs="Arial"/>
                <w:sz w:val="16"/>
                <w:szCs w:val="16"/>
              </w:rPr>
              <w:t>240</w:t>
            </w:r>
          </w:p>
        </w:tc>
        <w:tc>
          <w:tcPr>
            <w:tcW w:w="443" w:type="pct"/>
          </w:tcPr>
          <w:p w:rsidR="00683496" w:rsidRPr="008230B1" w:rsidRDefault="00683496" w:rsidP="00683496">
            <w:pPr>
              <w:spacing w:before="60" w:after="60"/>
              <w:jc w:val="center"/>
              <w:rPr>
                <w:rFonts w:ascii="Verdana" w:hAnsi="Verdana" w:cs="Arial"/>
                <w:sz w:val="16"/>
                <w:szCs w:val="16"/>
              </w:rPr>
            </w:pPr>
            <w:r>
              <w:rPr>
                <w:rFonts w:ascii="Verdana" w:hAnsi="Verdana" w:cs="Arial"/>
                <w:sz w:val="16"/>
                <w:szCs w:val="16"/>
              </w:rPr>
              <w:t>230</w:t>
            </w:r>
          </w:p>
        </w:tc>
      </w:tr>
      <w:tr w:rsidR="00683496" w:rsidRPr="009040B8" w:rsidTr="00683496">
        <w:trPr>
          <w:jc w:val="center"/>
        </w:trPr>
        <w:tc>
          <w:tcPr>
            <w:tcW w:w="283" w:type="pct"/>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lastRenderedPageBreak/>
              <w:t>4</w:t>
            </w:r>
          </w:p>
        </w:tc>
        <w:tc>
          <w:tcPr>
            <w:tcW w:w="2257" w:type="pct"/>
            <w:vAlign w:val="center"/>
          </w:tcPr>
          <w:p w:rsidR="00683496" w:rsidRPr="008230B1" w:rsidRDefault="00683496" w:rsidP="00683496">
            <w:pPr>
              <w:rPr>
                <w:rFonts w:ascii="Verdana" w:hAnsi="Verdana" w:cs="Arial"/>
                <w:sz w:val="16"/>
                <w:szCs w:val="16"/>
              </w:rPr>
            </w:pPr>
            <w:r>
              <w:rPr>
                <w:rFonts w:ascii="Verdana" w:hAnsi="Verdana" w:cs="Arial"/>
                <w:sz w:val="16"/>
                <w:szCs w:val="16"/>
              </w:rPr>
              <w:t>Rozpuszczalność, nie mniej niż</w:t>
            </w:r>
          </w:p>
        </w:tc>
        <w:tc>
          <w:tcPr>
            <w:tcW w:w="480" w:type="pct"/>
          </w:tcPr>
          <w:p w:rsidR="00683496" w:rsidRPr="004C7C44" w:rsidRDefault="00683496" w:rsidP="00683496">
            <w:pPr>
              <w:spacing w:before="60" w:after="60"/>
              <w:jc w:val="center"/>
              <w:rPr>
                <w:rFonts w:ascii="Verdana" w:hAnsi="Verdana" w:cs="Arial"/>
                <w:sz w:val="16"/>
                <w:szCs w:val="16"/>
              </w:rPr>
            </w:pPr>
            <w:r>
              <w:rPr>
                <w:rFonts w:ascii="Verdana" w:hAnsi="Verdana" w:cs="Arial"/>
                <w:sz w:val="16"/>
                <w:szCs w:val="16"/>
              </w:rPr>
              <w:t>% m/m</w:t>
            </w:r>
          </w:p>
        </w:tc>
        <w:tc>
          <w:tcPr>
            <w:tcW w:w="976" w:type="pct"/>
          </w:tcPr>
          <w:p w:rsidR="00683496" w:rsidRDefault="00683496" w:rsidP="00683496">
            <w:pPr>
              <w:spacing w:before="60" w:after="60"/>
              <w:jc w:val="center"/>
              <w:rPr>
                <w:rFonts w:ascii="Verdana" w:hAnsi="Verdana" w:cs="Arial"/>
                <w:sz w:val="16"/>
                <w:szCs w:val="16"/>
              </w:rPr>
            </w:pPr>
            <w:r>
              <w:rPr>
                <w:rFonts w:ascii="Verdana" w:hAnsi="Verdana" w:cs="Arial"/>
                <w:sz w:val="16"/>
                <w:szCs w:val="16"/>
              </w:rPr>
              <w:t>PN-EN 12592 [28]</w:t>
            </w:r>
          </w:p>
        </w:tc>
        <w:tc>
          <w:tcPr>
            <w:tcW w:w="561" w:type="pct"/>
          </w:tcPr>
          <w:p w:rsidR="00683496" w:rsidRDefault="00683496" w:rsidP="00683496">
            <w:pPr>
              <w:spacing w:before="60" w:after="60"/>
              <w:jc w:val="center"/>
              <w:rPr>
                <w:rFonts w:ascii="Verdana" w:hAnsi="Verdana" w:cs="Arial"/>
                <w:sz w:val="16"/>
                <w:szCs w:val="16"/>
              </w:rPr>
            </w:pPr>
            <w:r>
              <w:rPr>
                <w:rFonts w:ascii="Verdana" w:hAnsi="Verdana" w:cs="Arial"/>
                <w:sz w:val="16"/>
                <w:szCs w:val="16"/>
              </w:rPr>
              <w:t>99,0</w:t>
            </w:r>
          </w:p>
        </w:tc>
        <w:tc>
          <w:tcPr>
            <w:tcW w:w="443" w:type="pct"/>
          </w:tcPr>
          <w:p w:rsidR="00683496" w:rsidRDefault="00683496" w:rsidP="00683496">
            <w:pPr>
              <w:spacing w:before="60" w:after="60"/>
              <w:jc w:val="center"/>
              <w:rPr>
                <w:rFonts w:ascii="Verdana" w:hAnsi="Verdana" w:cs="Arial"/>
                <w:sz w:val="16"/>
                <w:szCs w:val="16"/>
              </w:rPr>
            </w:pPr>
            <w:r>
              <w:rPr>
                <w:rFonts w:ascii="Verdana" w:hAnsi="Verdana" w:cs="Arial"/>
                <w:sz w:val="16"/>
                <w:szCs w:val="16"/>
              </w:rPr>
              <w:t>99,0</w:t>
            </w:r>
          </w:p>
        </w:tc>
      </w:tr>
      <w:tr w:rsidR="00683496" w:rsidRPr="009040B8" w:rsidTr="00683496">
        <w:trPr>
          <w:jc w:val="center"/>
        </w:trPr>
        <w:tc>
          <w:tcPr>
            <w:tcW w:w="283" w:type="pct"/>
            <w:vAlign w:val="center"/>
          </w:tcPr>
          <w:p w:rsidR="00683496" w:rsidRDefault="00683496" w:rsidP="00683496">
            <w:pPr>
              <w:jc w:val="center"/>
              <w:rPr>
                <w:rFonts w:ascii="Verdana" w:hAnsi="Verdana" w:cs="Arial"/>
                <w:sz w:val="16"/>
                <w:szCs w:val="16"/>
              </w:rPr>
            </w:pPr>
            <w:r>
              <w:rPr>
                <w:rFonts w:ascii="Verdana" w:hAnsi="Verdana" w:cs="Arial"/>
                <w:sz w:val="16"/>
                <w:szCs w:val="16"/>
              </w:rPr>
              <w:t>5</w:t>
            </w:r>
          </w:p>
        </w:tc>
        <w:tc>
          <w:tcPr>
            <w:tcW w:w="2257" w:type="pct"/>
            <w:vAlign w:val="center"/>
          </w:tcPr>
          <w:p w:rsidR="00683496" w:rsidRPr="004C7C44" w:rsidRDefault="00683496" w:rsidP="00683496">
            <w:pPr>
              <w:rPr>
                <w:rFonts w:ascii="Verdana" w:hAnsi="Verdana" w:cs="Arial"/>
                <w:sz w:val="16"/>
                <w:szCs w:val="16"/>
              </w:rPr>
            </w:pPr>
            <w:r>
              <w:rPr>
                <w:rFonts w:ascii="Verdana" w:hAnsi="Verdana" w:cs="Arial"/>
                <w:sz w:val="16"/>
                <w:szCs w:val="16"/>
              </w:rPr>
              <w:t xml:space="preserve">Zmiana masy </w:t>
            </w:r>
            <w:r>
              <w:rPr>
                <w:rFonts w:ascii="Verdana" w:hAnsi="Verdana" w:cs="Arial"/>
                <w:sz w:val="16"/>
                <w:szCs w:val="16"/>
                <w:vertAlign w:val="superscript"/>
              </w:rPr>
              <w:t>a</w:t>
            </w:r>
            <w:r>
              <w:rPr>
                <w:rFonts w:ascii="Verdana" w:hAnsi="Verdana" w:cs="Arial"/>
                <w:sz w:val="16"/>
                <w:szCs w:val="16"/>
              </w:rPr>
              <w:t xml:space="preserve"> (wartość bezwzględna),                         nie więcej niż</w:t>
            </w:r>
          </w:p>
        </w:tc>
        <w:tc>
          <w:tcPr>
            <w:tcW w:w="480" w:type="pct"/>
          </w:tcPr>
          <w:p w:rsidR="00683496" w:rsidRDefault="00683496" w:rsidP="00683496">
            <w:pPr>
              <w:spacing w:before="60" w:after="60"/>
              <w:jc w:val="center"/>
              <w:rPr>
                <w:rFonts w:ascii="Verdana" w:hAnsi="Verdana" w:cs="Arial"/>
                <w:sz w:val="16"/>
                <w:szCs w:val="16"/>
              </w:rPr>
            </w:pPr>
            <w:r>
              <w:rPr>
                <w:rFonts w:ascii="Verdana" w:hAnsi="Verdana" w:cs="Arial"/>
                <w:sz w:val="16"/>
                <w:szCs w:val="16"/>
              </w:rPr>
              <w:t>%</w:t>
            </w:r>
          </w:p>
        </w:tc>
        <w:tc>
          <w:tcPr>
            <w:tcW w:w="976" w:type="pct"/>
          </w:tcPr>
          <w:p w:rsidR="00683496" w:rsidRDefault="00683496" w:rsidP="00683496">
            <w:pPr>
              <w:spacing w:before="60" w:after="60"/>
              <w:jc w:val="center"/>
              <w:rPr>
                <w:rFonts w:ascii="Verdana" w:hAnsi="Verdana" w:cs="Arial"/>
                <w:sz w:val="16"/>
                <w:szCs w:val="16"/>
              </w:rPr>
            </w:pPr>
            <w:r>
              <w:rPr>
                <w:rFonts w:ascii="Verdana" w:hAnsi="Verdana" w:cs="Arial"/>
                <w:sz w:val="16"/>
                <w:szCs w:val="16"/>
              </w:rPr>
              <w:t>PN-EN 12607-1 [31]</w:t>
            </w:r>
          </w:p>
        </w:tc>
        <w:tc>
          <w:tcPr>
            <w:tcW w:w="561" w:type="pct"/>
          </w:tcPr>
          <w:p w:rsidR="00683496" w:rsidRPr="008230B1" w:rsidRDefault="00683496" w:rsidP="00683496">
            <w:pPr>
              <w:jc w:val="center"/>
              <w:rPr>
                <w:rFonts w:ascii="Verdana" w:hAnsi="Verdana" w:cs="Arial"/>
                <w:sz w:val="16"/>
                <w:szCs w:val="16"/>
              </w:rPr>
            </w:pP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0,5</w:t>
            </w:r>
          </w:p>
        </w:tc>
        <w:tc>
          <w:tcPr>
            <w:tcW w:w="443" w:type="pct"/>
          </w:tcPr>
          <w:p w:rsidR="00683496" w:rsidRPr="008230B1" w:rsidRDefault="00683496" w:rsidP="00683496">
            <w:pPr>
              <w:jc w:val="center"/>
              <w:rPr>
                <w:rFonts w:ascii="Verdana" w:hAnsi="Verdana" w:cs="Arial"/>
                <w:sz w:val="16"/>
                <w:szCs w:val="16"/>
              </w:rPr>
            </w:pP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0,5</w:t>
            </w:r>
          </w:p>
        </w:tc>
      </w:tr>
      <w:tr w:rsidR="00683496" w:rsidRPr="009040B8" w:rsidTr="00683496">
        <w:trPr>
          <w:jc w:val="center"/>
        </w:trPr>
        <w:tc>
          <w:tcPr>
            <w:tcW w:w="283" w:type="pct"/>
            <w:vAlign w:val="center"/>
          </w:tcPr>
          <w:p w:rsidR="00683496" w:rsidRDefault="00683496" w:rsidP="00683496">
            <w:pPr>
              <w:jc w:val="center"/>
              <w:rPr>
                <w:rFonts w:ascii="Verdana" w:hAnsi="Verdana" w:cs="Arial"/>
                <w:sz w:val="16"/>
                <w:szCs w:val="16"/>
              </w:rPr>
            </w:pPr>
            <w:r>
              <w:rPr>
                <w:rFonts w:ascii="Verdana" w:hAnsi="Verdana" w:cs="Arial"/>
                <w:sz w:val="16"/>
                <w:szCs w:val="16"/>
              </w:rPr>
              <w:t>6</w:t>
            </w:r>
          </w:p>
        </w:tc>
        <w:tc>
          <w:tcPr>
            <w:tcW w:w="2257" w:type="pct"/>
            <w:vAlign w:val="center"/>
          </w:tcPr>
          <w:p w:rsidR="00683496" w:rsidRDefault="00683496" w:rsidP="00683496">
            <w:pPr>
              <w:rPr>
                <w:rFonts w:ascii="Verdana" w:hAnsi="Verdana" w:cs="Arial"/>
                <w:sz w:val="16"/>
                <w:szCs w:val="16"/>
              </w:rPr>
            </w:pPr>
            <w:r>
              <w:rPr>
                <w:rFonts w:ascii="Verdana" w:hAnsi="Verdana" w:cs="Arial"/>
                <w:sz w:val="16"/>
                <w:szCs w:val="16"/>
              </w:rPr>
              <w:t>Pozostała penetracja, nie mniej niż</w:t>
            </w:r>
          </w:p>
        </w:tc>
        <w:tc>
          <w:tcPr>
            <w:tcW w:w="480" w:type="pct"/>
          </w:tcPr>
          <w:p w:rsidR="00683496" w:rsidRDefault="00683496" w:rsidP="00683496">
            <w:pPr>
              <w:spacing w:before="60" w:after="60"/>
              <w:jc w:val="center"/>
              <w:rPr>
                <w:rFonts w:ascii="Verdana" w:hAnsi="Verdana" w:cs="Arial"/>
                <w:sz w:val="16"/>
                <w:szCs w:val="16"/>
              </w:rPr>
            </w:pPr>
            <w:r>
              <w:rPr>
                <w:rFonts w:ascii="Verdana" w:hAnsi="Verdana" w:cs="Arial"/>
                <w:sz w:val="16"/>
                <w:szCs w:val="16"/>
              </w:rPr>
              <w:t>%</w:t>
            </w:r>
          </w:p>
        </w:tc>
        <w:tc>
          <w:tcPr>
            <w:tcW w:w="976" w:type="pct"/>
          </w:tcPr>
          <w:p w:rsidR="00683496" w:rsidRDefault="00683496" w:rsidP="00683496">
            <w:pPr>
              <w:spacing w:before="60" w:after="60"/>
              <w:jc w:val="center"/>
              <w:rPr>
                <w:rFonts w:ascii="Verdana" w:hAnsi="Verdana" w:cs="Arial"/>
                <w:sz w:val="16"/>
                <w:szCs w:val="16"/>
              </w:rPr>
            </w:pPr>
            <w:r>
              <w:rPr>
                <w:rFonts w:ascii="Verdana" w:hAnsi="Verdana" w:cs="Arial"/>
                <w:sz w:val="16"/>
                <w:szCs w:val="16"/>
              </w:rPr>
              <w:t>PN-EN 12607-1 [31]</w:t>
            </w:r>
          </w:p>
        </w:tc>
        <w:tc>
          <w:tcPr>
            <w:tcW w:w="561" w:type="pct"/>
          </w:tcPr>
          <w:p w:rsidR="00683496" w:rsidRPr="008230B1" w:rsidRDefault="00683496" w:rsidP="00683496">
            <w:pPr>
              <w:jc w:val="center"/>
              <w:rPr>
                <w:rFonts w:ascii="Verdana" w:hAnsi="Verdana" w:cs="Arial"/>
                <w:sz w:val="16"/>
                <w:szCs w:val="16"/>
              </w:rPr>
            </w:pPr>
          </w:p>
          <w:p w:rsidR="00683496" w:rsidRPr="008230B1" w:rsidRDefault="00683496" w:rsidP="00683496">
            <w:pPr>
              <w:jc w:val="center"/>
              <w:rPr>
                <w:rFonts w:ascii="Verdana" w:hAnsi="Verdana" w:cs="Arial"/>
                <w:sz w:val="16"/>
                <w:szCs w:val="16"/>
              </w:rPr>
            </w:pPr>
            <w:r>
              <w:rPr>
                <w:rFonts w:ascii="Verdana" w:hAnsi="Verdana" w:cs="Arial"/>
                <w:sz w:val="16"/>
                <w:szCs w:val="16"/>
              </w:rPr>
              <w:t>53</w:t>
            </w:r>
          </w:p>
        </w:tc>
        <w:tc>
          <w:tcPr>
            <w:tcW w:w="443" w:type="pct"/>
          </w:tcPr>
          <w:p w:rsidR="00683496" w:rsidRPr="008230B1" w:rsidRDefault="00683496" w:rsidP="00683496">
            <w:pPr>
              <w:jc w:val="center"/>
              <w:rPr>
                <w:rFonts w:ascii="Verdana" w:hAnsi="Verdana" w:cs="Arial"/>
                <w:sz w:val="16"/>
                <w:szCs w:val="16"/>
              </w:rPr>
            </w:pPr>
          </w:p>
          <w:p w:rsidR="00683496" w:rsidRPr="008230B1" w:rsidRDefault="00683496" w:rsidP="00683496">
            <w:pPr>
              <w:jc w:val="center"/>
              <w:rPr>
                <w:rFonts w:ascii="Verdana" w:hAnsi="Verdana" w:cs="Arial"/>
                <w:sz w:val="16"/>
                <w:szCs w:val="16"/>
              </w:rPr>
            </w:pPr>
            <w:r>
              <w:rPr>
                <w:rFonts w:ascii="Verdana" w:hAnsi="Verdana" w:cs="Arial"/>
                <w:sz w:val="16"/>
                <w:szCs w:val="16"/>
              </w:rPr>
              <w:t>50</w:t>
            </w:r>
          </w:p>
        </w:tc>
      </w:tr>
      <w:tr w:rsidR="00683496" w:rsidRPr="009040B8" w:rsidTr="00683496">
        <w:trPr>
          <w:jc w:val="center"/>
        </w:trPr>
        <w:tc>
          <w:tcPr>
            <w:tcW w:w="283" w:type="pct"/>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7</w:t>
            </w:r>
          </w:p>
        </w:tc>
        <w:tc>
          <w:tcPr>
            <w:tcW w:w="2257" w:type="pct"/>
          </w:tcPr>
          <w:p w:rsidR="00683496" w:rsidRPr="008230B1" w:rsidRDefault="00683496" w:rsidP="00683496">
            <w:pPr>
              <w:rPr>
                <w:rFonts w:ascii="Verdana" w:hAnsi="Verdana" w:cs="Arial"/>
                <w:sz w:val="16"/>
                <w:szCs w:val="16"/>
              </w:rPr>
            </w:pPr>
            <w:r w:rsidRPr="008230B1">
              <w:rPr>
                <w:rFonts w:ascii="Verdana" w:hAnsi="Verdana" w:cs="Arial"/>
                <w:sz w:val="16"/>
                <w:szCs w:val="16"/>
              </w:rPr>
              <w:t xml:space="preserve">Wzrost temp. mięknienia po starzeniu, </w:t>
            </w:r>
            <w:r>
              <w:rPr>
                <w:rFonts w:ascii="Verdana" w:hAnsi="Verdana" w:cs="Arial"/>
                <w:sz w:val="16"/>
                <w:szCs w:val="16"/>
              </w:rPr>
              <w:t xml:space="preserve">                               </w:t>
            </w:r>
            <w:r w:rsidRPr="008230B1">
              <w:rPr>
                <w:rFonts w:ascii="Verdana" w:hAnsi="Verdana" w:cs="Arial"/>
                <w:sz w:val="16"/>
                <w:szCs w:val="16"/>
              </w:rPr>
              <w:t>nie więcej niż</w:t>
            </w:r>
          </w:p>
        </w:tc>
        <w:tc>
          <w:tcPr>
            <w:tcW w:w="480" w:type="pct"/>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°C</w:t>
            </w:r>
          </w:p>
        </w:tc>
        <w:tc>
          <w:tcPr>
            <w:tcW w:w="976" w:type="pct"/>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PN-EN 1427 [22]</w:t>
            </w:r>
          </w:p>
        </w:tc>
        <w:tc>
          <w:tcPr>
            <w:tcW w:w="561" w:type="pct"/>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8</w:t>
            </w:r>
          </w:p>
        </w:tc>
        <w:tc>
          <w:tcPr>
            <w:tcW w:w="443" w:type="pct"/>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9</w:t>
            </w:r>
          </w:p>
        </w:tc>
      </w:tr>
      <w:tr w:rsidR="00683496" w:rsidRPr="009040B8" w:rsidTr="00683496">
        <w:trPr>
          <w:trHeight w:val="321"/>
          <w:jc w:val="center"/>
        </w:trPr>
        <w:tc>
          <w:tcPr>
            <w:tcW w:w="5000" w:type="pct"/>
            <w:gridSpan w:val="6"/>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Właściwości uwzględniające warunki krajowe</w:t>
            </w:r>
          </w:p>
        </w:tc>
      </w:tr>
      <w:tr w:rsidR="00683496" w:rsidRPr="009040B8" w:rsidTr="00683496">
        <w:trPr>
          <w:jc w:val="center"/>
        </w:trPr>
        <w:tc>
          <w:tcPr>
            <w:tcW w:w="283" w:type="pct"/>
            <w:vAlign w:val="center"/>
          </w:tcPr>
          <w:p w:rsidR="00683496" w:rsidRDefault="00683496" w:rsidP="00683496">
            <w:pPr>
              <w:jc w:val="center"/>
              <w:rPr>
                <w:rFonts w:ascii="Verdana" w:hAnsi="Verdana" w:cs="Arial"/>
                <w:sz w:val="16"/>
                <w:szCs w:val="16"/>
              </w:rPr>
            </w:pPr>
            <w:r>
              <w:rPr>
                <w:rFonts w:ascii="Verdana" w:hAnsi="Verdana" w:cs="Arial"/>
                <w:sz w:val="16"/>
                <w:szCs w:val="16"/>
              </w:rPr>
              <w:t>8</w:t>
            </w:r>
          </w:p>
        </w:tc>
        <w:tc>
          <w:tcPr>
            <w:tcW w:w="2257" w:type="pct"/>
          </w:tcPr>
          <w:p w:rsidR="00683496" w:rsidRPr="008230B1" w:rsidRDefault="00683496" w:rsidP="00683496">
            <w:pPr>
              <w:rPr>
                <w:rFonts w:ascii="Verdana" w:hAnsi="Verdana" w:cs="Arial"/>
                <w:sz w:val="16"/>
                <w:szCs w:val="16"/>
              </w:rPr>
            </w:pPr>
            <w:r w:rsidRPr="008230B1">
              <w:rPr>
                <w:rFonts w:ascii="Verdana" w:hAnsi="Verdana" w:cs="Arial"/>
                <w:sz w:val="16"/>
                <w:szCs w:val="16"/>
              </w:rPr>
              <w:t xml:space="preserve">Temperatura łamliwości </w:t>
            </w:r>
            <w:proofErr w:type="spellStart"/>
            <w:r w:rsidRPr="008230B1">
              <w:rPr>
                <w:rFonts w:ascii="Verdana" w:hAnsi="Verdana" w:cs="Arial"/>
                <w:sz w:val="16"/>
                <w:szCs w:val="16"/>
              </w:rPr>
              <w:t>Fraassa</w:t>
            </w:r>
            <w:proofErr w:type="spellEnd"/>
            <w:r w:rsidRPr="008230B1">
              <w:rPr>
                <w:rFonts w:ascii="Verdana" w:hAnsi="Verdana" w:cs="Arial"/>
                <w:sz w:val="16"/>
                <w:szCs w:val="16"/>
              </w:rPr>
              <w:t xml:space="preserve">, </w:t>
            </w:r>
            <w:r>
              <w:rPr>
                <w:rFonts w:ascii="Verdana" w:hAnsi="Verdana" w:cs="Arial"/>
                <w:sz w:val="16"/>
                <w:szCs w:val="16"/>
              </w:rPr>
              <w:t xml:space="preserve">                                             </w:t>
            </w:r>
            <w:r w:rsidRPr="008230B1">
              <w:rPr>
                <w:rFonts w:ascii="Verdana" w:hAnsi="Verdana" w:cs="Arial"/>
                <w:sz w:val="16"/>
                <w:szCs w:val="16"/>
              </w:rPr>
              <w:t>nie więcej niż</w:t>
            </w:r>
          </w:p>
        </w:tc>
        <w:tc>
          <w:tcPr>
            <w:tcW w:w="480" w:type="pct"/>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°C</w:t>
            </w:r>
          </w:p>
        </w:tc>
        <w:tc>
          <w:tcPr>
            <w:tcW w:w="976" w:type="pct"/>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2593</w:t>
            </w:r>
            <w:r w:rsidRPr="008230B1">
              <w:rPr>
                <w:rFonts w:ascii="Verdana" w:hAnsi="Verdana" w:cs="Arial"/>
                <w:sz w:val="16"/>
                <w:szCs w:val="16"/>
              </w:rPr>
              <w:t xml:space="preserve"> [2</w:t>
            </w:r>
            <w:r>
              <w:rPr>
                <w:rFonts w:ascii="Verdana" w:hAnsi="Verdana" w:cs="Arial"/>
                <w:sz w:val="16"/>
                <w:szCs w:val="16"/>
              </w:rPr>
              <w:t>9</w:t>
            </w:r>
            <w:r w:rsidRPr="008230B1">
              <w:rPr>
                <w:rFonts w:ascii="Verdana" w:hAnsi="Verdana" w:cs="Arial"/>
                <w:sz w:val="16"/>
                <w:szCs w:val="16"/>
              </w:rPr>
              <w:t>]</w:t>
            </w:r>
          </w:p>
        </w:tc>
        <w:tc>
          <w:tcPr>
            <w:tcW w:w="561" w:type="pct"/>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-5</w:t>
            </w:r>
          </w:p>
        </w:tc>
        <w:tc>
          <w:tcPr>
            <w:tcW w:w="443" w:type="pct"/>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-8</w:t>
            </w:r>
          </w:p>
        </w:tc>
      </w:tr>
      <w:tr w:rsidR="00683496" w:rsidRPr="009040B8" w:rsidTr="00683496">
        <w:trPr>
          <w:jc w:val="center"/>
        </w:trPr>
        <w:tc>
          <w:tcPr>
            <w:tcW w:w="283" w:type="pct"/>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9</w:t>
            </w:r>
          </w:p>
        </w:tc>
        <w:tc>
          <w:tcPr>
            <w:tcW w:w="2257" w:type="pct"/>
            <w:vAlign w:val="center"/>
          </w:tcPr>
          <w:p w:rsidR="00683496" w:rsidRPr="008230B1" w:rsidRDefault="00683496" w:rsidP="00683496">
            <w:pPr>
              <w:rPr>
                <w:rFonts w:ascii="Verdana" w:hAnsi="Verdana" w:cs="Arial"/>
                <w:sz w:val="16"/>
                <w:szCs w:val="16"/>
              </w:rPr>
            </w:pPr>
            <w:r>
              <w:rPr>
                <w:rFonts w:ascii="Verdana" w:hAnsi="Verdana" w:cs="Arial"/>
                <w:sz w:val="16"/>
                <w:szCs w:val="16"/>
              </w:rPr>
              <w:t>Indeks penetracji</w:t>
            </w:r>
          </w:p>
        </w:tc>
        <w:tc>
          <w:tcPr>
            <w:tcW w:w="480" w:type="pct"/>
            <w:vAlign w:val="center"/>
          </w:tcPr>
          <w:p w:rsidR="00683496" w:rsidRPr="00640D1C" w:rsidRDefault="00683496" w:rsidP="00683496">
            <w:pPr>
              <w:spacing w:before="120"/>
              <w:jc w:val="center"/>
              <w:rPr>
                <w:rFonts w:ascii="Verdana" w:hAnsi="Verdana" w:cs="Arial"/>
                <w:sz w:val="16"/>
                <w:szCs w:val="16"/>
              </w:rPr>
            </w:pPr>
            <w:r>
              <w:rPr>
                <w:rFonts w:ascii="Verdana" w:hAnsi="Verdana" w:cs="Arial"/>
                <w:sz w:val="16"/>
                <w:szCs w:val="16"/>
              </w:rPr>
              <w:t>-</w:t>
            </w:r>
          </w:p>
        </w:tc>
        <w:tc>
          <w:tcPr>
            <w:tcW w:w="976" w:type="pct"/>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2591                    Zał. A</w:t>
            </w:r>
            <w:r w:rsidRPr="008230B1">
              <w:rPr>
                <w:rFonts w:ascii="Verdana" w:hAnsi="Verdana" w:cs="Arial"/>
                <w:sz w:val="16"/>
                <w:szCs w:val="16"/>
              </w:rPr>
              <w:t xml:space="preserve"> [2</w:t>
            </w:r>
            <w:r>
              <w:rPr>
                <w:rFonts w:ascii="Verdana" w:hAnsi="Verdana" w:cs="Arial"/>
                <w:sz w:val="16"/>
                <w:szCs w:val="16"/>
              </w:rPr>
              <w:t>7</w:t>
            </w:r>
            <w:r w:rsidRPr="008230B1">
              <w:rPr>
                <w:rFonts w:ascii="Verdana" w:hAnsi="Verdana" w:cs="Arial"/>
                <w:sz w:val="16"/>
                <w:szCs w:val="16"/>
              </w:rPr>
              <w:t>]</w:t>
            </w:r>
          </w:p>
        </w:tc>
        <w:tc>
          <w:tcPr>
            <w:tcW w:w="561" w:type="pct"/>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NR</w:t>
            </w:r>
          </w:p>
        </w:tc>
        <w:tc>
          <w:tcPr>
            <w:tcW w:w="443" w:type="pct"/>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NR</w:t>
            </w:r>
          </w:p>
        </w:tc>
      </w:tr>
      <w:tr w:rsidR="00683496" w:rsidRPr="009040B8" w:rsidTr="00683496">
        <w:trPr>
          <w:jc w:val="center"/>
        </w:trPr>
        <w:tc>
          <w:tcPr>
            <w:tcW w:w="283" w:type="pct"/>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10</w:t>
            </w:r>
          </w:p>
        </w:tc>
        <w:tc>
          <w:tcPr>
            <w:tcW w:w="2257" w:type="pct"/>
            <w:vAlign w:val="center"/>
          </w:tcPr>
          <w:p w:rsidR="00683496" w:rsidRPr="00640D1C" w:rsidRDefault="00683496" w:rsidP="00683496">
            <w:pPr>
              <w:rPr>
                <w:rFonts w:ascii="Verdana" w:hAnsi="Verdana" w:cs="Arial"/>
                <w:sz w:val="16"/>
                <w:szCs w:val="16"/>
              </w:rPr>
            </w:pPr>
            <w:r>
              <w:rPr>
                <w:rFonts w:ascii="Verdana" w:hAnsi="Verdana" w:cs="Arial"/>
                <w:sz w:val="16"/>
                <w:szCs w:val="16"/>
              </w:rPr>
              <w:t>Lepkość dynamiczna w 60</w:t>
            </w:r>
            <w:r>
              <w:rPr>
                <w:rFonts w:ascii="Verdana" w:hAnsi="Verdana" w:cs="Arial"/>
                <w:sz w:val="16"/>
                <w:szCs w:val="16"/>
                <w:vertAlign w:val="superscript"/>
              </w:rPr>
              <w:t>o</w:t>
            </w:r>
            <w:r>
              <w:rPr>
                <w:rFonts w:ascii="Verdana" w:hAnsi="Verdana" w:cs="Arial"/>
                <w:sz w:val="16"/>
                <w:szCs w:val="16"/>
              </w:rPr>
              <w:t>C</w:t>
            </w:r>
          </w:p>
        </w:tc>
        <w:tc>
          <w:tcPr>
            <w:tcW w:w="480" w:type="pct"/>
            <w:vAlign w:val="center"/>
          </w:tcPr>
          <w:p w:rsidR="00683496" w:rsidRPr="00640D1C" w:rsidRDefault="00683496" w:rsidP="00683496">
            <w:pPr>
              <w:spacing w:before="120"/>
              <w:jc w:val="center"/>
              <w:rPr>
                <w:rFonts w:ascii="Verdana" w:hAnsi="Verdana" w:cs="Arial"/>
                <w:sz w:val="16"/>
                <w:szCs w:val="16"/>
              </w:rPr>
            </w:pPr>
            <w:r>
              <w:rPr>
                <w:rFonts w:ascii="Verdana" w:hAnsi="Verdana" w:cs="Arial"/>
                <w:sz w:val="16"/>
                <w:szCs w:val="16"/>
              </w:rPr>
              <w:t xml:space="preserve">Pa </w:t>
            </w:r>
            <w:r w:rsidRPr="00640D1C">
              <w:rPr>
                <w:rFonts w:ascii="Verdana" w:hAnsi="Verdana" w:cs="Arial"/>
                <w:b/>
                <w:sz w:val="16"/>
                <w:szCs w:val="16"/>
                <w:vertAlign w:val="superscript"/>
              </w:rPr>
              <w:t>.</w:t>
            </w:r>
            <w:r>
              <w:rPr>
                <w:rFonts w:ascii="Verdana" w:hAnsi="Verdana" w:cs="Arial"/>
                <w:b/>
                <w:sz w:val="16"/>
                <w:szCs w:val="16"/>
                <w:vertAlign w:val="superscript"/>
              </w:rPr>
              <w:t xml:space="preserve"> </w:t>
            </w:r>
            <w:r w:rsidRPr="00640D1C">
              <w:rPr>
                <w:rFonts w:ascii="Verdana" w:hAnsi="Verdana" w:cs="Arial"/>
                <w:sz w:val="16"/>
                <w:szCs w:val="16"/>
              </w:rPr>
              <w:t>s</w:t>
            </w:r>
          </w:p>
        </w:tc>
        <w:tc>
          <w:tcPr>
            <w:tcW w:w="976" w:type="pct"/>
            <w:vAlign w:val="center"/>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2596</w:t>
            </w:r>
            <w:r w:rsidRPr="008230B1">
              <w:rPr>
                <w:rFonts w:ascii="Verdana" w:hAnsi="Verdana" w:cs="Arial"/>
                <w:sz w:val="16"/>
                <w:szCs w:val="16"/>
              </w:rPr>
              <w:t xml:space="preserve"> </w:t>
            </w:r>
          </w:p>
        </w:tc>
        <w:tc>
          <w:tcPr>
            <w:tcW w:w="561" w:type="pct"/>
            <w:vAlign w:val="center"/>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NR</w:t>
            </w:r>
          </w:p>
        </w:tc>
        <w:tc>
          <w:tcPr>
            <w:tcW w:w="443" w:type="pct"/>
            <w:vAlign w:val="center"/>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NR</w:t>
            </w:r>
          </w:p>
        </w:tc>
      </w:tr>
      <w:tr w:rsidR="00683496" w:rsidRPr="009040B8" w:rsidTr="00683496">
        <w:trPr>
          <w:jc w:val="center"/>
        </w:trPr>
        <w:tc>
          <w:tcPr>
            <w:tcW w:w="283" w:type="pct"/>
            <w:vAlign w:val="center"/>
          </w:tcPr>
          <w:p w:rsidR="00683496" w:rsidRDefault="00683496" w:rsidP="00683496">
            <w:pPr>
              <w:jc w:val="center"/>
              <w:rPr>
                <w:rFonts w:ascii="Verdana" w:hAnsi="Verdana" w:cs="Arial"/>
                <w:sz w:val="16"/>
                <w:szCs w:val="16"/>
              </w:rPr>
            </w:pPr>
            <w:r>
              <w:rPr>
                <w:rFonts w:ascii="Verdana" w:hAnsi="Verdana" w:cs="Arial"/>
                <w:sz w:val="16"/>
                <w:szCs w:val="16"/>
              </w:rPr>
              <w:t>11</w:t>
            </w:r>
          </w:p>
        </w:tc>
        <w:tc>
          <w:tcPr>
            <w:tcW w:w="2257" w:type="pct"/>
            <w:vAlign w:val="center"/>
          </w:tcPr>
          <w:p w:rsidR="00683496" w:rsidRPr="00640D1C" w:rsidRDefault="00683496" w:rsidP="00683496">
            <w:pPr>
              <w:rPr>
                <w:rFonts w:ascii="Verdana" w:hAnsi="Verdana" w:cs="Arial"/>
                <w:sz w:val="16"/>
                <w:szCs w:val="16"/>
              </w:rPr>
            </w:pPr>
            <w:r>
              <w:rPr>
                <w:rFonts w:ascii="Verdana" w:hAnsi="Verdana" w:cs="Arial"/>
                <w:sz w:val="16"/>
                <w:szCs w:val="16"/>
              </w:rPr>
              <w:t>Lepkość kinetyczna w 135</w:t>
            </w:r>
            <w:r>
              <w:rPr>
                <w:rFonts w:ascii="Verdana" w:hAnsi="Verdana" w:cs="Arial"/>
                <w:sz w:val="16"/>
                <w:szCs w:val="16"/>
                <w:vertAlign w:val="superscript"/>
              </w:rPr>
              <w:t>o</w:t>
            </w:r>
            <w:r>
              <w:rPr>
                <w:rFonts w:ascii="Verdana" w:hAnsi="Verdana" w:cs="Arial"/>
                <w:sz w:val="16"/>
                <w:szCs w:val="16"/>
              </w:rPr>
              <w:t>C</w:t>
            </w:r>
          </w:p>
        </w:tc>
        <w:tc>
          <w:tcPr>
            <w:tcW w:w="480" w:type="pct"/>
            <w:vAlign w:val="center"/>
          </w:tcPr>
          <w:p w:rsidR="00683496" w:rsidRPr="00640D1C" w:rsidRDefault="00683496" w:rsidP="00683496">
            <w:pPr>
              <w:spacing w:before="120"/>
              <w:jc w:val="center"/>
              <w:rPr>
                <w:rFonts w:ascii="Verdana" w:hAnsi="Verdana" w:cs="Arial"/>
                <w:sz w:val="16"/>
                <w:szCs w:val="16"/>
              </w:rPr>
            </w:pPr>
            <w:r>
              <w:rPr>
                <w:rFonts w:ascii="Verdana" w:hAnsi="Verdana" w:cs="Arial"/>
                <w:sz w:val="16"/>
                <w:szCs w:val="16"/>
              </w:rPr>
              <w:t>Mm</w:t>
            </w:r>
            <w:r>
              <w:rPr>
                <w:rFonts w:ascii="Verdana" w:hAnsi="Verdana" w:cs="Arial"/>
                <w:sz w:val="16"/>
                <w:szCs w:val="16"/>
                <w:vertAlign w:val="superscript"/>
              </w:rPr>
              <w:t>2</w:t>
            </w:r>
            <w:r>
              <w:rPr>
                <w:rFonts w:ascii="Verdana" w:hAnsi="Verdana" w:cs="Arial"/>
                <w:sz w:val="16"/>
                <w:szCs w:val="16"/>
              </w:rPr>
              <w:t>/s</w:t>
            </w:r>
          </w:p>
        </w:tc>
        <w:tc>
          <w:tcPr>
            <w:tcW w:w="976" w:type="pct"/>
            <w:vAlign w:val="center"/>
          </w:tcPr>
          <w:p w:rsidR="00683496" w:rsidRPr="008230B1" w:rsidRDefault="00683496" w:rsidP="00683496">
            <w:pPr>
              <w:spacing w:before="120"/>
              <w:jc w:val="center"/>
              <w:rPr>
                <w:rFonts w:ascii="Verdana" w:hAnsi="Verdana" w:cs="Arial"/>
                <w:sz w:val="16"/>
                <w:szCs w:val="16"/>
              </w:rPr>
            </w:pPr>
            <w:r w:rsidRPr="008230B1">
              <w:rPr>
                <w:rFonts w:ascii="Verdana" w:hAnsi="Verdana" w:cs="Arial"/>
                <w:sz w:val="16"/>
                <w:szCs w:val="16"/>
              </w:rPr>
              <w:t>PN-EN 1</w:t>
            </w:r>
            <w:r>
              <w:rPr>
                <w:rFonts w:ascii="Verdana" w:hAnsi="Verdana" w:cs="Arial"/>
                <w:sz w:val="16"/>
                <w:szCs w:val="16"/>
              </w:rPr>
              <w:t>2595</w:t>
            </w:r>
          </w:p>
        </w:tc>
        <w:tc>
          <w:tcPr>
            <w:tcW w:w="561" w:type="pct"/>
            <w:vAlign w:val="center"/>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NR</w:t>
            </w:r>
          </w:p>
        </w:tc>
        <w:tc>
          <w:tcPr>
            <w:tcW w:w="443" w:type="pct"/>
            <w:vAlign w:val="center"/>
          </w:tcPr>
          <w:p w:rsidR="00683496" w:rsidRPr="008230B1" w:rsidRDefault="00683496" w:rsidP="00683496">
            <w:pPr>
              <w:spacing w:before="120"/>
              <w:jc w:val="center"/>
              <w:rPr>
                <w:rFonts w:ascii="Verdana" w:hAnsi="Verdana" w:cs="Arial"/>
                <w:sz w:val="16"/>
                <w:szCs w:val="16"/>
              </w:rPr>
            </w:pPr>
            <w:r>
              <w:rPr>
                <w:rFonts w:ascii="Verdana" w:hAnsi="Verdana" w:cs="Arial"/>
                <w:sz w:val="16"/>
                <w:szCs w:val="16"/>
              </w:rPr>
              <w:t>NR</w:t>
            </w:r>
          </w:p>
        </w:tc>
      </w:tr>
      <w:tr w:rsidR="00683496" w:rsidRPr="009040B8" w:rsidTr="00683496">
        <w:trPr>
          <w:trHeight w:val="405"/>
          <w:jc w:val="center"/>
        </w:trPr>
        <w:tc>
          <w:tcPr>
            <w:tcW w:w="5000" w:type="pct"/>
            <w:gridSpan w:val="6"/>
            <w:vAlign w:val="center"/>
          </w:tcPr>
          <w:p w:rsidR="00683496" w:rsidRDefault="00683496" w:rsidP="00683496">
            <w:pPr>
              <w:ind w:left="426" w:hanging="426"/>
              <w:rPr>
                <w:rFonts w:ascii="Verdana" w:hAnsi="Verdana" w:cs="Arial"/>
                <w:sz w:val="16"/>
                <w:szCs w:val="16"/>
              </w:rPr>
            </w:pPr>
            <w:r>
              <w:rPr>
                <w:rFonts w:ascii="Verdana" w:hAnsi="Verdana" w:cs="Arial"/>
                <w:sz w:val="16"/>
                <w:szCs w:val="16"/>
                <w:vertAlign w:val="superscript"/>
              </w:rPr>
              <w:t>a</w:t>
            </w:r>
            <w:r>
              <w:rPr>
                <w:rFonts w:ascii="Verdana" w:hAnsi="Verdana" w:cs="Arial"/>
                <w:sz w:val="16"/>
                <w:szCs w:val="16"/>
              </w:rPr>
              <w:t xml:space="preserve">       Zmiana masy może być wartością dodatnią lub ujemną,</w:t>
            </w:r>
          </w:p>
          <w:p w:rsidR="00683496" w:rsidRPr="00640D1C" w:rsidRDefault="00683496" w:rsidP="00683496">
            <w:pPr>
              <w:rPr>
                <w:rFonts w:ascii="Verdana" w:hAnsi="Verdana" w:cs="Arial"/>
                <w:sz w:val="16"/>
                <w:szCs w:val="16"/>
              </w:rPr>
            </w:pPr>
            <w:r>
              <w:rPr>
                <w:rFonts w:ascii="Verdana" w:hAnsi="Verdana" w:cs="Arial"/>
                <w:sz w:val="16"/>
                <w:szCs w:val="16"/>
              </w:rPr>
              <w:t xml:space="preserve">NR – No </w:t>
            </w:r>
            <w:proofErr w:type="spellStart"/>
            <w:r>
              <w:rPr>
                <w:rFonts w:ascii="Verdana" w:hAnsi="Verdana" w:cs="Arial"/>
                <w:sz w:val="16"/>
                <w:szCs w:val="16"/>
              </w:rPr>
              <w:t>Requirement</w:t>
            </w:r>
            <w:proofErr w:type="spellEnd"/>
            <w:r>
              <w:rPr>
                <w:rFonts w:ascii="Verdana" w:hAnsi="Verdana" w:cs="Arial"/>
                <w:sz w:val="16"/>
                <w:szCs w:val="16"/>
              </w:rPr>
              <w:t xml:space="preserve"> (brak wymagań) </w:t>
            </w:r>
          </w:p>
        </w:tc>
      </w:tr>
    </w:tbl>
    <w:p w:rsidR="00683496" w:rsidRPr="009040B8" w:rsidRDefault="00683496"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B718AA" w:rsidRDefault="00B718AA" w:rsidP="00683496">
      <w:pPr>
        <w:tabs>
          <w:tab w:val="left" w:pos="851"/>
        </w:tabs>
        <w:jc w:val="both"/>
        <w:rPr>
          <w:rFonts w:ascii="Verdana" w:hAnsi="Verdana" w:cs="Arial"/>
        </w:rPr>
      </w:pPr>
    </w:p>
    <w:p w:rsidR="00683496" w:rsidRPr="009040B8" w:rsidRDefault="00683496" w:rsidP="00683496">
      <w:pPr>
        <w:tabs>
          <w:tab w:val="left" w:pos="851"/>
        </w:tabs>
        <w:jc w:val="both"/>
        <w:rPr>
          <w:rFonts w:ascii="Verdana" w:hAnsi="Verdana" w:cs="Arial"/>
        </w:rPr>
      </w:pPr>
      <w:r w:rsidRPr="009040B8">
        <w:rPr>
          <w:rFonts w:ascii="Verdana" w:hAnsi="Verdana" w:cs="Arial"/>
        </w:rPr>
        <w:t>Tablica 4. Wymagania wobec asfaltu modyfikowanego polimerami wg PN-EN 14023 [59]</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016"/>
        <w:gridCol w:w="1560"/>
        <w:gridCol w:w="1275"/>
        <w:gridCol w:w="1134"/>
        <w:gridCol w:w="1134"/>
      </w:tblGrid>
      <w:tr w:rsidR="00683496" w:rsidRPr="009040B8" w:rsidTr="00683496">
        <w:tc>
          <w:tcPr>
            <w:tcW w:w="2628" w:type="dxa"/>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Wymaganie</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podstawowe</w:t>
            </w:r>
          </w:p>
        </w:tc>
        <w:tc>
          <w:tcPr>
            <w:tcW w:w="2016" w:type="dxa"/>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Właściwość</w:t>
            </w:r>
          </w:p>
        </w:tc>
        <w:tc>
          <w:tcPr>
            <w:tcW w:w="1560" w:type="dxa"/>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Metoda</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badania</w:t>
            </w:r>
          </w:p>
        </w:tc>
        <w:tc>
          <w:tcPr>
            <w:tcW w:w="1275" w:type="dxa"/>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Jednostka</w:t>
            </w:r>
          </w:p>
        </w:tc>
        <w:tc>
          <w:tcPr>
            <w:tcW w:w="2268" w:type="dxa"/>
            <w:gridSpan w:val="2"/>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Asfalt modyfikowany</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polimerami</w:t>
            </w:r>
          </w:p>
        </w:tc>
      </w:tr>
      <w:tr w:rsidR="00683496" w:rsidRPr="009040B8" w:rsidTr="00683496">
        <w:tc>
          <w:tcPr>
            <w:tcW w:w="2628" w:type="dxa"/>
            <w:vMerge/>
          </w:tcPr>
          <w:p w:rsidR="00683496" w:rsidRPr="008230B1" w:rsidRDefault="00683496" w:rsidP="00683496">
            <w:pPr>
              <w:jc w:val="center"/>
              <w:rPr>
                <w:rFonts w:ascii="Verdana" w:hAnsi="Verdana" w:cs="Arial"/>
                <w:sz w:val="16"/>
                <w:szCs w:val="16"/>
              </w:rPr>
            </w:pPr>
          </w:p>
        </w:tc>
        <w:tc>
          <w:tcPr>
            <w:tcW w:w="2016" w:type="dxa"/>
            <w:vMerge/>
          </w:tcPr>
          <w:p w:rsidR="00683496" w:rsidRPr="008230B1" w:rsidRDefault="00683496" w:rsidP="00683496">
            <w:pPr>
              <w:jc w:val="center"/>
              <w:rPr>
                <w:rFonts w:ascii="Verdana" w:hAnsi="Verdana" w:cs="Arial"/>
                <w:sz w:val="16"/>
                <w:szCs w:val="16"/>
              </w:rPr>
            </w:pPr>
          </w:p>
        </w:tc>
        <w:tc>
          <w:tcPr>
            <w:tcW w:w="1560" w:type="dxa"/>
            <w:vMerge/>
          </w:tcPr>
          <w:p w:rsidR="00683496" w:rsidRPr="008230B1" w:rsidRDefault="00683496" w:rsidP="00683496">
            <w:pPr>
              <w:jc w:val="center"/>
              <w:rPr>
                <w:rFonts w:ascii="Verdana" w:hAnsi="Verdana" w:cs="Arial"/>
                <w:sz w:val="16"/>
                <w:szCs w:val="16"/>
              </w:rPr>
            </w:pPr>
          </w:p>
        </w:tc>
        <w:tc>
          <w:tcPr>
            <w:tcW w:w="1275" w:type="dxa"/>
            <w:vMerge/>
          </w:tcPr>
          <w:p w:rsidR="00683496" w:rsidRPr="008230B1" w:rsidRDefault="00683496" w:rsidP="00683496">
            <w:pPr>
              <w:jc w:val="center"/>
              <w:rPr>
                <w:rFonts w:ascii="Verdana" w:hAnsi="Verdana" w:cs="Arial"/>
                <w:sz w:val="16"/>
                <w:szCs w:val="16"/>
              </w:rPr>
            </w:pPr>
          </w:p>
        </w:tc>
        <w:tc>
          <w:tcPr>
            <w:tcW w:w="2268" w:type="dxa"/>
            <w:gridSpan w:val="2"/>
            <w:vAlign w:val="center"/>
          </w:tcPr>
          <w:p w:rsidR="00683496" w:rsidRPr="008230B1" w:rsidRDefault="00683496" w:rsidP="00683496">
            <w:pPr>
              <w:jc w:val="center"/>
              <w:rPr>
                <w:rFonts w:ascii="Verdana" w:hAnsi="Verdana" w:cs="Arial"/>
                <w:sz w:val="16"/>
                <w:szCs w:val="16"/>
                <w:vertAlign w:val="superscript"/>
              </w:rPr>
            </w:pPr>
            <w:r w:rsidRPr="008230B1">
              <w:rPr>
                <w:rFonts w:ascii="Verdana" w:hAnsi="Verdana" w:cs="Arial"/>
                <w:sz w:val="16"/>
                <w:szCs w:val="16"/>
              </w:rPr>
              <w:t>PMB 25/55-60</w:t>
            </w:r>
            <w:r>
              <w:rPr>
                <w:rFonts w:ascii="Verdana" w:hAnsi="Verdana" w:cs="Arial"/>
                <w:sz w:val="16"/>
                <w:szCs w:val="16"/>
                <w:vertAlign w:val="superscript"/>
              </w:rPr>
              <w:t>a</w:t>
            </w:r>
          </w:p>
        </w:tc>
      </w:tr>
      <w:tr w:rsidR="00683496" w:rsidRPr="009040B8" w:rsidTr="00683496">
        <w:tc>
          <w:tcPr>
            <w:tcW w:w="2628" w:type="dxa"/>
            <w:vMerge/>
          </w:tcPr>
          <w:p w:rsidR="00683496" w:rsidRPr="008230B1" w:rsidRDefault="00683496" w:rsidP="00683496">
            <w:pPr>
              <w:jc w:val="center"/>
              <w:rPr>
                <w:rFonts w:ascii="Verdana" w:hAnsi="Verdana" w:cs="Arial"/>
                <w:sz w:val="16"/>
                <w:szCs w:val="16"/>
              </w:rPr>
            </w:pPr>
          </w:p>
        </w:tc>
        <w:tc>
          <w:tcPr>
            <w:tcW w:w="2016" w:type="dxa"/>
            <w:vMerge/>
          </w:tcPr>
          <w:p w:rsidR="00683496" w:rsidRPr="008230B1" w:rsidRDefault="00683496" w:rsidP="00683496">
            <w:pPr>
              <w:jc w:val="center"/>
              <w:rPr>
                <w:rFonts w:ascii="Verdana" w:hAnsi="Verdana" w:cs="Arial"/>
                <w:sz w:val="16"/>
                <w:szCs w:val="16"/>
              </w:rPr>
            </w:pPr>
          </w:p>
        </w:tc>
        <w:tc>
          <w:tcPr>
            <w:tcW w:w="1560" w:type="dxa"/>
            <w:vMerge/>
          </w:tcPr>
          <w:p w:rsidR="00683496" w:rsidRPr="008230B1" w:rsidRDefault="00683496" w:rsidP="00683496">
            <w:pPr>
              <w:jc w:val="center"/>
              <w:rPr>
                <w:rFonts w:ascii="Verdana" w:hAnsi="Verdana" w:cs="Arial"/>
                <w:sz w:val="16"/>
                <w:szCs w:val="16"/>
              </w:rPr>
            </w:pPr>
          </w:p>
        </w:tc>
        <w:tc>
          <w:tcPr>
            <w:tcW w:w="1275" w:type="dxa"/>
            <w:vMerge/>
          </w:tcPr>
          <w:p w:rsidR="00683496" w:rsidRPr="008230B1" w:rsidRDefault="00683496" w:rsidP="00683496">
            <w:pPr>
              <w:jc w:val="center"/>
              <w:rPr>
                <w:rFonts w:ascii="Verdana" w:hAnsi="Verdana" w:cs="Arial"/>
                <w:sz w:val="16"/>
                <w:szCs w:val="16"/>
              </w:rPr>
            </w:pPr>
          </w:p>
        </w:tc>
        <w:tc>
          <w:tcPr>
            <w:tcW w:w="1134" w:type="dxa"/>
            <w:vAlign w:val="center"/>
          </w:tcPr>
          <w:p w:rsidR="00683496" w:rsidRPr="008230B1" w:rsidRDefault="00683496" w:rsidP="00683496">
            <w:pPr>
              <w:spacing w:after="60"/>
              <w:jc w:val="center"/>
              <w:rPr>
                <w:rFonts w:ascii="Verdana" w:hAnsi="Verdana" w:cs="Arial"/>
                <w:sz w:val="16"/>
                <w:szCs w:val="16"/>
              </w:rPr>
            </w:pPr>
            <w:r w:rsidRPr="008230B1">
              <w:rPr>
                <w:rFonts w:ascii="Verdana" w:hAnsi="Verdana" w:cs="Arial"/>
                <w:sz w:val="16"/>
                <w:szCs w:val="16"/>
              </w:rPr>
              <w:t>wymaganie</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klasa</w:t>
            </w:r>
          </w:p>
        </w:tc>
      </w:tr>
      <w:tr w:rsidR="00683496" w:rsidRPr="009040B8" w:rsidTr="00683496">
        <w:tc>
          <w:tcPr>
            <w:tcW w:w="2628" w:type="dxa"/>
            <w:tcBorders>
              <w:top w:val="nil"/>
            </w:tcBorders>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1</w:t>
            </w:r>
          </w:p>
        </w:tc>
        <w:tc>
          <w:tcPr>
            <w:tcW w:w="2016" w:type="dxa"/>
            <w:tcBorders>
              <w:top w:val="nil"/>
            </w:tcBorders>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2</w:t>
            </w:r>
          </w:p>
        </w:tc>
        <w:tc>
          <w:tcPr>
            <w:tcW w:w="1560" w:type="dxa"/>
            <w:tcBorders>
              <w:top w:val="nil"/>
            </w:tcBorders>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3</w:t>
            </w:r>
          </w:p>
        </w:tc>
        <w:tc>
          <w:tcPr>
            <w:tcW w:w="1275" w:type="dxa"/>
            <w:tcBorders>
              <w:top w:val="nil"/>
            </w:tcBorders>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4</w:t>
            </w:r>
          </w:p>
        </w:tc>
        <w:tc>
          <w:tcPr>
            <w:tcW w:w="1134" w:type="dxa"/>
            <w:vAlign w:val="center"/>
          </w:tcPr>
          <w:p w:rsidR="00683496" w:rsidRPr="008230B1" w:rsidRDefault="00683496" w:rsidP="00683496">
            <w:pPr>
              <w:spacing w:after="60"/>
              <w:jc w:val="center"/>
              <w:rPr>
                <w:rFonts w:ascii="Verdana" w:hAnsi="Verdana" w:cs="Arial"/>
                <w:sz w:val="16"/>
                <w:szCs w:val="16"/>
              </w:rPr>
            </w:pPr>
            <w:r w:rsidRPr="008230B1">
              <w:rPr>
                <w:rFonts w:ascii="Verdana" w:hAnsi="Verdana" w:cs="Arial"/>
                <w:sz w:val="16"/>
                <w:szCs w:val="16"/>
              </w:rPr>
              <w:t>5</w:t>
            </w:r>
          </w:p>
        </w:tc>
        <w:tc>
          <w:tcPr>
            <w:tcW w:w="1134" w:type="dxa"/>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6</w:t>
            </w:r>
          </w:p>
        </w:tc>
      </w:tr>
      <w:tr w:rsidR="00683496" w:rsidRPr="009040B8" w:rsidTr="00683496">
        <w:trPr>
          <w:trHeight w:val="340"/>
        </w:trPr>
        <w:tc>
          <w:tcPr>
            <w:tcW w:w="2628" w:type="dxa"/>
          </w:tcPr>
          <w:p w:rsidR="00683496" w:rsidRPr="008230B1" w:rsidRDefault="00683496" w:rsidP="00683496">
            <w:pPr>
              <w:rPr>
                <w:rFonts w:ascii="Verdana" w:hAnsi="Verdana" w:cs="Arial"/>
                <w:sz w:val="16"/>
                <w:szCs w:val="16"/>
              </w:rPr>
            </w:pPr>
            <w:r w:rsidRPr="008230B1">
              <w:rPr>
                <w:rFonts w:ascii="Verdana" w:hAnsi="Verdana" w:cs="Arial"/>
                <w:sz w:val="16"/>
                <w:szCs w:val="16"/>
              </w:rPr>
              <w:t>Konsystencja w pośrednich temperaturach eksploatacyjnych</w:t>
            </w: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Penetracja</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w 25°C</w:t>
            </w:r>
          </w:p>
        </w:tc>
        <w:tc>
          <w:tcPr>
            <w:tcW w:w="1560" w:type="dxa"/>
            <w:vAlign w:val="center"/>
          </w:tcPr>
          <w:p w:rsidR="00683496" w:rsidRPr="008230B1" w:rsidRDefault="00683496" w:rsidP="00683496">
            <w:pPr>
              <w:tabs>
                <w:tab w:val="left" w:pos="285"/>
              </w:tabs>
              <w:jc w:val="center"/>
              <w:rPr>
                <w:rFonts w:ascii="Verdana" w:hAnsi="Verdana" w:cs="Arial"/>
                <w:sz w:val="16"/>
                <w:szCs w:val="16"/>
              </w:rPr>
            </w:pPr>
            <w:r w:rsidRPr="008230B1">
              <w:rPr>
                <w:rFonts w:ascii="Verdana" w:hAnsi="Verdana" w:cs="Arial"/>
                <w:sz w:val="16"/>
                <w:szCs w:val="16"/>
              </w:rPr>
              <w:t>PN-EN 1426 [21]</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0,1 mm</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25-55</w:t>
            </w:r>
          </w:p>
        </w:tc>
        <w:tc>
          <w:tcPr>
            <w:tcW w:w="1134" w:type="dxa"/>
            <w:tcBorders>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3</w:t>
            </w:r>
          </w:p>
        </w:tc>
      </w:tr>
      <w:tr w:rsidR="00683496" w:rsidRPr="009040B8" w:rsidTr="00683496">
        <w:trPr>
          <w:trHeight w:val="340"/>
        </w:trPr>
        <w:tc>
          <w:tcPr>
            <w:tcW w:w="2628" w:type="dxa"/>
          </w:tcPr>
          <w:p w:rsidR="00683496" w:rsidRPr="008230B1" w:rsidRDefault="00683496" w:rsidP="00683496">
            <w:pPr>
              <w:rPr>
                <w:rFonts w:ascii="Verdana" w:hAnsi="Verdana" w:cs="Arial"/>
                <w:sz w:val="16"/>
                <w:szCs w:val="16"/>
              </w:rPr>
            </w:pPr>
            <w:r w:rsidRPr="008230B1">
              <w:rPr>
                <w:rFonts w:ascii="Verdana" w:hAnsi="Verdana" w:cs="Arial"/>
                <w:sz w:val="16"/>
                <w:szCs w:val="16"/>
              </w:rPr>
              <w:t>Konsystencja  w wysokich  temperaturach eksploatacyjnych</w:t>
            </w: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Temperatura mięknienia</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1427 [22]</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60</w:t>
            </w:r>
          </w:p>
        </w:tc>
        <w:tc>
          <w:tcPr>
            <w:tcW w:w="1134" w:type="dxa"/>
            <w:tcBorders>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6</w:t>
            </w:r>
          </w:p>
        </w:tc>
      </w:tr>
      <w:tr w:rsidR="00683496" w:rsidRPr="009040B8" w:rsidTr="00683496">
        <w:trPr>
          <w:trHeight w:val="340"/>
        </w:trPr>
        <w:tc>
          <w:tcPr>
            <w:tcW w:w="2628" w:type="dxa"/>
            <w:vMerge w:val="restart"/>
            <w:vAlign w:val="center"/>
          </w:tcPr>
          <w:p w:rsidR="00683496" w:rsidRPr="008230B1" w:rsidRDefault="00683496" w:rsidP="00683496">
            <w:pPr>
              <w:rPr>
                <w:rFonts w:ascii="Verdana" w:hAnsi="Verdana" w:cs="Arial"/>
                <w:sz w:val="16"/>
                <w:szCs w:val="16"/>
                <w:vertAlign w:val="superscript"/>
              </w:rPr>
            </w:pPr>
            <w:proofErr w:type="spellStart"/>
            <w:r w:rsidRPr="008230B1">
              <w:rPr>
                <w:rFonts w:ascii="Verdana" w:hAnsi="Verdana" w:cs="Arial"/>
                <w:sz w:val="16"/>
                <w:szCs w:val="16"/>
              </w:rPr>
              <w:t>Kohezja</w:t>
            </w:r>
            <w:r>
              <w:rPr>
                <w:rFonts w:ascii="Verdana" w:hAnsi="Verdana" w:cs="Arial"/>
                <w:sz w:val="16"/>
                <w:szCs w:val="16"/>
                <w:vertAlign w:val="superscript"/>
              </w:rPr>
              <w:t>c</w:t>
            </w:r>
            <w:proofErr w:type="spellEnd"/>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Siła rozciągania (</w:t>
            </w:r>
            <w:r>
              <w:rPr>
                <w:rFonts w:ascii="Verdana" w:hAnsi="Verdana" w:cs="Arial"/>
                <w:sz w:val="16"/>
                <w:szCs w:val="16"/>
              </w:rPr>
              <w:t xml:space="preserve">metoda z </w:t>
            </w:r>
            <w:proofErr w:type="spellStart"/>
            <w:r>
              <w:rPr>
                <w:rFonts w:ascii="Verdana" w:hAnsi="Verdana" w:cs="Arial"/>
                <w:sz w:val="16"/>
                <w:szCs w:val="16"/>
              </w:rPr>
              <w:t>duktylometrem</w:t>
            </w:r>
            <w:proofErr w:type="spellEnd"/>
            <w:r>
              <w:rPr>
                <w:rFonts w:ascii="Verdana" w:hAnsi="Verdana" w:cs="Arial"/>
                <w:sz w:val="16"/>
                <w:szCs w:val="16"/>
              </w:rPr>
              <w:t>, rozciąganie 50mm/min</w:t>
            </w:r>
            <w:r w:rsidRPr="008230B1">
              <w:rPr>
                <w:rFonts w:ascii="Verdana" w:hAnsi="Verdana" w:cs="Arial"/>
                <w:sz w:val="16"/>
                <w:szCs w:val="16"/>
              </w:rPr>
              <w:t>)</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13589[55]</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13703[57]</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J/cm</w:t>
            </w:r>
            <w:r w:rsidRPr="008230B1">
              <w:rPr>
                <w:rFonts w:ascii="Verdana" w:hAnsi="Verdana" w:cs="Arial"/>
                <w:sz w:val="16"/>
                <w:szCs w:val="16"/>
                <w:vertAlign w:val="superscript"/>
              </w:rPr>
              <w:t>2</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2 w 10°C</w:t>
            </w:r>
          </w:p>
        </w:tc>
        <w:tc>
          <w:tcPr>
            <w:tcW w:w="1134" w:type="dxa"/>
            <w:tcBorders>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6</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Rozciąganie bezpośrednie w</w:t>
            </w:r>
            <w:r w:rsidRPr="008230B1">
              <w:rPr>
                <w:rFonts w:ascii="Verdana" w:hAnsi="Verdana" w:cs="Arial"/>
                <w:sz w:val="16"/>
                <w:szCs w:val="16"/>
              </w:rPr>
              <w:t xml:space="preserve"> 5°C (</w:t>
            </w:r>
            <w:r>
              <w:rPr>
                <w:rFonts w:ascii="Verdana" w:hAnsi="Verdana" w:cs="Arial"/>
                <w:sz w:val="16"/>
                <w:szCs w:val="16"/>
              </w:rPr>
              <w:t>rozciąganie 100mm/min</w:t>
            </w:r>
            <w:r w:rsidRPr="008230B1">
              <w:rPr>
                <w:rFonts w:ascii="Verdana" w:hAnsi="Verdana" w:cs="Arial"/>
                <w:sz w:val="16"/>
                <w:szCs w:val="16"/>
              </w:rPr>
              <w:t>)</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13587[53]      PN-EN 13703[57]</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J/cm</w:t>
            </w:r>
            <w:r w:rsidRPr="008230B1">
              <w:rPr>
                <w:rFonts w:ascii="Verdana" w:hAnsi="Verdana" w:cs="Arial"/>
                <w:sz w:val="16"/>
                <w:szCs w:val="16"/>
                <w:vertAlign w:val="superscript"/>
              </w:rPr>
              <w:t>2</w:t>
            </w:r>
          </w:p>
        </w:tc>
        <w:tc>
          <w:tcPr>
            <w:tcW w:w="1134" w:type="dxa"/>
            <w:vAlign w:val="center"/>
          </w:tcPr>
          <w:p w:rsidR="00683496" w:rsidRPr="008230B1" w:rsidRDefault="00683496" w:rsidP="00683496">
            <w:pPr>
              <w:jc w:val="center"/>
              <w:rPr>
                <w:rFonts w:ascii="Verdana" w:hAnsi="Verdana" w:cs="Arial"/>
                <w:sz w:val="16"/>
                <w:szCs w:val="16"/>
                <w:vertAlign w:val="superscript"/>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tcBorders>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0</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xml:space="preserve">Wahadło </w:t>
            </w:r>
            <w:proofErr w:type="spellStart"/>
            <w:r w:rsidRPr="008230B1">
              <w:rPr>
                <w:rFonts w:ascii="Verdana" w:hAnsi="Verdana" w:cs="Arial"/>
                <w:sz w:val="16"/>
                <w:szCs w:val="16"/>
              </w:rPr>
              <w:t>Vialit</w:t>
            </w:r>
            <w:proofErr w:type="spellEnd"/>
            <w:r>
              <w:rPr>
                <w:rFonts w:ascii="Verdana" w:hAnsi="Verdana" w:cs="Arial"/>
                <w:sz w:val="16"/>
                <w:szCs w:val="16"/>
              </w:rPr>
              <w:t xml:space="preserve">     (meto</w:t>
            </w:r>
            <w:r w:rsidRPr="008230B1">
              <w:rPr>
                <w:rFonts w:ascii="Verdana" w:hAnsi="Verdana" w:cs="Arial"/>
                <w:sz w:val="16"/>
                <w:szCs w:val="16"/>
              </w:rPr>
              <w:t>da uderzenia)</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13588[54]</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J/cm</w:t>
            </w:r>
            <w:r w:rsidRPr="008230B1">
              <w:rPr>
                <w:rFonts w:ascii="Verdana" w:hAnsi="Verdana" w:cs="Arial"/>
                <w:sz w:val="16"/>
                <w:szCs w:val="16"/>
                <w:vertAlign w:val="superscript"/>
              </w:rPr>
              <w:t>2</w:t>
            </w:r>
          </w:p>
        </w:tc>
        <w:tc>
          <w:tcPr>
            <w:tcW w:w="1134" w:type="dxa"/>
            <w:vAlign w:val="center"/>
          </w:tcPr>
          <w:p w:rsidR="00683496" w:rsidRPr="008230B1" w:rsidRDefault="00683496" w:rsidP="00683496">
            <w:pPr>
              <w:jc w:val="center"/>
              <w:rPr>
                <w:rFonts w:ascii="Verdana" w:hAnsi="Verdana" w:cs="Arial"/>
                <w:sz w:val="16"/>
                <w:szCs w:val="16"/>
                <w:vertAlign w:val="superscript"/>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tcBorders>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0</w:t>
            </w:r>
          </w:p>
        </w:tc>
      </w:tr>
      <w:tr w:rsidR="00683496" w:rsidRPr="009040B8" w:rsidTr="00683496">
        <w:trPr>
          <w:trHeight w:val="357"/>
        </w:trPr>
        <w:tc>
          <w:tcPr>
            <w:tcW w:w="2628" w:type="dxa"/>
            <w:tcBorders>
              <w:bottom w:val="nil"/>
            </w:tcBorders>
            <w:vAlign w:val="center"/>
          </w:tcPr>
          <w:p w:rsidR="00683496" w:rsidRPr="008230B1" w:rsidRDefault="00683496" w:rsidP="00683496">
            <w:pPr>
              <w:rPr>
                <w:rFonts w:ascii="Verdana" w:hAnsi="Verdana" w:cs="Arial"/>
                <w:sz w:val="16"/>
                <w:szCs w:val="16"/>
              </w:rPr>
            </w:pPr>
            <w:r w:rsidRPr="009D0D56">
              <w:rPr>
                <w:rFonts w:ascii="Verdana" w:hAnsi="Verdana" w:cs="Arial"/>
                <w:sz w:val="16"/>
                <w:szCs w:val="16"/>
              </w:rPr>
              <w:t>Odporność na starzenie</w:t>
            </w: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Zmiana masy</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12607-1 [31]</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0,5</w:t>
            </w:r>
          </w:p>
        </w:tc>
        <w:tc>
          <w:tcPr>
            <w:tcW w:w="1134" w:type="dxa"/>
            <w:tcBorders>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3</w:t>
            </w:r>
          </w:p>
        </w:tc>
      </w:tr>
      <w:tr w:rsidR="00683496" w:rsidRPr="009040B8" w:rsidTr="00683496">
        <w:trPr>
          <w:trHeight w:val="340"/>
        </w:trPr>
        <w:tc>
          <w:tcPr>
            <w:tcW w:w="2628" w:type="dxa"/>
            <w:tcBorders>
              <w:top w:val="nil"/>
              <w:bottom w:val="nil"/>
            </w:tcBorders>
          </w:tcPr>
          <w:p w:rsidR="00683496" w:rsidRPr="009D0D56" w:rsidRDefault="00683496" w:rsidP="00683496">
            <w:pPr>
              <w:rPr>
                <w:rFonts w:ascii="Verdana" w:hAnsi="Verdana" w:cs="Arial"/>
                <w:sz w:val="16"/>
                <w:szCs w:val="16"/>
              </w:rPr>
            </w:pPr>
            <w:r>
              <w:rPr>
                <w:rFonts w:ascii="Verdana" w:hAnsi="Verdana" w:cs="Arial"/>
                <w:sz w:val="16"/>
                <w:szCs w:val="16"/>
              </w:rPr>
              <w:t xml:space="preserve">wg </w:t>
            </w:r>
            <w:r w:rsidRPr="008230B1">
              <w:rPr>
                <w:rFonts w:ascii="Verdana" w:hAnsi="Verdana" w:cs="Arial"/>
                <w:sz w:val="16"/>
                <w:szCs w:val="16"/>
              </w:rPr>
              <w:t>PN-EN 12607-1 [31]</w:t>
            </w: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Pozostała penetracja</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1426 [21]</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60</w:t>
            </w:r>
          </w:p>
        </w:tc>
        <w:tc>
          <w:tcPr>
            <w:tcW w:w="1134" w:type="dxa"/>
            <w:tcBorders>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7</w:t>
            </w:r>
          </w:p>
        </w:tc>
      </w:tr>
      <w:tr w:rsidR="00683496" w:rsidRPr="009040B8" w:rsidTr="00683496">
        <w:trPr>
          <w:trHeight w:val="340"/>
        </w:trPr>
        <w:tc>
          <w:tcPr>
            <w:tcW w:w="2628" w:type="dxa"/>
            <w:tcBorders>
              <w:top w:val="nil"/>
            </w:tcBorders>
          </w:tcPr>
          <w:p w:rsidR="00683496" w:rsidRPr="009D0D56" w:rsidRDefault="00683496" w:rsidP="00683496">
            <w:pPr>
              <w:rPr>
                <w:rFonts w:ascii="Verdana" w:hAnsi="Verdana" w:cs="Arial"/>
                <w:sz w:val="16"/>
                <w:szCs w:val="16"/>
              </w:rPr>
            </w:pPr>
          </w:p>
        </w:tc>
        <w:tc>
          <w:tcPr>
            <w:tcW w:w="2016" w:type="dxa"/>
            <w:tcBorders>
              <w:top w:val="nil"/>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Wzrost temperatury mięknienia</w:t>
            </w:r>
          </w:p>
        </w:tc>
        <w:tc>
          <w:tcPr>
            <w:tcW w:w="1560" w:type="dxa"/>
            <w:tcBorders>
              <w:top w:val="nil"/>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1427 [22]</w:t>
            </w:r>
          </w:p>
        </w:tc>
        <w:tc>
          <w:tcPr>
            <w:tcW w:w="1275" w:type="dxa"/>
            <w:tcBorders>
              <w:top w:val="nil"/>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°C</w:t>
            </w:r>
          </w:p>
        </w:tc>
        <w:tc>
          <w:tcPr>
            <w:tcW w:w="1134" w:type="dxa"/>
            <w:tcBorders>
              <w:top w:val="nil"/>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8</w:t>
            </w:r>
          </w:p>
        </w:tc>
        <w:tc>
          <w:tcPr>
            <w:tcW w:w="1134" w:type="dxa"/>
            <w:tcBorders>
              <w:top w:val="nil"/>
              <w:bottom w:val="single" w:sz="4" w:space="0" w:color="auto"/>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2</w:t>
            </w:r>
          </w:p>
        </w:tc>
      </w:tr>
      <w:tr w:rsidR="00683496" w:rsidRPr="009040B8" w:rsidTr="00683496">
        <w:trPr>
          <w:trHeight w:val="340"/>
        </w:trPr>
        <w:tc>
          <w:tcPr>
            <w:tcW w:w="2628" w:type="dxa"/>
            <w:tcBorders>
              <w:bottom w:val="single" w:sz="4" w:space="0" w:color="auto"/>
            </w:tcBorders>
            <w:vAlign w:val="center"/>
          </w:tcPr>
          <w:p w:rsidR="00683496" w:rsidRPr="008230B1" w:rsidRDefault="00683496" w:rsidP="00683496">
            <w:pPr>
              <w:rPr>
                <w:rFonts w:ascii="Verdana" w:hAnsi="Verdana" w:cs="Arial"/>
                <w:sz w:val="16"/>
                <w:szCs w:val="16"/>
              </w:rPr>
            </w:pPr>
            <w:r w:rsidRPr="008230B1">
              <w:rPr>
                <w:rFonts w:ascii="Verdana" w:hAnsi="Verdana" w:cs="Arial"/>
                <w:sz w:val="16"/>
                <w:szCs w:val="16"/>
              </w:rPr>
              <w:t>Inne właściwości</w:t>
            </w:r>
          </w:p>
        </w:tc>
        <w:tc>
          <w:tcPr>
            <w:tcW w:w="2016"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Temperatura zapłonu</w:t>
            </w:r>
          </w:p>
        </w:tc>
        <w:tc>
          <w:tcPr>
            <w:tcW w:w="1560"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ISO 2592 [63]</w:t>
            </w:r>
          </w:p>
        </w:tc>
        <w:tc>
          <w:tcPr>
            <w:tcW w:w="1275"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°C</w:t>
            </w:r>
          </w:p>
        </w:tc>
        <w:tc>
          <w:tcPr>
            <w:tcW w:w="1134"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235</w:t>
            </w:r>
          </w:p>
        </w:tc>
        <w:tc>
          <w:tcPr>
            <w:tcW w:w="1134" w:type="dxa"/>
            <w:tcBorders>
              <w:top w:val="single" w:sz="4" w:space="0" w:color="auto"/>
              <w:bottom w:val="single" w:sz="4" w:space="0" w:color="auto"/>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3</w:t>
            </w:r>
          </w:p>
        </w:tc>
      </w:tr>
      <w:tr w:rsidR="00683496" w:rsidRPr="009040B8" w:rsidTr="00683496">
        <w:trPr>
          <w:trHeight w:val="340"/>
        </w:trPr>
        <w:tc>
          <w:tcPr>
            <w:tcW w:w="2628" w:type="dxa"/>
            <w:vMerge w:val="restart"/>
            <w:vAlign w:val="center"/>
          </w:tcPr>
          <w:p w:rsidR="00683496" w:rsidRPr="008230B1" w:rsidRDefault="00683496" w:rsidP="00683496">
            <w:pPr>
              <w:rPr>
                <w:rFonts w:ascii="Verdana" w:hAnsi="Verdana" w:cs="Arial"/>
                <w:sz w:val="16"/>
                <w:szCs w:val="16"/>
              </w:rPr>
            </w:pPr>
            <w:r w:rsidRPr="008230B1">
              <w:rPr>
                <w:rFonts w:ascii="Verdana" w:hAnsi="Verdana" w:cs="Arial"/>
                <w:sz w:val="16"/>
                <w:szCs w:val="16"/>
              </w:rPr>
              <w:t>Wymagania dodatkowe</w:t>
            </w:r>
          </w:p>
          <w:p w:rsidR="00683496" w:rsidRPr="008230B1" w:rsidRDefault="00683496" w:rsidP="00683496">
            <w:pPr>
              <w:rPr>
                <w:rFonts w:ascii="Verdana" w:hAnsi="Verdana" w:cs="Arial"/>
                <w:sz w:val="16"/>
                <w:szCs w:val="16"/>
              </w:rPr>
            </w:pPr>
          </w:p>
        </w:tc>
        <w:tc>
          <w:tcPr>
            <w:tcW w:w="2016"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Temperatura łamliwości</w:t>
            </w:r>
          </w:p>
        </w:tc>
        <w:tc>
          <w:tcPr>
            <w:tcW w:w="1560"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12593[29]</w:t>
            </w:r>
          </w:p>
        </w:tc>
        <w:tc>
          <w:tcPr>
            <w:tcW w:w="1275"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°C</w:t>
            </w:r>
          </w:p>
        </w:tc>
        <w:tc>
          <w:tcPr>
            <w:tcW w:w="1134"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-10</w:t>
            </w:r>
          </w:p>
        </w:tc>
        <w:tc>
          <w:tcPr>
            <w:tcW w:w="1134" w:type="dxa"/>
            <w:tcBorders>
              <w:bottom w:val="single" w:sz="4" w:space="0" w:color="auto"/>
              <w:right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5</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Nawrót sprężysty w 25°C</w:t>
            </w:r>
          </w:p>
        </w:tc>
        <w:tc>
          <w:tcPr>
            <w:tcW w:w="1560" w:type="dxa"/>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13398[51]</w:t>
            </w:r>
          </w:p>
        </w:tc>
        <w:tc>
          <w:tcPr>
            <w:tcW w:w="1275"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t>
            </w:r>
          </w:p>
        </w:tc>
        <w:tc>
          <w:tcPr>
            <w:tcW w:w="1134"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xml:space="preserve">≥ </w:t>
            </w:r>
            <w:r>
              <w:rPr>
                <w:rFonts w:ascii="Verdana" w:hAnsi="Verdana" w:cs="Arial"/>
                <w:sz w:val="16"/>
                <w:szCs w:val="16"/>
              </w:rPr>
              <w:t>6</w:t>
            </w:r>
            <w:r w:rsidRPr="008230B1">
              <w:rPr>
                <w:rFonts w:ascii="Verdana" w:hAnsi="Verdana" w:cs="Arial"/>
                <w:sz w:val="16"/>
                <w:szCs w:val="16"/>
              </w:rPr>
              <w:t>0</w:t>
            </w:r>
          </w:p>
        </w:tc>
        <w:tc>
          <w:tcPr>
            <w:tcW w:w="1134" w:type="dxa"/>
            <w:tcBorders>
              <w:top w:val="nil"/>
            </w:tcBorders>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4</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Nawrót sprężysty w 10°C</w:t>
            </w:r>
          </w:p>
        </w:tc>
        <w:tc>
          <w:tcPr>
            <w:tcW w:w="1560" w:type="dxa"/>
            <w:vMerge/>
            <w:vAlign w:val="center"/>
          </w:tcPr>
          <w:p w:rsidR="00683496" w:rsidRPr="008230B1" w:rsidRDefault="00683496" w:rsidP="00683496">
            <w:pPr>
              <w:jc w:val="center"/>
              <w:rPr>
                <w:rFonts w:ascii="Verdana" w:hAnsi="Verdana" w:cs="Arial"/>
                <w:sz w:val="16"/>
                <w:szCs w:val="16"/>
              </w:rPr>
            </w:pPr>
          </w:p>
        </w:tc>
        <w:tc>
          <w:tcPr>
            <w:tcW w:w="1275" w:type="dxa"/>
            <w:tcBorders>
              <w:top w:val="single" w:sz="4" w:space="0" w:color="auto"/>
            </w:tcBorders>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w:t>
            </w:r>
          </w:p>
        </w:tc>
        <w:tc>
          <w:tcPr>
            <w:tcW w:w="1134" w:type="dxa"/>
            <w:tcBorders>
              <w:top w:val="single" w:sz="4" w:space="0" w:color="auto"/>
            </w:tcBorders>
            <w:vAlign w:val="center"/>
          </w:tcPr>
          <w:p w:rsidR="00683496" w:rsidRPr="008230B1" w:rsidRDefault="00683496" w:rsidP="00683496">
            <w:pPr>
              <w:jc w:val="center"/>
              <w:rPr>
                <w:rFonts w:ascii="Verdana" w:hAnsi="Verdana" w:cs="Arial"/>
                <w:sz w:val="16"/>
                <w:szCs w:val="16"/>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0</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Zakres plastyczności</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14023[59] p.5.</w:t>
            </w:r>
            <w:r>
              <w:rPr>
                <w:rFonts w:ascii="Verdana" w:hAnsi="Verdana" w:cs="Arial"/>
                <w:sz w:val="16"/>
                <w:szCs w:val="16"/>
              </w:rPr>
              <w:t>2.8.4</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683496" w:rsidRPr="008230B1" w:rsidRDefault="00683496" w:rsidP="00683496">
            <w:pPr>
              <w:jc w:val="center"/>
              <w:rPr>
                <w:rFonts w:ascii="Verdana" w:hAnsi="Verdana" w:cs="Arial"/>
                <w:sz w:val="16"/>
                <w:szCs w:val="16"/>
                <w:vertAlign w:val="superscript"/>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683496" w:rsidRPr="008230B1" w:rsidRDefault="00683496" w:rsidP="00683496">
            <w:pPr>
              <w:jc w:val="center"/>
              <w:rPr>
                <w:rFonts w:ascii="Verdana" w:hAnsi="Verdana" w:cs="Arial"/>
                <w:sz w:val="16"/>
                <w:szCs w:val="16"/>
              </w:rPr>
            </w:pPr>
            <w:r>
              <w:rPr>
                <w:rFonts w:ascii="Verdana" w:hAnsi="Verdana" w:cs="Arial"/>
                <w:sz w:val="16"/>
                <w:szCs w:val="16"/>
              </w:rPr>
              <w:t>0</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Stabilność magazynowania. Różnica temperatur mięknienia</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13399[52]</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1427 [22]</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5</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2</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Stabilność magazynowania. Różnica penetracji</w:t>
            </w:r>
          </w:p>
        </w:tc>
        <w:tc>
          <w:tcPr>
            <w:tcW w:w="1560"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13399[52]</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1426 [21]</w:t>
            </w:r>
          </w:p>
        </w:tc>
        <w:tc>
          <w:tcPr>
            <w:tcW w:w="1275"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0,1 mm</w:t>
            </w:r>
          </w:p>
        </w:tc>
        <w:tc>
          <w:tcPr>
            <w:tcW w:w="1134" w:type="dxa"/>
            <w:vAlign w:val="center"/>
          </w:tcPr>
          <w:p w:rsidR="00683496" w:rsidRPr="008230B1" w:rsidRDefault="00683496" w:rsidP="00683496">
            <w:pPr>
              <w:jc w:val="center"/>
              <w:rPr>
                <w:rFonts w:ascii="Verdana" w:hAnsi="Verdana" w:cs="Arial"/>
                <w:sz w:val="16"/>
                <w:szCs w:val="16"/>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0</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Spadek temperatury mięknienia po starzeniu wg PN-EN 12607</w:t>
            </w:r>
            <w:r>
              <w:rPr>
                <w:rFonts w:ascii="Verdana" w:hAnsi="Verdana" w:cs="Arial"/>
                <w:sz w:val="16"/>
                <w:szCs w:val="16"/>
              </w:rPr>
              <w:t>-1 [31]</w:t>
            </w:r>
          </w:p>
        </w:tc>
        <w:tc>
          <w:tcPr>
            <w:tcW w:w="1560"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12607-1 [31]</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1427 [22]</w:t>
            </w:r>
          </w:p>
        </w:tc>
        <w:tc>
          <w:tcPr>
            <w:tcW w:w="1275" w:type="dxa"/>
            <w:tcBorders>
              <w:bottom w:val="single" w:sz="4" w:space="0" w:color="auto"/>
            </w:tcBorders>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°C</w:t>
            </w:r>
          </w:p>
        </w:tc>
        <w:tc>
          <w:tcPr>
            <w:tcW w:w="1134" w:type="dxa"/>
            <w:vAlign w:val="center"/>
          </w:tcPr>
          <w:p w:rsidR="00683496" w:rsidRPr="008230B1" w:rsidRDefault="00683496" w:rsidP="00683496">
            <w:pPr>
              <w:jc w:val="center"/>
              <w:rPr>
                <w:rFonts w:ascii="Verdana" w:hAnsi="Verdana" w:cs="Arial"/>
                <w:sz w:val="16"/>
                <w:szCs w:val="16"/>
              </w:rPr>
            </w:pPr>
            <w:proofErr w:type="spellStart"/>
            <w:r w:rsidRPr="008230B1">
              <w:rPr>
                <w:rFonts w:ascii="Verdana" w:hAnsi="Verdana" w:cs="Arial"/>
                <w:sz w:val="16"/>
                <w:szCs w:val="16"/>
              </w:rPr>
              <w:t>TBR</w:t>
            </w:r>
            <w:r>
              <w:rPr>
                <w:rFonts w:ascii="Verdana" w:hAnsi="Verdana" w:cs="Arial"/>
                <w:sz w:val="16"/>
                <w:szCs w:val="16"/>
                <w:vertAlign w:val="superscript"/>
              </w:rPr>
              <w:t>d</w:t>
            </w:r>
            <w:proofErr w:type="spellEnd"/>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1</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Nawrót sprężysty w 25°C po starzeniu wg PN-EN 12607-1 [31]</w:t>
            </w:r>
          </w:p>
        </w:tc>
        <w:tc>
          <w:tcPr>
            <w:tcW w:w="1560" w:type="dxa"/>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12607-1 [31]</w:t>
            </w:r>
          </w:p>
          <w:p w:rsidR="00683496" w:rsidRPr="008230B1" w:rsidRDefault="00683496" w:rsidP="00683496">
            <w:pPr>
              <w:jc w:val="center"/>
              <w:rPr>
                <w:rFonts w:ascii="Verdana" w:hAnsi="Verdana" w:cs="Arial"/>
                <w:sz w:val="16"/>
                <w:szCs w:val="16"/>
              </w:rPr>
            </w:pPr>
            <w:r w:rsidRPr="008230B1">
              <w:rPr>
                <w:rFonts w:ascii="Verdana" w:hAnsi="Verdana" w:cs="Arial"/>
                <w:sz w:val="16"/>
                <w:szCs w:val="16"/>
              </w:rPr>
              <w:t>PN-EN 13398 [51]</w:t>
            </w:r>
          </w:p>
        </w:tc>
        <w:tc>
          <w:tcPr>
            <w:tcW w:w="1275" w:type="dxa"/>
            <w:vMerge w:val="restart"/>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 50</w:t>
            </w:r>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4</w:t>
            </w:r>
          </w:p>
        </w:tc>
      </w:tr>
      <w:tr w:rsidR="00683496" w:rsidRPr="009040B8" w:rsidTr="00683496">
        <w:trPr>
          <w:trHeight w:val="340"/>
        </w:trPr>
        <w:tc>
          <w:tcPr>
            <w:tcW w:w="2628" w:type="dxa"/>
            <w:vMerge/>
          </w:tcPr>
          <w:p w:rsidR="00683496" w:rsidRPr="008230B1" w:rsidRDefault="00683496" w:rsidP="00683496">
            <w:pPr>
              <w:jc w:val="center"/>
              <w:rPr>
                <w:rFonts w:ascii="Verdana" w:hAnsi="Verdana" w:cs="Arial"/>
                <w:sz w:val="16"/>
                <w:szCs w:val="16"/>
              </w:rPr>
            </w:pPr>
          </w:p>
        </w:tc>
        <w:tc>
          <w:tcPr>
            <w:tcW w:w="2016"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Nawrót sprężysty w 10°C po starzeniu wg PN-EN 12607-</w:t>
            </w:r>
            <w:r>
              <w:rPr>
                <w:rFonts w:ascii="Verdana" w:hAnsi="Verdana" w:cs="Arial"/>
                <w:sz w:val="16"/>
                <w:szCs w:val="16"/>
              </w:rPr>
              <w:t>1</w:t>
            </w:r>
            <w:r w:rsidRPr="008230B1">
              <w:rPr>
                <w:rFonts w:ascii="Verdana" w:hAnsi="Verdana" w:cs="Arial"/>
                <w:sz w:val="16"/>
                <w:szCs w:val="16"/>
              </w:rPr>
              <w:t xml:space="preserve"> [31]</w:t>
            </w:r>
          </w:p>
        </w:tc>
        <w:tc>
          <w:tcPr>
            <w:tcW w:w="1560" w:type="dxa"/>
            <w:vMerge/>
            <w:vAlign w:val="center"/>
          </w:tcPr>
          <w:p w:rsidR="00683496" w:rsidRPr="008230B1" w:rsidRDefault="00683496" w:rsidP="00683496">
            <w:pPr>
              <w:jc w:val="center"/>
              <w:rPr>
                <w:rFonts w:ascii="Verdana" w:hAnsi="Verdana" w:cs="Arial"/>
                <w:sz w:val="16"/>
                <w:szCs w:val="16"/>
              </w:rPr>
            </w:pPr>
          </w:p>
        </w:tc>
        <w:tc>
          <w:tcPr>
            <w:tcW w:w="1275" w:type="dxa"/>
            <w:vMerge/>
            <w:vAlign w:val="center"/>
          </w:tcPr>
          <w:p w:rsidR="00683496" w:rsidRPr="008230B1" w:rsidRDefault="00683496" w:rsidP="00683496">
            <w:pPr>
              <w:jc w:val="center"/>
              <w:rPr>
                <w:rFonts w:ascii="Verdana" w:hAnsi="Verdana" w:cs="Arial"/>
                <w:sz w:val="16"/>
                <w:szCs w:val="16"/>
              </w:rPr>
            </w:pPr>
          </w:p>
        </w:tc>
        <w:tc>
          <w:tcPr>
            <w:tcW w:w="1134" w:type="dxa"/>
            <w:vAlign w:val="center"/>
          </w:tcPr>
          <w:p w:rsidR="00683496" w:rsidRPr="008230B1" w:rsidRDefault="00683496" w:rsidP="00683496">
            <w:pPr>
              <w:jc w:val="center"/>
              <w:rPr>
                <w:rFonts w:ascii="Verdana" w:hAnsi="Verdana" w:cs="Arial"/>
                <w:sz w:val="16"/>
                <w:szCs w:val="16"/>
              </w:rPr>
            </w:pPr>
            <w:proofErr w:type="spellStart"/>
            <w:r w:rsidRPr="008230B1">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1134" w:type="dxa"/>
            <w:vAlign w:val="center"/>
          </w:tcPr>
          <w:p w:rsidR="00683496" w:rsidRPr="008230B1" w:rsidRDefault="00683496" w:rsidP="00683496">
            <w:pPr>
              <w:jc w:val="center"/>
              <w:rPr>
                <w:rFonts w:ascii="Verdana" w:hAnsi="Verdana" w:cs="Arial"/>
                <w:sz w:val="16"/>
                <w:szCs w:val="16"/>
              </w:rPr>
            </w:pPr>
            <w:r w:rsidRPr="008230B1">
              <w:rPr>
                <w:rFonts w:ascii="Verdana" w:hAnsi="Verdana" w:cs="Arial"/>
                <w:sz w:val="16"/>
                <w:szCs w:val="16"/>
              </w:rPr>
              <w:t>0</w:t>
            </w:r>
          </w:p>
        </w:tc>
      </w:tr>
      <w:tr w:rsidR="00683496" w:rsidRPr="009040B8" w:rsidTr="00683496">
        <w:trPr>
          <w:trHeight w:val="340"/>
        </w:trPr>
        <w:tc>
          <w:tcPr>
            <w:tcW w:w="9747" w:type="dxa"/>
            <w:gridSpan w:val="6"/>
            <w:tcBorders>
              <w:top w:val="nil"/>
            </w:tcBorders>
          </w:tcPr>
          <w:p w:rsidR="00683496" w:rsidRDefault="00683496" w:rsidP="00683496">
            <w:pPr>
              <w:rPr>
                <w:rFonts w:ascii="Verdana" w:hAnsi="Verdana" w:cs="Arial"/>
                <w:sz w:val="16"/>
                <w:szCs w:val="16"/>
              </w:rPr>
            </w:pPr>
            <w:r w:rsidRPr="009D0D56">
              <w:rPr>
                <w:rFonts w:ascii="Verdana" w:hAnsi="Verdana" w:cs="Arial"/>
                <w:sz w:val="16"/>
                <w:szCs w:val="16"/>
                <w:vertAlign w:val="superscript"/>
              </w:rPr>
              <w:t>a</w:t>
            </w:r>
            <w:r w:rsidRPr="009D0D56">
              <w:rPr>
                <w:rFonts w:ascii="Verdana" w:hAnsi="Verdana" w:cs="Arial"/>
                <w:sz w:val="16"/>
                <w:szCs w:val="16"/>
              </w:rPr>
              <w:t xml:space="preserve"> </w:t>
            </w:r>
            <w:r>
              <w:rPr>
                <w:rFonts w:ascii="Verdana" w:hAnsi="Verdana" w:cs="Arial"/>
                <w:sz w:val="16"/>
                <w:szCs w:val="16"/>
              </w:rPr>
              <w:t>Dolna granica penetracji w 25</w:t>
            </w:r>
            <w:r>
              <w:rPr>
                <w:rFonts w:ascii="Verdana" w:hAnsi="Verdana" w:cs="Arial"/>
                <w:sz w:val="16"/>
                <w:szCs w:val="16"/>
                <w:vertAlign w:val="superscript"/>
              </w:rPr>
              <w:t>o</w:t>
            </w:r>
            <w:r>
              <w:rPr>
                <w:rFonts w:ascii="Verdana" w:hAnsi="Verdana" w:cs="Arial"/>
                <w:sz w:val="16"/>
                <w:szCs w:val="16"/>
              </w:rPr>
              <w:t>C/górna granica penetracji w 25</w:t>
            </w:r>
            <w:r>
              <w:rPr>
                <w:rFonts w:ascii="Verdana" w:hAnsi="Verdana" w:cs="Arial"/>
                <w:sz w:val="16"/>
                <w:szCs w:val="16"/>
                <w:vertAlign w:val="superscript"/>
              </w:rPr>
              <w:t>o</w:t>
            </w:r>
            <w:r>
              <w:rPr>
                <w:rFonts w:ascii="Verdana" w:hAnsi="Verdana" w:cs="Arial"/>
                <w:sz w:val="16"/>
                <w:szCs w:val="16"/>
              </w:rPr>
              <w:t>C – dolna granica temperatury mięknienia.</w:t>
            </w:r>
          </w:p>
          <w:p w:rsidR="00683496" w:rsidRDefault="00683496" w:rsidP="00683496">
            <w:pPr>
              <w:rPr>
                <w:rFonts w:ascii="Verdana" w:hAnsi="Verdana" w:cs="Arial"/>
                <w:sz w:val="16"/>
                <w:szCs w:val="16"/>
              </w:rPr>
            </w:pPr>
            <w:r>
              <w:rPr>
                <w:rFonts w:ascii="Verdana" w:hAnsi="Verdana" w:cs="Arial"/>
                <w:sz w:val="16"/>
                <w:szCs w:val="16"/>
                <w:vertAlign w:val="superscript"/>
              </w:rPr>
              <w:t xml:space="preserve">b </w:t>
            </w:r>
            <w:r w:rsidRPr="009D0D56">
              <w:rPr>
                <w:rFonts w:ascii="Verdana" w:hAnsi="Verdana" w:cs="Arial"/>
                <w:sz w:val="16"/>
                <w:szCs w:val="16"/>
              </w:rPr>
              <w:t>N</w:t>
            </w:r>
            <w:r>
              <w:rPr>
                <w:rFonts w:ascii="Verdana" w:hAnsi="Verdana" w:cs="Arial"/>
                <w:sz w:val="16"/>
                <w:szCs w:val="16"/>
              </w:rPr>
              <w:t>R</w:t>
            </w:r>
            <w:r w:rsidRPr="009D0D56">
              <w:rPr>
                <w:rFonts w:ascii="Verdana" w:hAnsi="Verdana" w:cs="Arial"/>
                <w:sz w:val="16"/>
                <w:szCs w:val="16"/>
              </w:rPr>
              <w:t xml:space="preserve"> – No </w:t>
            </w:r>
            <w:proofErr w:type="spellStart"/>
            <w:r>
              <w:rPr>
                <w:rFonts w:ascii="Verdana" w:hAnsi="Verdana" w:cs="Arial"/>
                <w:sz w:val="16"/>
                <w:szCs w:val="16"/>
              </w:rPr>
              <w:t>Requirement</w:t>
            </w:r>
            <w:proofErr w:type="spellEnd"/>
            <w:r w:rsidRPr="009D0D56">
              <w:rPr>
                <w:rFonts w:ascii="Verdana" w:hAnsi="Verdana" w:cs="Arial"/>
                <w:sz w:val="16"/>
                <w:szCs w:val="16"/>
              </w:rPr>
              <w:t xml:space="preserve"> (</w:t>
            </w:r>
            <w:r>
              <w:rPr>
                <w:rFonts w:ascii="Verdana" w:hAnsi="Verdana" w:cs="Arial"/>
                <w:sz w:val="16"/>
                <w:szCs w:val="16"/>
              </w:rPr>
              <w:t>brak wymagań</w:t>
            </w:r>
            <w:r w:rsidRPr="009D0D56">
              <w:rPr>
                <w:rFonts w:ascii="Verdana" w:hAnsi="Verdana" w:cs="Arial"/>
                <w:sz w:val="16"/>
                <w:szCs w:val="16"/>
              </w:rPr>
              <w:t>)</w:t>
            </w:r>
            <w:r>
              <w:rPr>
                <w:rFonts w:ascii="Verdana" w:hAnsi="Verdana" w:cs="Arial"/>
                <w:sz w:val="16"/>
                <w:szCs w:val="16"/>
              </w:rPr>
              <w:t>.</w:t>
            </w:r>
          </w:p>
          <w:p w:rsidR="00683496" w:rsidRPr="00887391" w:rsidRDefault="00683496" w:rsidP="00683496">
            <w:pPr>
              <w:ind w:left="142" w:hanging="142"/>
              <w:rPr>
                <w:rFonts w:ascii="Verdana" w:hAnsi="Verdana" w:cs="Arial"/>
                <w:sz w:val="16"/>
                <w:szCs w:val="16"/>
              </w:rPr>
            </w:pPr>
            <w:r>
              <w:rPr>
                <w:rFonts w:ascii="Verdana" w:hAnsi="Verdana" w:cs="Arial"/>
                <w:sz w:val="16"/>
                <w:szCs w:val="16"/>
                <w:vertAlign w:val="superscript"/>
              </w:rPr>
              <w:t>c</w:t>
            </w:r>
            <w:r>
              <w:rPr>
                <w:rFonts w:ascii="Verdana" w:hAnsi="Verdana" w:cs="Arial"/>
                <w:sz w:val="16"/>
                <w:szCs w:val="16"/>
              </w:rPr>
              <w:t xml:space="preserve"> W zależności od końcowego zastosowania powinna zostać wybrana tylko jedna metoda oznaczenia kohezji. Oznaczanie kohezji metodą </w:t>
            </w:r>
            <w:proofErr w:type="spellStart"/>
            <w:r>
              <w:rPr>
                <w:rFonts w:ascii="Verdana" w:hAnsi="Verdana" w:cs="Arial"/>
                <w:sz w:val="16"/>
                <w:szCs w:val="16"/>
              </w:rPr>
              <w:t>Vialit</w:t>
            </w:r>
            <w:proofErr w:type="spellEnd"/>
            <w:r>
              <w:rPr>
                <w:rFonts w:ascii="Verdana" w:hAnsi="Verdana" w:cs="Arial"/>
                <w:sz w:val="16"/>
                <w:szCs w:val="16"/>
              </w:rPr>
              <w:t xml:space="preserve"> (PN-EN 13588) należy wybrać tylko w przypadku asfaltów przeznaczonych do powierzchniowego utrwalania.</w:t>
            </w:r>
          </w:p>
          <w:p w:rsidR="00683496" w:rsidRPr="009D0D56" w:rsidRDefault="00683496" w:rsidP="00683496">
            <w:pPr>
              <w:rPr>
                <w:rFonts w:ascii="Verdana" w:hAnsi="Verdana" w:cs="Arial"/>
                <w:sz w:val="16"/>
                <w:szCs w:val="16"/>
              </w:rPr>
            </w:pPr>
            <w:r>
              <w:rPr>
                <w:rFonts w:ascii="Verdana" w:hAnsi="Verdana" w:cs="Arial"/>
                <w:sz w:val="16"/>
                <w:szCs w:val="16"/>
                <w:vertAlign w:val="superscript"/>
              </w:rPr>
              <w:t>d</w:t>
            </w:r>
            <w:r w:rsidRPr="009D0D56">
              <w:rPr>
                <w:rFonts w:ascii="Verdana" w:hAnsi="Verdana" w:cs="Arial"/>
                <w:sz w:val="16"/>
                <w:szCs w:val="16"/>
              </w:rPr>
              <w:t xml:space="preserve"> TBR – To Be </w:t>
            </w:r>
            <w:proofErr w:type="spellStart"/>
            <w:r w:rsidRPr="009D0D56">
              <w:rPr>
                <w:rFonts w:ascii="Verdana" w:hAnsi="Verdana" w:cs="Arial"/>
                <w:sz w:val="16"/>
                <w:szCs w:val="16"/>
              </w:rPr>
              <w:t>Reported</w:t>
            </w:r>
            <w:proofErr w:type="spellEnd"/>
            <w:r w:rsidRPr="009D0D56">
              <w:rPr>
                <w:rFonts w:ascii="Verdana" w:hAnsi="Verdana" w:cs="Arial"/>
                <w:sz w:val="16"/>
                <w:szCs w:val="16"/>
              </w:rPr>
              <w:t xml:space="preserve"> (do zadeklarowania)</w:t>
            </w:r>
            <w:r>
              <w:rPr>
                <w:rFonts w:ascii="Verdana" w:hAnsi="Verdana" w:cs="Arial"/>
                <w:sz w:val="16"/>
                <w:szCs w:val="16"/>
              </w:rPr>
              <w:t>.</w:t>
            </w:r>
          </w:p>
        </w:tc>
      </w:tr>
    </w:tbl>
    <w:p w:rsidR="00683496" w:rsidRPr="009040B8" w:rsidRDefault="00683496" w:rsidP="00683496">
      <w:pPr>
        <w:ind w:left="993" w:hanging="993"/>
        <w:jc w:val="both"/>
        <w:rPr>
          <w:rFonts w:ascii="Verdana" w:hAnsi="Verdana" w:cs="Arial"/>
        </w:rPr>
      </w:pPr>
    </w:p>
    <w:p w:rsidR="00683496" w:rsidRPr="009040B8" w:rsidRDefault="00683496" w:rsidP="00683496">
      <w:pPr>
        <w:jc w:val="both"/>
        <w:rPr>
          <w:rFonts w:ascii="Verdana" w:hAnsi="Verdana" w:cs="Arial"/>
        </w:rPr>
      </w:pPr>
      <w:r w:rsidRPr="009040B8">
        <w:rPr>
          <w:rFonts w:ascii="Verdana" w:hAnsi="Verdana" w:cs="Aria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683496" w:rsidRPr="009040B8" w:rsidRDefault="00683496" w:rsidP="00683496">
      <w:pPr>
        <w:jc w:val="both"/>
        <w:rPr>
          <w:rFonts w:ascii="Verdana" w:hAnsi="Verdana" w:cs="Arial"/>
        </w:rPr>
      </w:pPr>
      <w:r w:rsidRPr="009040B8">
        <w:rPr>
          <w:rFonts w:ascii="Verdana" w:hAnsi="Verdana" w:cs="Arial"/>
        </w:rPr>
        <w:t>Asfalt modyfikowany polimerami powinien być magazynowany w</w:t>
      </w:r>
      <w:r>
        <w:rPr>
          <w:rFonts w:ascii="Verdana" w:hAnsi="Verdana" w:cs="Arial"/>
        </w:rPr>
        <w:t xml:space="preserve"> zbiorniku wyposażonym w system </w:t>
      </w:r>
      <w:r w:rsidRPr="009040B8">
        <w:rPr>
          <w:rFonts w:ascii="Verdana" w:hAnsi="Verdana" w:cs="Arial"/>
        </w:rPr>
        <w:t>grzewczy pośredni z termostatem kontrolującym tem</w:t>
      </w:r>
      <w:r>
        <w:rPr>
          <w:rFonts w:ascii="Verdana" w:hAnsi="Verdana" w:cs="Arial"/>
        </w:rPr>
        <w:t xml:space="preserve">peraturę z dokładnością  ± 5°C. </w:t>
      </w:r>
      <w:r w:rsidRPr="009040B8">
        <w:rPr>
          <w:rFonts w:ascii="Verdana" w:hAnsi="Verdana" w:cs="Arial"/>
        </w:rPr>
        <w:t>Zaleca się wyposażenie zbiornika w mieszadło. Zaleca się bezpośrednie zużycie asfaltu modyfikowanego polimerami po dostarczeniu. Należy unikać wielokrotnego rozgrzewania i chłodzenia w okresie jego stosowania oraz unikać niekontrolowanego mieszania asfaltów modyfikowanych polimerami różnego rodzaju i klasy oraz z asfaltem drogowym.</w:t>
      </w:r>
    </w:p>
    <w:p w:rsidR="00683496" w:rsidRPr="009040B8" w:rsidRDefault="00683496" w:rsidP="00683496">
      <w:pPr>
        <w:jc w:val="both"/>
        <w:rPr>
          <w:rFonts w:ascii="Verdana" w:hAnsi="Verdana" w:cs="Arial"/>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 xml:space="preserve">2.3. Kruszywo </w:t>
      </w:r>
    </w:p>
    <w:p w:rsidR="00683496" w:rsidRPr="009040B8" w:rsidRDefault="00683496" w:rsidP="00683496">
      <w:pPr>
        <w:jc w:val="both"/>
        <w:rPr>
          <w:rFonts w:ascii="Verdana" w:hAnsi="Verdana" w:cs="Arial"/>
        </w:rPr>
      </w:pPr>
      <w:r w:rsidRPr="009040B8">
        <w:rPr>
          <w:rFonts w:ascii="Verdana" w:hAnsi="Verdana" w:cs="Arial"/>
        </w:rPr>
        <w:t>Do warstwy wiążącej z betonu asfaltowego należy stosować kruszywo według PN-EN 13043 [44] i WT-1 Kruszywa do mieszanek mineralno-asfaltowych i powierzchniowych utrwaleń na drogach krajowych 201</w:t>
      </w:r>
      <w:r>
        <w:rPr>
          <w:rFonts w:ascii="Verdana" w:hAnsi="Verdana" w:cs="Arial"/>
        </w:rPr>
        <w:t>4</w:t>
      </w:r>
      <w:r w:rsidRPr="009040B8">
        <w:rPr>
          <w:rFonts w:ascii="Verdana" w:hAnsi="Verdana" w:cs="Arial"/>
        </w:rPr>
        <w:t xml:space="preserve"> [64], obejmujące kruszywo grube, kruszywo drobne  i wypełniacz. Kruszywa powinny spełniać wymagania podane w tab</w:t>
      </w:r>
      <w:r>
        <w:rPr>
          <w:rFonts w:ascii="Verdana" w:hAnsi="Verdana" w:cs="Arial"/>
        </w:rPr>
        <w:t>elach</w:t>
      </w:r>
      <w:r w:rsidRPr="009040B8">
        <w:rPr>
          <w:rFonts w:ascii="Verdana" w:hAnsi="Verdana" w:cs="Arial"/>
        </w:rPr>
        <w:t xml:space="preserve"> 5÷8 (według WT-1 Kruszywa 201</w:t>
      </w:r>
      <w:r>
        <w:rPr>
          <w:rFonts w:ascii="Verdana" w:hAnsi="Verdana" w:cs="Arial"/>
        </w:rPr>
        <w:t>4</w:t>
      </w:r>
      <w:r w:rsidRPr="009040B8">
        <w:rPr>
          <w:rFonts w:ascii="Verdana" w:hAnsi="Verdana" w:cs="Arial"/>
        </w:rPr>
        <w:t xml:space="preserve"> [64] punkt </w:t>
      </w:r>
      <w:r>
        <w:rPr>
          <w:rFonts w:ascii="Verdana" w:hAnsi="Verdana" w:cs="Arial"/>
        </w:rPr>
        <w:t>5</w:t>
      </w:r>
      <w:r w:rsidRPr="009040B8">
        <w:rPr>
          <w:rFonts w:ascii="Verdana" w:hAnsi="Verdana" w:cs="Arial"/>
        </w:rPr>
        <w:t>.2, tablice 8, 9, 10, 11):</w:t>
      </w:r>
    </w:p>
    <w:p w:rsidR="00683496" w:rsidRPr="009040B8" w:rsidRDefault="00683496" w:rsidP="00683496">
      <w:pPr>
        <w:widowControl w:val="0"/>
        <w:autoSpaceDE w:val="0"/>
        <w:autoSpaceDN w:val="0"/>
        <w:spacing w:before="180" w:after="36"/>
        <w:ind w:left="851" w:hanging="851"/>
        <w:jc w:val="both"/>
        <w:rPr>
          <w:rFonts w:ascii="Verdana" w:hAnsi="Verdana" w:cs="Arial"/>
          <w:b/>
          <w:bCs/>
        </w:rPr>
      </w:pPr>
      <w:r w:rsidRPr="009040B8">
        <w:rPr>
          <w:rFonts w:ascii="Verdana" w:hAnsi="Verdana" w:cs="Arial"/>
        </w:rPr>
        <w:t>Tab</w:t>
      </w:r>
      <w:r>
        <w:rPr>
          <w:rFonts w:ascii="Verdana" w:hAnsi="Verdana" w:cs="Arial"/>
        </w:rPr>
        <w:t>ela</w:t>
      </w:r>
      <w:r w:rsidRPr="009040B8">
        <w:rPr>
          <w:rFonts w:ascii="Verdana" w:hAnsi="Verdana" w:cs="Arial"/>
        </w:rPr>
        <w:t xml:space="preserve"> 5. Wymagane właściwości kruszywa grubego do warstwy wiążącej z betonu asfaltowego</w:t>
      </w:r>
    </w:p>
    <w:tbl>
      <w:tblPr>
        <w:tblW w:w="9639" w:type="dxa"/>
        <w:tblInd w:w="6" w:type="dxa"/>
        <w:tblLayout w:type="fixed"/>
        <w:tblCellMar>
          <w:left w:w="0" w:type="dxa"/>
          <w:right w:w="0" w:type="dxa"/>
        </w:tblCellMar>
        <w:tblLook w:val="0000" w:firstRow="0" w:lastRow="0" w:firstColumn="0" w:lastColumn="0" w:noHBand="0" w:noVBand="0"/>
      </w:tblPr>
      <w:tblGrid>
        <w:gridCol w:w="6663"/>
        <w:gridCol w:w="2976"/>
      </w:tblGrid>
      <w:tr w:rsidR="00683496" w:rsidRPr="009040B8" w:rsidTr="00683496">
        <w:trPr>
          <w:trHeight w:val="937"/>
        </w:trPr>
        <w:tc>
          <w:tcPr>
            <w:tcW w:w="6663" w:type="dxa"/>
            <w:vMerge w:val="restart"/>
            <w:tcBorders>
              <w:top w:val="single" w:sz="5" w:space="0" w:color="auto"/>
              <w:left w:val="single" w:sz="5" w:space="0" w:color="auto"/>
              <w:bottom w:val="nil"/>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Właściwości kruszywa</w:t>
            </w:r>
          </w:p>
        </w:tc>
        <w:tc>
          <w:tcPr>
            <w:tcW w:w="2976"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spacing w:before="252" w:line="324" w:lineRule="auto"/>
              <w:jc w:val="center"/>
              <w:rPr>
                <w:rFonts w:ascii="Verdana" w:hAnsi="Verdana" w:cs="Arial"/>
              </w:rPr>
            </w:pPr>
            <w:r w:rsidRPr="009040B8">
              <w:rPr>
                <w:rFonts w:ascii="Verdana" w:hAnsi="Verdana" w:cs="Arial"/>
              </w:rPr>
              <w:t>Wymagania w zależności                       od kategorii ruchu</w:t>
            </w:r>
          </w:p>
        </w:tc>
      </w:tr>
      <w:tr w:rsidR="00683496" w:rsidRPr="009040B8" w:rsidTr="00683496">
        <w:trPr>
          <w:trHeight w:val="284"/>
        </w:trPr>
        <w:tc>
          <w:tcPr>
            <w:tcW w:w="6663" w:type="dxa"/>
            <w:vMerge/>
            <w:tcBorders>
              <w:top w:val="nil"/>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p>
        </w:tc>
        <w:tc>
          <w:tcPr>
            <w:tcW w:w="2976"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r>
      <w:tr w:rsidR="00683496" w:rsidRPr="009040B8" w:rsidTr="00683496">
        <w:trPr>
          <w:trHeight w:val="340"/>
        </w:trPr>
        <w:tc>
          <w:tcPr>
            <w:tcW w:w="666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85"/>
              <w:rPr>
                <w:rFonts w:ascii="Verdana" w:hAnsi="Verdana" w:cs="Arial"/>
              </w:rPr>
            </w:pPr>
            <w:r w:rsidRPr="009040B8">
              <w:rPr>
                <w:rFonts w:ascii="Verdana" w:hAnsi="Verdana" w:cs="Arial"/>
              </w:rPr>
              <w:t>Uziarnienie według PN-EN 933-1; kategoria nie niższa niż:</w:t>
            </w:r>
          </w:p>
        </w:tc>
        <w:tc>
          <w:tcPr>
            <w:tcW w:w="2976"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105084">
              <w:rPr>
                <w:rFonts w:ascii="Verdana" w:hAnsi="Verdana" w:cs="Arial"/>
                <w:i/>
              </w:rPr>
              <w:t>G</w:t>
            </w:r>
            <w:r w:rsidRPr="009040B8">
              <w:rPr>
                <w:rFonts w:ascii="Verdana" w:hAnsi="Verdana" w:cs="Arial"/>
                <w:vertAlign w:val="subscript"/>
              </w:rPr>
              <w:t>C</w:t>
            </w:r>
            <w:r w:rsidRPr="009040B8">
              <w:rPr>
                <w:rFonts w:ascii="Verdana" w:hAnsi="Verdana" w:cs="Arial"/>
              </w:rPr>
              <w:t>85/20</w:t>
            </w:r>
          </w:p>
        </w:tc>
      </w:tr>
      <w:tr w:rsidR="00683496" w:rsidRPr="009040B8" w:rsidTr="00683496">
        <w:trPr>
          <w:trHeight w:val="340"/>
        </w:trPr>
        <w:tc>
          <w:tcPr>
            <w:tcW w:w="666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85"/>
              <w:rPr>
                <w:rFonts w:ascii="Verdana" w:hAnsi="Verdana" w:cs="Arial"/>
              </w:rPr>
            </w:pPr>
            <w:r w:rsidRPr="009040B8">
              <w:rPr>
                <w:rFonts w:ascii="Verdana" w:hAnsi="Verdana" w:cs="Arial"/>
              </w:rPr>
              <w:t xml:space="preserve">Tolerancja uziarnienia; </w:t>
            </w:r>
            <w:r>
              <w:rPr>
                <w:rFonts w:ascii="Verdana" w:hAnsi="Verdana" w:cs="Arial"/>
              </w:rPr>
              <w:t>wymagane</w:t>
            </w:r>
            <w:r w:rsidRPr="009040B8">
              <w:rPr>
                <w:rFonts w:ascii="Verdana" w:hAnsi="Verdana" w:cs="Arial"/>
              </w:rPr>
              <w:t xml:space="preserve"> kategori</w:t>
            </w:r>
            <w:r>
              <w:rPr>
                <w:rFonts w:ascii="Verdana" w:hAnsi="Verdana" w:cs="Arial"/>
              </w:rPr>
              <w:t>e</w:t>
            </w:r>
            <w:r w:rsidRPr="009040B8">
              <w:rPr>
                <w:rFonts w:ascii="Verdana" w:hAnsi="Verdana" w:cs="Arial"/>
              </w:rPr>
              <w:t>:</w:t>
            </w:r>
          </w:p>
        </w:tc>
        <w:tc>
          <w:tcPr>
            <w:tcW w:w="2976" w:type="dxa"/>
            <w:tcBorders>
              <w:top w:val="single" w:sz="5" w:space="0" w:color="auto"/>
              <w:left w:val="single" w:sz="5" w:space="0" w:color="auto"/>
              <w:bottom w:val="single" w:sz="5" w:space="0" w:color="auto"/>
              <w:right w:val="single" w:sz="5" w:space="0" w:color="auto"/>
            </w:tcBorders>
            <w:vAlign w:val="center"/>
          </w:tcPr>
          <w:p w:rsidR="00683496" w:rsidRPr="002A62C4" w:rsidRDefault="00683496" w:rsidP="00683496">
            <w:pPr>
              <w:widowControl w:val="0"/>
              <w:autoSpaceDE w:val="0"/>
              <w:autoSpaceDN w:val="0"/>
              <w:jc w:val="center"/>
              <w:rPr>
                <w:rFonts w:ascii="Verdana" w:hAnsi="Verdana" w:cs="Arial"/>
                <w:spacing w:val="2"/>
              </w:rPr>
            </w:pPr>
            <w:r w:rsidRPr="009040B8">
              <w:rPr>
                <w:rFonts w:ascii="Verdana" w:hAnsi="Verdana" w:cs="Arial"/>
                <w:spacing w:val="2"/>
              </w:rPr>
              <w:t>G</w:t>
            </w:r>
            <w:r w:rsidRPr="009040B8">
              <w:rPr>
                <w:rFonts w:ascii="Verdana" w:hAnsi="Verdana" w:cs="Arial"/>
                <w:spacing w:val="2"/>
                <w:vertAlign w:val="subscript"/>
              </w:rPr>
              <w:t>2</w:t>
            </w:r>
            <w:r>
              <w:rPr>
                <w:rFonts w:ascii="Verdana" w:hAnsi="Verdana" w:cs="Arial"/>
                <w:spacing w:val="2"/>
                <w:vertAlign w:val="subscript"/>
              </w:rPr>
              <w:t>5</w:t>
            </w:r>
            <w:r w:rsidRPr="009040B8">
              <w:rPr>
                <w:rFonts w:ascii="Verdana" w:hAnsi="Verdana" w:cs="Arial"/>
                <w:spacing w:val="2"/>
                <w:vertAlign w:val="subscript"/>
              </w:rPr>
              <w:t>/15</w:t>
            </w:r>
            <w:r>
              <w:rPr>
                <w:rFonts w:ascii="Verdana" w:hAnsi="Verdana" w:cs="Arial"/>
                <w:spacing w:val="2"/>
              </w:rPr>
              <w:t>,</w:t>
            </w:r>
            <w:r w:rsidRPr="009040B8">
              <w:rPr>
                <w:rFonts w:ascii="Verdana" w:hAnsi="Verdana" w:cs="Arial"/>
                <w:spacing w:val="2"/>
              </w:rPr>
              <w:t xml:space="preserve"> </w:t>
            </w:r>
            <w:r>
              <w:rPr>
                <w:rFonts w:ascii="Verdana" w:hAnsi="Verdana" w:cs="Arial"/>
                <w:spacing w:val="2"/>
              </w:rPr>
              <w:t xml:space="preserve">                                      </w:t>
            </w:r>
            <w:r w:rsidRPr="009040B8">
              <w:rPr>
                <w:rFonts w:ascii="Verdana" w:hAnsi="Verdana" w:cs="Arial"/>
                <w:spacing w:val="2"/>
              </w:rPr>
              <w:t>G</w:t>
            </w:r>
            <w:r w:rsidRPr="009040B8">
              <w:rPr>
                <w:rFonts w:ascii="Verdana" w:hAnsi="Verdana" w:cs="Arial"/>
                <w:spacing w:val="2"/>
                <w:vertAlign w:val="subscript"/>
              </w:rPr>
              <w:t>20/15</w:t>
            </w:r>
            <w:r>
              <w:rPr>
                <w:rFonts w:ascii="Verdana" w:hAnsi="Verdana" w:cs="Arial"/>
                <w:spacing w:val="2"/>
              </w:rPr>
              <w:t>,</w:t>
            </w:r>
            <w:r w:rsidRPr="009040B8">
              <w:rPr>
                <w:rFonts w:ascii="Verdana" w:hAnsi="Verdana" w:cs="Arial"/>
                <w:spacing w:val="2"/>
              </w:rPr>
              <w:t xml:space="preserve"> </w:t>
            </w:r>
            <w:r>
              <w:rPr>
                <w:rFonts w:ascii="Verdana" w:hAnsi="Verdana" w:cs="Arial"/>
                <w:spacing w:val="2"/>
              </w:rPr>
              <w:t xml:space="preserve">                                     </w:t>
            </w:r>
            <w:r w:rsidRPr="009040B8">
              <w:rPr>
                <w:rFonts w:ascii="Verdana" w:hAnsi="Verdana" w:cs="Arial"/>
                <w:spacing w:val="2"/>
              </w:rPr>
              <w:t>G</w:t>
            </w:r>
            <w:r w:rsidRPr="009040B8">
              <w:rPr>
                <w:rFonts w:ascii="Verdana" w:hAnsi="Verdana" w:cs="Arial"/>
                <w:spacing w:val="2"/>
                <w:vertAlign w:val="subscript"/>
              </w:rPr>
              <w:t>20/1</w:t>
            </w:r>
            <w:r>
              <w:rPr>
                <w:rFonts w:ascii="Verdana" w:hAnsi="Verdana" w:cs="Arial"/>
                <w:spacing w:val="2"/>
                <w:vertAlign w:val="subscript"/>
              </w:rPr>
              <w:t>7,5</w:t>
            </w:r>
          </w:p>
        </w:tc>
      </w:tr>
      <w:tr w:rsidR="00683496" w:rsidRPr="009040B8" w:rsidTr="00683496">
        <w:trPr>
          <w:trHeight w:val="340"/>
        </w:trPr>
        <w:tc>
          <w:tcPr>
            <w:tcW w:w="666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85"/>
              <w:rPr>
                <w:rFonts w:ascii="Verdana" w:hAnsi="Verdana" w:cs="Arial"/>
              </w:rPr>
            </w:pPr>
            <w:r w:rsidRPr="009040B8">
              <w:rPr>
                <w:rFonts w:ascii="Verdana" w:hAnsi="Verdana" w:cs="Arial"/>
              </w:rPr>
              <w:t>Zawartość pyłów według PN-EN 933-1; kategoria nie wyższa niż:</w:t>
            </w:r>
          </w:p>
        </w:tc>
        <w:tc>
          <w:tcPr>
            <w:tcW w:w="2976"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spacing w:val="2"/>
              </w:rPr>
            </w:pPr>
            <w:r w:rsidRPr="009040B8">
              <w:rPr>
                <w:rFonts w:ascii="Verdana" w:hAnsi="Verdana" w:cs="Arial"/>
                <w:i/>
                <w:spacing w:val="17"/>
              </w:rPr>
              <w:t>f</w:t>
            </w:r>
            <w:r w:rsidRPr="009040B8">
              <w:rPr>
                <w:rFonts w:ascii="Verdana" w:hAnsi="Verdana" w:cs="Arial"/>
                <w:spacing w:val="17"/>
                <w:vertAlign w:val="subscript"/>
              </w:rPr>
              <w:t>2</w:t>
            </w:r>
          </w:p>
        </w:tc>
      </w:tr>
      <w:tr w:rsidR="00683496" w:rsidRPr="009040B8" w:rsidTr="00683496">
        <w:trPr>
          <w:trHeight w:val="340"/>
        </w:trPr>
        <w:tc>
          <w:tcPr>
            <w:tcW w:w="6663" w:type="dxa"/>
            <w:tcBorders>
              <w:top w:val="nil"/>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Kształt kruszywa według PN-EN 933-3 lub według PN-EN 933-4;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i/>
                <w:spacing w:val="2"/>
                <w:vertAlign w:val="subscript"/>
              </w:rPr>
            </w:pPr>
            <w:r w:rsidRPr="009040B8">
              <w:rPr>
                <w:rFonts w:ascii="Verdana" w:hAnsi="Verdana" w:cs="Arial"/>
                <w:i/>
                <w:spacing w:val="2"/>
              </w:rPr>
              <w:t>FI</w:t>
            </w:r>
            <w:r w:rsidRPr="009040B8">
              <w:rPr>
                <w:rFonts w:ascii="Verdana" w:hAnsi="Verdana" w:cs="Arial"/>
                <w:spacing w:val="2"/>
                <w:vertAlign w:val="subscript"/>
              </w:rPr>
              <w:t>25</w:t>
            </w:r>
          </w:p>
          <w:p w:rsidR="00683496" w:rsidRPr="009040B8" w:rsidRDefault="00683496" w:rsidP="00683496">
            <w:pPr>
              <w:widowControl w:val="0"/>
              <w:autoSpaceDE w:val="0"/>
              <w:autoSpaceDN w:val="0"/>
              <w:jc w:val="center"/>
              <w:rPr>
                <w:rFonts w:ascii="Verdana" w:hAnsi="Verdana" w:cs="Arial"/>
                <w:vertAlign w:val="subscript"/>
              </w:rPr>
            </w:pPr>
            <w:r w:rsidRPr="009040B8">
              <w:rPr>
                <w:rFonts w:ascii="Verdana" w:hAnsi="Verdana" w:cs="Arial"/>
              </w:rPr>
              <w:t xml:space="preserve">lub </w:t>
            </w:r>
            <w:r w:rsidRPr="009040B8">
              <w:rPr>
                <w:rFonts w:ascii="Verdana" w:hAnsi="Verdana" w:cs="Arial"/>
                <w:i/>
              </w:rPr>
              <w:t>SI</w:t>
            </w:r>
            <w:r w:rsidRPr="009040B8">
              <w:rPr>
                <w:rFonts w:ascii="Verdana" w:hAnsi="Verdana" w:cs="Arial"/>
                <w:vertAlign w:val="subscript"/>
              </w:rPr>
              <w:t>25</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Procentowa zawa</w:t>
            </w:r>
            <w:r>
              <w:rPr>
                <w:rFonts w:ascii="Verdana" w:hAnsi="Verdana" w:cs="Arial"/>
              </w:rPr>
              <w:t xml:space="preserve">rtość ziaren o powierzchni </w:t>
            </w:r>
            <w:proofErr w:type="spellStart"/>
            <w:r>
              <w:rPr>
                <w:rFonts w:ascii="Verdana" w:hAnsi="Verdana" w:cs="Arial"/>
              </w:rPr>
              <w:t>prze</w:t>
            </w:r>
            <w:r w:rsidRPr="009040B8">
              <w:rPr>
                <w:rFonts w:ascii="Verdana" w:hAnsi="Verdana" w:cs="Arial"/>
              </w:rPr>
              <w:t>kruszonej</w:t>
            </w:r>
            <w:proofErr w:type="spellEnd"/>
            <w:r w:rsidRPr="009040B8">
              <w:rPr>
                <w:rFonts w:ascii="Verdana" w:hAnsi="Verdana" w:cs="Arial"/>
              </w:rPr>
              <w:t xml:space="preserve"> i łamanej </w:t>
            </w:r>
            <w:r w:rsidRPr="00105084">
              <w:rPr>
                <w:rFonts w:ascii="Verdana" w:hAnsi="Verdana" w:cs="Arial"/>
                <w:iCs/>
                <w:spacing w:val="4"/>
              </w:rPr>
              <w:t>w</w:t>
            </w:r>
            <w:r w:rsidRPr="009040B8">
              <w:rPr>
                <w:rFonts w:ascii="Verdana" w:hAnsi="Verdana" w:cs="Arial"/>
                <w:i/>
                <w:iCs/>
                <w:spacing w:val="4"/>
              </w:rPr>
              <w:t xml:space="preserve"> </w:t>
            </w:r>
            <w:r w:rsidRPr="009040B8">
              <w:rPr>
                <w:rFonts w:ascii="Verdana" w:hAnsi="Verdana" w:cs="Arial"/>
              </w:rPr>
              <w:t xml:space="preserve">kruszywie grubym według PN-EN 933-5; kategoria </w:t>
            </w:r>
            <w:r w:rsidRPr="009040B8">
              <w:rPr>
                <w:rFonts w:ascii="Verdana" w:hAnsi="Verdana" w:cs="Arial"/>
              </w:rPr>
              <w:lastRenderedPageBreak/>
              <w:t>nie niższa niż:</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2"/>
              </w:rPr>
            </w:pPr>
            <w:r w:rsidRPr="00105084">
              <w:rPr>
                <w:rFonts w:ascii="Verdana" w:hAnsi="Verdana" w:cs="Arial"/>
                <w:i/>
                <w:spacing w:val="2"/>
              </w:rPr>
              <w:lastRenderedPageBreak/>
              <w:t>C</w:t>
            </w:r>
            <w:r w:rsidRPr="009040B8">
              <w:rPr>
                <w:rFonts w:ascii="Verdana" w:hAnsi="Verdana" w:cs="Arial"/>
                <w:spacing w:val="2"/>
                <w:vertAlign w:val="subscript"/>
              </w:rPr>
              <w:t>50/10</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lastRenderedPageBreak/>
              <w:t>Odporność kruszywa na rozdrabnianie według normy PN-EN 1097-2, rozdział 5</w:t>
            </w:r>
            <w:r>
              <w:rPr>
                <w:rFonts w:ascii="Verdana" w:hAnsi="Verdana" w:cs="Arial"/>
              </w:rPr>
              <w:t xml:space="preserve">, </w:t>
            </w:r>
            <w:r w:rsidRPr="009040B8">
              <w:rPr>
                <w:rFonts w:ascii="Verdana" w:hAnsi="Verdana" w:cs="Arial"/>
              </w:rPr>
              <w:t>badana na</w:t>
            </w:r>
            <w:r>
              <w:rPr>
                <w:rFonts w:ascii="Verdana" w:hAnsi="Verdana" w:cs="Arial"/>
              </w:rPr>
              <w:t xml:space="preserve"> kruszywie o wymiarze 10/14</w:t>
            </w:r>
            <w:r w:rsidRPr="009040B8">
              <w:rPr>
                <w:rFonts w:ascii="Verdana" w:hAnsi="Verdana" w:cs="Arial"/>
              </w:rPr>
              <w:t>;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2"/>
              </w:rPr>
            </w:pPr>
            <w:r w:rsidRPr="009040B8">
              <w:rPr>
                <w:rFonts w:ascii="Verdana" w:hAnsi="Verdana" w:cs="Arial"/>
                <w:i/>
                <w:iCs/>
                <w:spacing w:val="4"/>
              </w:rPr>
              <w:t>LA</w:t>
            </w:r>
            <w:r w:rsidRPr="009040B8">
              <w:rPr>
                <w:rFonts w:ascii="Verdana" w:hAnsi="Verdana" w:cs="Arial"/>
                <w:iCs/>
                <w:spacing w:val="4"/>
                <w:vertAlign w:val="subscript"/>
              </w:rPr>
              <w:t>30</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Gęstość ziaren według PN-EN 1097-6, rozdz. 7, 8 lub 9:</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deklarowana przez producenta</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Nasiąkliwość według PN-EN 1097-6, rozdz. 7, 8 lub 9</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2"/>
                <w:vertAlign w:val="subscript"/>
              </w:rPr>
            </w:pPr>
            <w:r w:rsidRPr="009040B8">
              <w:rPr>
                <w:rFonts w:ascii="Verdana" w:hAnsi="Verdana" w:cs="Arial"/>
              </w:rPr>
              <w:t>deklarowana przez producenta</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Gęstość nasypowa według normy PN-EN 1097-3:</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deklarowana przez producenta</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Mrozoodporność według PN-EN 1367-1 badana na kruszywie o wymiarze 8/11, 11/16 lub 8/16;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2"/>
              </w:rPr>
            </w:pPr>
            <w:r w:rsidRPr="009040B8">
              <w:rPr>
                <w:rFonts w:ascii="Verdana" w:hAnsi="Verdana" w:cs="Arial"/>
                <w:i/>
                <w:spacing w:val="2"/>
              </w:rPr>
              <w:t>F</w:t>
            </w:r>
            <w:r w:rsidRPr="009040B8">
              <w:rPr>
                <w:rFonts w:ascii="Verdana" w:hAnsi="Verdana" w:cs="Arial"/>
                <w:spacing w:val="2"/>
                <w:vertAlign w:val="subscript"/>
              </w:rPr>
              <w:t>2</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„Zgorzel słoneczna" bazaltu według PN-EN 1367-3, wymagana kategoria:</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i/>
              </w:rPr>
              <w:t>SB</w:t>
            </w:r>
            <w:r w:rsidRPr="009040B8">
              <w:rPr>
                <w:rFonts w:ascii="Verdana" w:hAnsi="Verdana" w:cs="Arial"/>
                <w:vertAlign w:val="subscript"/>
              </w:rPr>
              <w:t>LA</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 xml:space="preserve">Skład chemiczny - uproszczony opis petrograficzny według </w:t>
            </w:r>
            <w:r>
              <w:rPr>
                <w:rFonts w:ascii="Verdana" w:hAnsi="Verdana" w:cs="Arial"/>
              </w:rPr>
              <w:t xml:space="preserve">                     </w:t>
            </w:r>
            <w:r w:rsidRPr="009040B8">
              <w:rPr>
                <w:rFonts w:ascii="Verdana" w:hAnsi="Verdana" w:cs="Arial"/>
              </w:rPr>
              <w:t>PN-EN 932-3:</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deklarowany przez producenta</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Grube zanieczyszczenia lekkie według PN-EN 1744-1 p. 14.2,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2"/>
              </w:rPr>
            </w:pPr>
            <w:r w:rsidRPr="00105084">
              <w:rPr>
                <w:rFonts w:ascii="Verdana" w:hAnsi="Verdana" w:cs="Arial"/>
                <w:i/>
                <w:spacing w:val="2"/>
              </w:rPr>
              <w:t>m</w:t>
            </w:r>
            <w:r w:rsidRPr="009040B8">
              <w:rPr>
                <w:rFonts w:ascii="Verdana" w:hAnsi="Verdana" w:cs="Arial"/>
                <w:spacing w:val="2"/>
                <w:vertAlign w:val="subscript"/>
              </w:rPr>
              <w:t>LPC</w:t>
            </w:r>
            <w:r w:rsidRPr="009040B8">
              <w:rPr>
                <w:rFonts w:ascii="Verdana" w:hAnsi="Verdana" w:cs="Arial"/>
                <w:spacing w:val="2"/>
              </w:rPr>
              <w:t>0,1</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 xml:space="preserve">Rozpad krzemianu dwuwapniowego w kruszywie z żużla wielkopiecowego chłodzonego powietrzem według </w:t>
            </w:r>
            <w:r>
              <w:rPr>
                <w:rFonts w:ascii="Verdana" w:hAnsi="Verdana" w:cs="Arial"/>
              </w:rPr>
              <w:t xml:space="preserve">                                    </w:t>
            </w:r>
            <w:r w:rsidRPr="009040B8">
              <w:rPr>
                <w:rFonts w:ascii="Verdana" w:hAnsi="Verdana" w:cs="Arial"/>
              </w:rPr>
              <w:t>PN-EN 1744-1,p.19.1:</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wymagana odporność</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Rozpad związków żelaza w kruszywie z żużla wielkopiecowego chłodzonego powietrzem według PN-EN 1744-1, p. 19.2:</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wymagana odporność</w:t>
            </w:r>
          </w:p>
        </w:tc>
      </w:tr>
      <w:tr w:rsidR="00683496" w:rsidRPr="009040B8" w:rsidTr="00683496">
        <w:trPr>
          <w:trHeight w:val="340"/>
        </w:trPr>
        <w:tc>
          <w:tcPr>
            <w:tcW w:w="666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 xml:space="preserve">Stałość objętości kruszywa z żużla stalowniczego według </w:t>
            </w:r>
            <w:r>
              <w:rPr>
                <w:rFonts w:ascii="Verdana" w:hAnsi="Verdana" w:cs="Arial"/>
              </w:rPr>
              <w:t xml:space="preserve">         </w:t>
            </w:r>
            <w:r w:rsidRPr="009040B8">
              <w:rPr>
                <w:rFonts w:ascii="Verdana" w:hAnsi="Verdana" w:cs="Arial"/>
              </w:rPr>
              <w:t>PN-EN 1744-1, p. 19.3; kategoria nie wyższa niż:</w:t>
            </w:r>
          </w:p>
        </w:tc>
        <w:tc>
          <w:tcPr>
            <w:tcW w:w="2976"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2"/>
              </w:rPr>
            </w:pPr>
            <w:r w:rsidRPr="00105084">
              <w:rPr>
                <w:rFonts w:ascii="Verdana" w:hAnsi="Verdana" w:cs="Arial"/>
                <w:i/>
                <w:spacing w:val="2"/>
              </w:rPr>
              <w:t>V</w:t>
            </w:r>
            <w:r w:rsidRPr="009040B8">
              <w:rPr>
                <w:rFonts w:ascii="Verdana" w:hAnsi="Verdana" w:cs="Arial"/>
                <w:spacing w:val="2"/>
                <w:vertAlign w:val="subscript"/>
              </w:rPr>
              <w:t>3,5</w:t>
            </w:r>
          </w:p>
        </w:tc>
      </w:tr>
    </w:tbl>
    <w:p w:rsidR="00683496" w:rsidRPr="009040B8" w:rsidRDefault="00683496" w:rsidP="00683496">
      <w:pPr>
        <w:jc w:val="both"/>
        <w:rPr>
          <w:rFonts w:ascii="Verdana" w:hAnsi="Verdana" w:cs="Arial"/>
        </w:rPr>
      </w:pPr>
    </w:p>
    <w:p w:rsidR="00683496" w:rsidRPr="009040B8" w:rsidRDefault="00683496" w:rsidP="00683496">
      <w:pPr>
        <w:ind w:left="993" w:hanging="993"/>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6. Wymagane właściwości kruszywa niełamanego drobnego</w:t>
      </w:r>
      <w:r>
        <w:rPr>
          <w:rFonts w:ascii="Verdana" w:hAnsi="Verdana" w:cs="Arial"/>
        </w:rPr>
        <w:t xml:space="preserve"> lub o ciągłym uziarnieniu do D ≤ 8 mm </w:t>
      </w:r>
      <w:r w:rsidRPr="009040B8">
        <w:rPr>
          <w:rFonts w:ascii="Verdana" w:hAnsi="Verdana" w:cs="Arial"/>
        </w:rPr>
        <w:t>do warstwy wiążącej z betonu asfaltowego</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17"/>
        <w:gridCol w:w="3222"/>
      </w:tblGrid>
      <w:tr w:rsidR="00683496" w:rsidRPr="009040B8" w:rsidTr="00683496">
        <w:trPr>
          <w:cantSplit/>
          <w:trHeight w:hRule="exact" w:val="722"/>
        </w:trPr>
        <w:tc>
          <w:tcPr>
            <w:tcW w:w="6417" w:type="dxa"/>
            <w:vMerge w:val="restart"/>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Właściwości kruszywa</w:t>
            </w:r>
          </w:p>
        </w:tc>
        <w:tc>
          <w:tcPr>
            <w:tcW w:w="3222" w:type="dxa"/>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Wymagania w zależności                           od kategorii ruchu</w:t>
            </w:r>
          </w:p>
        </w:tc>
      </w:tr>
      <w:tr w:rsidR="00683496" w:rsidRPr="009040B8" w:rsidTr="00683496">
        <w:trPr>
          <w:cantSplit/>
          <w:trHeight w:hRule="exact" w:val="434"/>
        </w:trPr>
        <w:tc>
          <w:tcPr>
            <w:tcW w:w="6417" w:type="dxa"/>
            <w:vMerge/>
            <w:vAlign w:val="center"/>
          </w:tcPr>
          <w:p w:rsidR="00683496" w:rsidRPr="009040B8" w:rsidRDefault="00683496" w:rsidP="00683496">
            <w:pPr>
              <w:widowControl w:val="0"/>
              <w:autoSpaceDE w:val="0"/>
              <w:autoSpaceDN w:val="0"/>
              <w:jc w:val="center"/>
              <w:rPr>
                <w:rFonts w:ascii="Verdana" w:hAnsi="Verdana" w:cs="Arial"/>
              </w:rPr>
            </w:pPr>
          </w:p>
        </w:tc>
        <w:tc>
          <w:tcPr>
            <w:tcW w:w="3222" w:type="dxa"/>
            <w:vAlign w:val="center"/>
          </w:tcPr>
          <w:p w:rsidR="00683496" w:rsidRPr="009040B8" w:rsidRDefault="00683496" w:rsidP="00683496">
            <w:pPr>
              <w:widowControl w:val="0"/>
              <w:autoSpaceDE w:val="0"/>
              <w:autoSpaceDN w:val="0"/>
              <w:jc w:val="center"/>
              <w:rPr>
                <w:rFonts w:ascii="Verdana" w:hAnsi="Verdana" w:cs="Arial"/>
                <w:spacing w:val="20"/>
              </w:rPr>
            </w:pPr>
            <w:r w:rsidRPr="009040B8">
              <w:rPr>
                <w:rFonts w:ascii="Verdana" w:hAnsi="Verdana" w:cs="Arial"/>
              </w:rPr>
              <w:t>KR 3</w:t>
            </w:r>
            <w:r>
              <w:rPr>
                <w:rFonts w:ascii="Verdana" w:hAnsi="Verdana" w:cs="Arial"/>
              </w:rPr>
              <w:t>÷</w:t>
            </w:r>
            <w:r w:rsidRPr="009040B8">
              <w:rPr>
                <w:rFonts w:ascii="Verdana" w:hAnsi="Verdana" w:cs="Arial"/>
              </w:rPr>
              <w:t>4</w:t>
            </w:r>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Uziarnienie według PN-EN 933-1, wymagana kategoria:</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spacing w:val="14"/>
              </w:rPr>
            </w:pPr>
            <w:r w:rsidRPr="00732552">
              <w:rPr>
                <w:rFonts w:ascii="Verdana" w:hAnsi="Verdana" w:cs="Arial"/>
                <w:i/>
                <w:spacing w:val="14"/>
              </w:rPr>
              <w:t>G</w:t>
            </w:r>
            <w:r w:rsidRPr="009040B8">
              <w:rPr>
                <w:rFonts w:ascii="Verdana" w:hAnsi="Verdana" w:cs="Arial"/>
                <w:spacing w:val="14"/>
                <w:vertAlign w:val="subscript"/>
              </w:rPr>
              <w:t>F</w:t>
            </w:r>
            <w:r w:rsidRPr="009040B8">
              <w:rPr>
                <w:rFonts w:ascii="Verdana" w:hAnsi="Verdana" w:cs="Arial"/>
                <w:spacing w:val="14"/>
              </w:rPr>
              <w:t>85</w:t>
            </w:r>
            <w:r>
              <w:rPr>
                <w:rFonts w:ascii="Verdana" w:hAnsi="Verdana" w:cs="Arial"/>
                <w:spacing w:val="14"/>
              </w:rPr>
              <w:t xml:space="preserve"> lub</w:t>
            </w:r>
            <w:r w:rsidRPr="00732552">
              <w:rPr>
                <w:rFonts w:ascii="Verdana" w:hAnsi="Verdana" w:cs="Arial"/>
                <w:i/>
                <w:spacing w:val="14"/>
              </w:rPr>
              <w:t xml:space="preserve"> G</w:t>
            </w:r>
            <w:r>
              <w:rPr>
                <w:rFonts w:ascii="Verdana" w:hAnsi="Verdana" w:cs="Arial"/>
                <w:spacing w:val="14"/>
                <w:vertAlign w:val="subscript"/>
              </w:rPr>
              <w:t>A</w:t>
            </w:r>
            <w:r w:rsidRPr="009040B8">
              <w:rPr>
                <w:rFonts w:ascii="Verdana" w:hAnsi="Verdana" w:cs="Arial"/>
                <w:spacing w:val="14"/>
              </w:rPr>
              <w:t>85</w:t>
            </w:r>
            <w:r>
              <w:rPr>
                <w:rFonts w:ascii="Verdana" w:hAnsi="Verdana" w:cs="Arial"/>
                <w:spacing w:val="14"/>
              </w:rPr>
              <w:t xml:space="preserve">  </w:t>
            </w:r>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Tolerancja uziarnienia; odchylenie nie większe niż według kategorii:</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rPr>
            </w:pPr>
            <w:r w:rsidRPr="00732552">
              <w:rPr>
                <w:rFonts w:ascii="Verdana" w:hAnsi="Verdana" w:cs="Arial"/>
                <w:i/>
              </w:rPr>
              <w:t>G</w:t>
            </w:r>
            <w:r w:rsidRPr="009040B8">
              <w:rPr>
                <w:rFonts w:ascii="Verdana" w:hAnsi="Verdana" w:cs="Arial"/>
                <w:vertAlign w:val="subscript"/>
              </w:rPr>
              <w:t>TC</w:t>
            </w:r>
            <w:r w:rsidRPr="009040B8">
              <w:rPr>
                <w:rFonts w:ascii="Verdana" w:hAnsi="Verdana" w:cs="Arial"/>
              </w:rPr>
              <w:t>20</w:t>
            </w:r>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 xml:space="preserve">Zawartość pyłów według PN-EN 933-1, </w:t>
            </w:r>
            <w:r>
              <w:rPr>
                <w:rFonts w:ascii="Verdana" w:hAnsi="Verdana" w:cs="Arial"/>
              </w:rPr>
              <w:t xml:space="preserve">                                        </w:t>
            </w:r>
            <w:r w:rsidRPr="009040B8">
              <w:rPr>
                <w:rFonts w:ascii="Verdana" w:hAnsi="Verdana" w:cs="Arial"/>
              </w:rPr>
              <w:t>kategoria nie wyższa niż:</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spacing w:val="-6"/>
              </w:rPr>
            </w:pPr>
            <w:r>
              <w:rPr>
                <w:rFonts w:ascii="Verdana" w:hAnsi="Verdana" w:cs="Arial"/>
                <w:i/>
                <w:spacing w:val="17"/>
              </w:rPr>
              <w:t>f</w:t>
            </w:r>
            <w:r>
              <w:rPr>
                <w:rFonts w:ascii="Verdana" w:hAnsi="Verdana" w:cs="Arial"/>
                <w:spacing w:val="17"/>
                <w:vertAlign w:val="subscript"/>
              </w:rPr>
              <w:t>3</w:t>
            </w:r>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Jakość pyłów według PN-EN 933-9; kategoria nie wyższa niż:</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rPr>
            </w:pPr>
            <w:r w:rsidRPr="00732552">
              <w:rPr>
                <w:rFonts w:ascii="Verdana" w:hAnsi="Verdana" w:cs="Arial"/>
                <w:i/>
              </w:rPr>
              <w:t>MB</w:t>
            </w:r>
            <w:r w:rsidRPr="009040B8">
              <w:rPr>
                <w:rFonts w:ascii="Verdana" w:hAnsi="Verdana" w:cs="Arial"/>
                <w:vertAlign w:val="subscript"/>
              </w:rPr>
              <w:t>F</w:t>
            </w:r>
            <w:r w:rsidRPr="009040B8">
              <w:rPr>
                <w:rFonts w:ascii="Verdana" w:hAnsi="Verdana" w:cs="Arial"/>
              </w:rPr>
              <w:t>10</w:t>
            </w:r>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 xml:space="preserve">Kanciastość kruszywa drobnego lub kruszywa 0/2 wydzielonego z kruszywa o ciągłym uziarnieniu według </w:t>
            </w:r>
            <w:r>
              <w:rPr>
                <w:rFonts w:ascii="Verdana" w:hAnsi="Verdana" w:cs="Arial"/>
              </w:rPr>
              <w:t xml:space="preserve">                       </w:t>
            </w:r>
            <w:r w:rsidRPr="009040B8">
              <w:rPr>
                <w:rFonts w:ascii="Verdana" w:hAnsi="Verdana" w:cs="Arial"/>
              </w:rPr>
              <w:t xml:space="preserve">PN-EN 933-6, rozdz. 8, </w:t>
            </w:r>
            <w:r>
              <w:rPr>
                <w:rFonts w:ascii="Verdana" w:hAnsi="Verdana" w:cs="Arial"/>
              </w:rPr>
              <w:t xml:space="preserve">wymagana </w:t>
            </w:r>
            <w:r w:rsidRPr="009040B8">
              <w:rPr>
                <w:rFonts w:ascii="Verdana" w:hAnsi="Verdana" w:cs="Arial"/>
              </w:rPr>
              <w:t>kategoria:</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spacing w:val="-2"/>
              </w:rPr>
            </w:pPr>
            <w:proofErr w:type="spellStart"/>
            <w:r w:rsidRPr="00732552">
              <w:rPr>
                <w:rFonts w:ascii="Verdana" w:hAnsi="Verdana" w:cs="Arial"/>
                <w:i/>
                <w:spacing w:val="-2"/>
              </w:rPr>
              <w:t>E</w:t>
            </w:r>
            <w:r w:rsidRPr="009040B8">
              <w:rPr>
                <w:rFonts w:ascii="Verdana" w:hAnsi="Verdana" w:cs="Arial"/>
                <w:spacing w:val="-2"/>
                <w:vertAlign w:val="subscript"/>
              </w:rPr>
              <w:t>cs</w:t>
            </w:r>
            <w:r w:rsidRPr="002559E7">
              <w:rPr>
                <w:rFonts w:ascii="Verdana" w:hAnsi="Verdana" w:cs="Arial"/>
                <w:spacing w:val="-2"/>
                <w:vertAlign w:val="subscript"/>
              </w:rPr>
              <w:t>Deklarowana</w:t>
            </w:r>
            <w:proofErr w:type="spellEnd"/>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Gęstość ziaren według PN-EN 1097-6, rozdz. 7, 8 lub 9</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rPr>
            </w:pPr>
            <w:r w:rsidRPr="009040B8">
              <w:rPr>
                <w:rFonts w:ascii="Verdana" w:hAnsi="Verdana" w:cs="Arial"/>
              </w:rPr>
              <w:t>deklarowana przez producenta</w:t>
            </w:r>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ind w:left="90"/>
              <w:rPr>
                <w:rFonts w:ascii="Verdana" w:hAnsi="Verdana" w:cs="Arial"/>
              </w:rPr>
            </w:pPr>
            <w:r w:rsidRPr="009040B8">
              <w:rPr>
                <w:rFonts w:ascii="Verdana" w:hAnsi="Verdana" w:cs="Arial"/>
              </w:rPr>
              <w:t>Nasiąkliwość według PN-EN 1097-6, rozdz. 7, 8 lub 9</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spacing w:val="-2"/>
              </w:rPr>
            </w:pPr>
            <w:r w:rsidRPr="009040B8">
              <w:rPr>
                <w:rFonts w:ascii="Verdana" w:hAnsi="Verdana" w:cs="Arial"/>
              </w:rPr>
              <w:t>deklarowana przez producenta</w:t>
            </w:r>
          </w:p>
        </w:tc>
      </w:tr>
      <w:tr w:rsidR="00683496" w:rsidRPr="009040B8" w:rsidTr="00683496">
        <w:trPr>
          <w:trHeight w:val="397"/>
        </w:trPr>
        <w:tc>
          <w:tcPr>
            <w:tcW w:w="6417" w:type="dxa"/>
            <w:vAlign w:val="center"/>
          </w:tcPr>
          <w:p w:rsidR="00683496" w:rsidRPr="009040B8" w:rsidRDefault="00683496" w:rsidP="00683496">
            <w:pPr>
              <w:widowControl w:val="0"/>
              <w:autoSpaceDE w:val="0"/>
              <w:autoSpaceDN w:val="0"/>
              <w:spacing w:before="72"/>
              <w:ind w:left="90"/>
              <w:rPr>
                <w:rFonts w:ascii="Verdana" w:hAnsi="Verdana" w:cs="Arial"/>
              </w:rPr>
            </w:pPr>
            <w:r w:rsidRPr="009040B8">
              <w:rPr>
                <w:rFonts w:ascii="Verdana" w:hAnsi="Verdana" w:cs="Arial"/>
              </w:rPr>
              <w:t>Grube zanieczyszczenia lekkie, według PN-EN 1744-1 p. 14.2, kategoria nie wyższa niż:</w:t>
            </w:r>
          </w:p>
        </w:tc>
        <w:tc>
          <w:tcPr>
            <w:tcW w:w="3222" w:type="dxa"/>
            <w:vAlign w:val="center"/>
          </w:tcPr>
          <w:p w:rsidR="00683496" w:rsidRPr="009040B8" w:rsidRDefault="00683496" w:rsidP="00683496">
            <w:pPr>
              <w:widowControl w:val="0"/>
              <w:tabs>
                <w:tab w:val="left" w:pos="3222"/>
              </w:tabs>
              <w:autoSpaceDE w:val="0"/>
              <w:autoSpaceDN w:val="0"/>
              <w:jc w:val="center"/>
              <w:rPr>
                <w:rFonts w:ascii="Verdana" w:hAnsi="Verdana" w:cs="Arial"/>
              </w:rPr>
            </w:pPr>
            <w:r w:rsidRPr="00732552">
              <w:rPr>
                <w:rFonts w:ascii="Verdana" w:hAnsi="Verdana" w:cs="Arial"/>
                <w:i/>
              </w:rPr>
              <w:t>m</w:t>
            </w:r>
            <w:r w:rsidRPr="009040B8">
              <w:rPr>
                <w:rFonts w:ascii="Verdana" w:hAnsi="Verdana" w:cs="Arial"/>
                <w:vertAlign w:val="subscript"/>
              </w:rPr>
              <w:t>LPC</w:t>
            </w:r>
            <w:r w:rsidRPr="009040B8">
              <w:rPr>
                <w:rFonts w:ascii="Verdana" w:hAnsi="Verdana" w:cs="Arial"/>
              </w:rPr>
              <w:t>0,1</w:t>
            </w:r>
          </w:p>
        </w:tc>
      </w:tr>
    </w:tbl>
    <w:p w:rsidR="00683496" w:rsidRPr="00105084" w:rsidRDefault="00683496" w:rsidP="00683496">
      <w:pPr>
        <w:autoSpaceDE w:val="0"/>
        <w:autoSpaceDN w:val="0"/>
        <w:adjustRightInd w:val="0"/>
        <w:jc w:val="both"/>
        <w:rPr>
          <w:rFonts w:ascii="Verdana" w:hAnsi="Verdana"/>
        </w:rPr>
      </w:pPr>
      <w:r w:rsidRPr="00105084">
        <w:rPr>
          <w:rFonts w:ascii="Verdana" w:hAnsi="Verdana"/>
        </w:rPr>
        <w:t>Jeżeli stosowana jest mieszanka kruszywa drobnego niełamanego i łamanego, to należy przyjąć proporcję kruszywa łamanego do niełamanego co najmniej 50/50.</w:t>
      </w:r>
    </w:p>
    <w:p w:rsidR="00683496" w:rsidRPr="009040B8" w:rsidRDefault="00683496" w:rsidP="00683496">
      <w:pPr>
        <w:jc w:val="both"/>
        <w:rPr>
          <w:rFonts w:ascii="Verdana" w:hAnsi="Verdana" w:cs="Arial"/>
        </w:rPr>
      </w:pPr>
    </w:p>
    <w:p w:rsidR="00683496" w:rsidRPr="009040B8" w:rsidRDefault="00683496" w:rsidP="00683496">
      <w:pPr>
        <w:ind w:left="993" w:hanging="993"/>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7. Wymagane właściwości kruszywa łamanego drobnego lub o ciągłym uziarnieniu </w:t>
      </w:r>
      <w:r w:rsidRPr="009040B8">
        <w:rPr>
          <w:rFonts w:ascii="Verdana" w:hAnsi="Verdana" w:cs="Arial"/>
        </w:rPr>
        <w:br/>
        <w:t>do D ≤ 8 mm do warstwy wiążącej z betonu asfaltowego</w:t>
      </w:r>
    </w:p>
    <w:tbl>
      <w:tblPr>
        <w:tblW w:w="9640" w:type="dxa"/>
        <w:tblInd w:w="5" w:type="dxa"/>
        <w:tblLayout w:type="fixed"/>
        <w:tblCellMar>
          <w:left w:w="0" w:type="dxa"/>
          <w:right w:w="0" w:type="dxa"/>
        </w:tblCellMar>
        <w:tblLook w:val="0000" w:firstRow="0" w:lastRow="0" w:firstColumn="0" w:lastColumn="0" w:noHBand="0" w:noVBand="0"/>
      </w:tblPr>
      <w:tblGrid>
        <w:gridCol w:w="6443"/>
        <w:gridCol w:w="3197"/>
      </w:tblGrid>
      <w:tr w:rsidR="00683496" w:rsidRPr="009040B8" w:rsidTr="00683496">
        <w:trPr>
          <w:cantSplit/>
          <w:trHeight w:hRule="exact" w:val="706"/>
        </w:trPr>
        <w:tc>
          <w:tcPr>
            <w:tcW w:w="6443" w:type="dxa"/>
            <w:vMerge w:val="restart"/>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Właściwości kruszywa</w:t>
            </w:r>
          </w:p>
        </w:tc>
        <w:tc>
          <w:tcPr>
            <w:tcW w:w="3197"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Wymagania w zależności                        od kategorii ruchu</w:t>
            </w:r>
          </w:p>
        </w:tc>
      </w:tr>
      <w:tr w:rsidR="00683496" w:rsidRPr="009040B8" w:rsidTr="00683496">
        <w:trPr>
          <w:cantSplit/>
          <w:trHeight w:hRule="exact" w:val="472"/>
        </w:trPr>
        <w:tc>
          <w:tcPr>
            <w:tcW w:w="6443" w:type="dxa"/>
            <w:vMerge/>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p>
        </w:tc>
        <w:tc>
          <w:tcPr>
            <w:tcW w:w="3197"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12"/>
              </w:rPr>
            </w:pPr>
            <w:r w:rsidRPr="009040B8">
              <w:rPr>
                <w:rFonts w:ascii="Verdana" w:hAnsi="Verdana" w:cs="Arial"/>
              </w:rPr>
              <w:t>KR 3</w:t>
            </w:r>
            <w:r>
              <w:rPr>
                <w:rFonts w:ascii="Verdana" w:hAnsi="Verdana" w:cs="Arial"/>
              </w:rPr>
              <w:t>÷</w:t>
            </w:r>
            <w:r w:rsidRPr="009040B8">
              <w:rPr>
                <w:rFonts w:ascii="Verdana" w:hAnsi="Verdana" w:cs="Arial"/>
              </w:rPr>
              <w:t>4</w:t>
            </w:r>
          </w:p>
        </w:tc>
      </w:tr>
      <w:tr w:rsidR="00683496" w:rsidRPr="009040B8" w:rsidTr="00683496">
        <w:trPr>
          <w:trHeight w:val="340"/>
        </w:trPr>
        <w:tc>
          <w:tcPr>
            <w:tcW w:w="6443"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rPr>
                <w:rFonts w:ascii="Verdana" w:hAnsi="Verdana" w:cs="Arial"/>
              </w:rPr>
            </w:pPr>
            <w:r w:rsidRPr="009040B8">
              <w:rPr>
                <w:rFonts w:ascii="Verdana" w:hAnsi="Verdana" w:cs="Arial"/>
              </w:rPr>
              <w:t xml:space="preserve">  Uziarnienie według PN-EN 933-1, wymagana kategoria:</w:t>
            </w:r>
          </w:p>
        </w:tc>
        <w:tc>
          <w:tcPr>
            <w:tcW w:w="3197"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spacing w:val="14"/>
              </w:rPr>
            </w:pPr>
            <w:r w:rsidRPr="00732552">
              <w:rPr>
                <w:rFonts w:ascii="Verdana" w:hAnsi="Verdana" w:cs="Arial"/>
                <w:i/>
                <w:spacing w:val="14"/>
              </w:rPr>
              <w:t>G</w:t>
            </w:r>
            <w:r w:rsidRPr="009040B8">
              <w:rPr>
                <w:rFonts w:ascii="Verdana" w:hAnsi="Verdana" w:cs="Arial"/>
                <w:spacing w:val="14"/>
                <w:vertAlign w:val="subscript"/>
              </w:rPr>
              <w:t>F</w:t>
            </w:r>
            <w:r w:rsidRPr="009040B8">
              <w:rPr>
                <w:rFonts w:ascii="Verdana" w:hAnsi="Verdana" w:cs="Arial"/>
                <w:spacing w:val="14"/>
              </w:rPr>
              <w:t xml:space="preserve">85 </w:t>
            </w:r>
            <w:r w:rsidRPr="009040B8">
              <w:rPr>
                <w:rFonts w:ascii="Verdana" w:hAnsi="Verdana" w:cs="Arial"/>
              </w:rPr>
              <w:t xml:space="preserve">lub </w:t>
            </w:r>
            <w:r w:rsidRPr="00732552">
              <w:rPr>
                <w:rFonts w:ascii="Verdana" w:hAnsi="Verdana" w:cs="Arial"/>
                <w:i/>
                <w:spacing w:val="14"/>
              </w:rPr>
              <w:t>G</w:t>
            </w:r>
            <w:r w:rsidRPr="009040B8">
              <w:rPr>
                <w:rFonts w:ascii="Verdana" w:hAnsi="Verdana" w:cs="Arial"/>
                <w:spacing w:val="14"/>
                <w:vertAlign w:val="subscript"/>
              </w:rPr>
              <w:t>A</w:t>
            </w:r>
            <w:r w:rsidRPr="009040B8">
              <w:rPr>
                <w:rFonts w:ascii="Verdana" w:hAnsi="Verdana" w:cs="Arial"/>
                <w:spacing w:val="14"/>
              </w:rPr>
              <w:t>85</w:t>
            </w:r>
          </w:p>
        </w:tc>
      </w:tr>
      <w:tr w:rsidR="00683496" w:rsidRPr="009040B8" w:rsidTr="00683496">
        <w:trPr>
          <w:trHeight w:val="340"/>
        </w:trPr>
        <w:tc>
          <w:tcPr>
            <w:tcW w:w="6443" w:type="dxa"/>
            <w:tcBorders>
              <w:top w:val="single" w:sz="4"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42" w:hanging="142"/>
              <w:rPr>
                <w:rFonts w:ascii="Verdana" w:hAnsi="Verdana" w:cs="Arial"/>
              </w:rPr>
            </w:pPr>
            <w:r w:rsidRPr="009040B8">
              <w:rPr>
                <w:rFonts w:ascii="Verdana" w:hAnsi="Verdana" w:cs="Arial"/>
              </w:rPr>
              <w:t xml:space="preserve">  Tolerancja uziarnienia; odchylenie nie większe niż według kategorii:</w:t>
            </w:r>
          </w:p>
        </w:tc>
        <w:tc>
          <w:tcPr>
            <w:tcW w:w="3197" w:type="dxa"/>
            <w:tcBorders>
              <w:top w:val="single" w:sz="4" w:space="0" w:color="auto"/>
              <w:left w:val="single" w:sz="5" w:space="0" w:color="auto"/>
              <w:bottom w:val="single" w:sz="5"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732552">
              <w:rPr>
                <w:rFonts w:ascii="Verdana" w:hAnsi="Verdana" w:cs="Arial"/>
                <w:i/>
              </w:rPr>
              <w:t>G</w:t>
            </w:r>
            <w:r w:rsidRPr="009040B8">
              <w:rPr>
                <w:rFonts w:ascii="Verdana" w:hAnsi="Verdana" w:cs="Arial"/>
                <w:vertAlign w:val="subscript"/>
              </w:rPr>
              <w:t>TC</w:t>
            </w:r>
            <w:r w:rsidRPr="009040B8">
              <w:rPr>
                <w:rFonts w:ascii="Verdana" w:hAnsi="Verdana" w:cs="Arial"/>
              </w:rPr>
              <w:t xml:space="preserve"> 20</w:t>
            </w:r>
          </w:p>
        </w:tc>
      </w:tr>
      <w:tr w:rsidR="00683496" w:rsidRPr="009040B8" w:rsidTr="00683496">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42" w:hanging="142"/>
              <w:rPr>
                <w:rFonts w:ascii="Verdana" w:hAnsi="Verdana" w:cs="Arial"/>
              </w:rPr>
            </w:pPr>
            <w:r w:rsidRPr="009040B8">
              <w:rPr>
                <w:rFonts w:ascii="Verdana" w:hAnsi="Verdana" w:cs="Arial"/>
              </w:rPr>
              <w:t xml:space="preserve">  Zawartość pyłów według PN-EN 933-1, </w:t>
            </w:r>
            <w:r>
              <w:rPr>
                <w:rFonts w:ascii="Verdana" w:hAnsi="Verdana" w:cs="Arial"/>
              </w:rPr>
              <w:t xml:space="preserve">                                         </w:t>
            </w:r>
            <w:r w:rsidRPr="009040B8">
              <w:rPr>
                <w:rFonts w:ascii="Verdana" w:hAnsi="Verdana" w:cs="Arial"/>
              </w:rPr>
              <w:t>kategoria nie wyższa niż:</w:t>
            </w:r>
          </w:p>
        </w:tc>
        <w:tc>
          <w:tcPr>
            <w:tcW w:w="3197"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i/>
                <w:spacing w:val="17"/>
              </w:rPr>
              <w:t>f</w:t>
            </w:r>
            <w:r w:rsidRPr="009040B8">
              <w:rPr>
                <w:rFonts w:ascii="Verdana" w:hAnsi="Verdana" w:cs="Arial"/>
                <w:vertAlign w:val="subscript"/>
              </w:rPr>
              <w:t>16</w:t>
            </w:r>
          </w:p>
        </w:tc>
      </w:tr>
      <w:tr w:rsidR="00683496" w:rsidRPr="009040B8" w:rsidTr="00683496">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rPr>
                <w:rFonts w:ascii="Verdana" w:hAnsi="Verdana" w:cs="Arial"/>
              </w:rPr>
            </w:pPr>
            <w:r w:rsidRPr="009040B8">
              <w:rPr>
                <w:rFonts w:ascii="Verdana" w:hAnsi="Verdana" w:cs="Arial"/>
              </w:rPr>
              <w:t xml:space="preserve">  Jakość pyłów według PN-EN 933-9; kategoria nie wyższa niż:</w:t>
            </w:r>
          </w:p>
        </w:tc>
        <w:tc>
          <w:tcPr>
            <w:tcW w:w="3197"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732552">
              <w:rPr>
                <w:rFonts w:ascii="Verdana" w:hAnsi="Verdana" w:cs="Arial"/>
                <w:i/>
              </w:rPr>
              <w:t>MB</w:t>
            </w:r>
            <w:r w:rsidRPr="009040B8">
              <w:rPr>
                <w:rFonts w:ascii="Verdana" w:hAnsi="Verdana" w:cs="Arial"/>
                <w:vertAlign w:val="subscript"/>
              </w:rPr>
              <w:t>F</w:t>
            </w:r>
            <w:r w:rsidRPr="009040B8">
              <w:rPr>
                <w:rFonts w:ascii="Verdana" w:hAnsi="Verdana" w:cs="Arial"/>
              </w:rPr>
              <w:t>10</w:t>
            </w:r>
          </w:p>
        </w:tc>
      </w:tr>
      <w:tr w:rsidR="00683496" w:rsidRPr="009040B8" w:rsidTr="00683496">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42" w:hanging="142"/>
              <w:rPr>
                <w:rFonts w:ascii="Verdana" w:hAnsi="Verdana" w:cs="Arial"/>
              </w:rPr>
            </w:pPr>
            <w:r w:rsidRPr="009040B8">
              <w:rPr>
                <w:rFonts w:ascii="Verdana" w:hAnsi="Verdana" w:cs="Arial"/>
              </w:rPr>
              <w:t xml:space="preserve">  Kanciastość kruszywa drobnego lub kruszywa 0/2 wydzielonego z kruszywa o ciągłym uziarnieniu według </w:t>
            </w:r>
            <w:r>
              <w:rPr>
                <w:rFonts w:ascii="Verdana" w:hAnsi="Verdana" w:cs="Arial"/>
              </w:rPr>
              <w:t xml:space="preserve">                           </w:t>
            </w:r>
            <w:r w:rsidRPr="009040B8">
              <w:rPr>
                <w:rFonts w:ascii="Verdana" w:hAnsi="Verdana" w:cs="Arial"/>
              </w:rPr>
              <w:t>PN-EN 933-6, rozdz. 8, kategoria nie niższa niż:</w:t>
            </w:r>
          </w:p>
        </w:tc>
        <w:tc>
          <w:tcPr>
            <w:tcW w:w="3197"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i/>
              </w:rPr>
              <w:t>E</w:t>
            </w:r>
            <w:r w:rsidRPr="009040B8">
              <w:rPr>
                <w:rFonts w:ascii="Verdana" w:hAnsi="Verdana" w:cs="Arial"/>
                <w:vertAlign w:val="subscript"/>
              </w:rPr>
              <w:t>CS</w:t>
            </w:r>
            <w:r w:rsidRPr="009040B8">
              <w:rPr>
                <w:rFonts w:ascii="Verdana" w:hAnsi="Verdana" w:cs="Arial"/>
              </w:rPr>
              <w:t>30</w:t>
            </w:r>
          </w:p>
        </w:tc>
      </w:tr>
      <w:tr w:rsidR="00683496" w:rsidRPr="009040B8" w:rsidTr="00683496">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rPr>
                <w:rFonts w:ascii="Verdana" w:hAnsi="Verdana" w:cs="Arial"/>
              </w:rPr>
            </w:pPr>
            <w:r w:rsidRPr="009040B8">
              <w:rPr>
                <w:rFonts w:ascii="Verdana" w:hAnsi="Verdana" w:cs="Arial"/>
              </w:rPr>
              <w:t xml:space="preserve">  Gęstość ziaren według PN-EN 1097-6, rozdz. 7, 8 lub 9</w:t>
            </w:r>
          </w:p>
        </w:tc>
        <w:tc>
          <w:tcPr>
            <w:tcW w:w="3197"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deklarowana przez producenta</w:t>
            </w:r>
          </w:p>
        </w:tc>
      </w:tr>
      <w:tr w:rsidR="00683496" w:rsidRPr="009040B8" w:rsidTr="00683496">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rPr>
                <w:rFonts w:ascii="Verdana" w:hAnsi="Verdana" w:cs="Arial"/>
              </w:rPr>
            </w:pPr>
            <w:r w:rsidRPr="009040B8">
              <w:rPr>
                <w:rFonts w:ascii="Verdana" w:hAnsi="Verdana" w:cs="Arial"/>
              </w:rPr>
              <w:t xml:space="preserve">  Nasiąkliwość według PN-EN 1097-6, rozdz. 7, 8 lub 9</w:t>
            </w:r>
          </w:p>
        </w:tc>
        <w:tc>
          <w:tcPr>
            <w:tcW w:w="3197"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spacing w:val="-2"/>
              </w:rPr>
            </w:pPr>
            <w:r w:rsidRPr="009040B8">
              <w:rPr>
                <w:rFonts w:ascii="Verdana" w:hAnsi="Verdana" w:cs="Arial"/>
              </w:rPr>
              <w:t>deklarowana przez producenta</w:t>
            </w:r>
          </w:p>
        </w:tc>
      </w:tr>
      <w:tr w:rsidR="00683496" w:rsidRPr="009040B8" w:rsidTr="00683496">
        <w:trPr>
          <w:trHeight w:val="340"/>
        </w:trPr>
        <w:tc>
          <w:tcPr>
            <w:tcW w:w="6443"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spacing w:before="36"/>
              <w:ind w:left="142" w:hanging="142"/>
              <w:rPr>
                <w:rFonts w:ascii="Verdana" w:hAnsi="Verdana" w:cs="Arial"/>
              </w:rPr>
            </w:pPr>
            <w:r w:rsidRPr="009040B8">
              <w:rPr>
                <w:rFonts w:ascii="Verdana" w:hAnsi="Verdana" w:cs="Arial"/>
              </w:rPr>
              <w:t xml:space="preserve">  Grube zanieczyszczenia lekkie, według PN-EN 1744-1 p. 14.2, kategoria nie wyższa niż:</w:t>
            </w:r>
          </w:p>
        </w:tc>
        <w:tc>
          <w:tcPr>
            <w:tcW w:w="3197"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732552">
              <w:rPr>
                <w:rFonts w:ascii="Verdana" w:hAnsi="Verdana" w:cs="Arial"/>
                <w:i/>
              </w:rPr>
              <w:t>m</w:t>
            </w:r>
            <w:r w:rsidRPr="009040B8">
              <w:rPr>
                <w:rFonts w:ascii="Verdana" w:hAnsi="Verdana" w:cs="Arial"/>
                <w:vertAlign w:val="subscript"/>
              </w:rPr>
              <w:t>LPC</w:t>
            </w:r>
            <w:r w:rsidRPr="009040B8">
              <w:rPr>
                <w:rFonts w:ascii="Verdana" w:hAnsi="Verdana" w:cs="Arial"/>
              </w:rPr>
              <w:t>0,1</w:t>
            </w:r>
          </w:p>
        </w:tc>
      </w:tr>
    </w:tbl>
    <w:p w:rsidR="00683496" w:rsidRDefault="00683496" w:rsidP="00683496">
      <w:pPr>
        <w:jc w:val="both"/>
        <w:rPr>
          <w:rFonts w:ascii="Verdana" w:hAnsi="Verdana"/>
          <w:b/>
          <w:spacing w:val="-3"/>
          <w:u w:val="single"/>
        </w:rPr>
      </w:pPr>
    </w:p>
    <w:p w:rsidR="00683496" w:rsidRPr="0098163E" w:rsidRDefault="00683496" w:rsidP="00683496">
      <w:pPr>
        <w:jc w:val="both"/>
        <w:rPr>
          <w:rFonts w:ascii="Verdana" w:hAnsi="Verdana"/>
        </w:rPr>
      </w:pPr>
      <w:r w:rsidRPr="0098163E">
        <w:rPr>
          <w:rFonts w:ascii="Verdana" w:hAnsi="Verdana"/>
          <w:spacing w:val="-3"/>
          <w:u w:val="single"/>
        </w:rPr>
        <w:t>Uwaga!</w:t>
      </w:r>
      <w:r w:rsidRPr="0098163E">
        <w:rPr>
          <w:rFonts w:ascii="Verdana" w:hAnsi="Verdana"/>
          <w:spacing w:val="-3"/>
        </w:rPr>
        <w:t xml:space="preserve"> </w:t>
      </w:r>
      <w:r w:rsidRPr="0098163E">
        <w:rPr>
          <w:rStyle w:val="FontStyle43"/>
        </w:rPr>
        <w:t>Jeżeli będą stosowane kruszywa z osadowych skał węglanowych, to należy ograniczyć ich udział do 20% w mieszance, za pisemną zgodą Zamawiającego.</w:t>
      </w:r>
    </w:p>
    <w:p w:rsidR="00683496" w:rsidRDefault="00683496" w:rsidP="00683496">
      <w:pPr>
        <w:jc w:val="both"/>
        <w:rPr>
          <w:rFonts w:ascii="Verdana" w:hAnsi="Verdana" w:cs="Arial"/>
        </w:rPr>
      </w:pPr>
    </w:p>
    <w:p w:rsidR="00683496" w:rsidRPr="00FC5B0B" w:rsidRDefault="00683496" w:rsidP="00683496">
      <w:pPr>
        <w:ind w:left="993" w:hanging="993"/>
        <w:jc w:val="both"/>
        <w:rPr>
          <w:rFonts w:ascii="Verdana" w:hAnsi="Verdana" w:cs="Arial"/>
        </w:rPr>
      </w:pPr>
      <w:r w:rsidRPr="00FC5B0B">
        <w:rPr>
          <w:rFonts w:ascii="Verdana" w:hAnsi="Verdana" w:cs="Arial"/>
        </w:rPr>
        <w:t>Tabela 8. Wymagane właściwości wypełniacza</w:t>
      </w:r>
      <w:r w:rsidRPr="00FC5B0B">
        <w:rPr>
          <w:rFonts w:ascii="Verdana" w:hAnsi="Verdana" w:cs="Arial"/>
          <w:vertAlign w:val="superscript"/>
        </w:rPr>
        <w:t>*)</w:t>
      </w:r>
      <w:r w:rsidRPr="00FC5B0B">
        <w:rPr>
          <w:rFonts w:ascii="Verdana" w:hAnsi="Verdana" w:cs="Arial"/>
        </w:rPr>
        <w:t xml:space="preserve"> do warstwy wiążącej z betonu asfaltowego </w:t>
      </w:r>
    </w:p>
    <w:tbl>
      <w:tblPr>
        <w:tblW w:w="9639" w:type="dxa"/>
        <w:tblInd w:w="6" w:type="dxa"/>
        <w:tblLayout w:type="fixed"/>
        <w:tblCellMar>
          <w:left w:w="0" w:type="dxa"/>
          <w:right w:w="0" w:type="dxa"/>
        </w:tblCellMar>
        <w:tblLook w:val="0000" w:firstRow="0" w:lastRow="0" w:firstColumn="0" w:lastColumn="0" w:noHBand="0" w:noVBand="0"/>
      </w:tblPr>
      <w:tblGrid>
        <w:gridCol w:w="6520"/>
        <w:gridCol w:w="3119"/>
      </w:tblGrid>
      <w:tr w:rsidR="00683496" w:rsidRPr="009040B8" w:rsidTr="00683496">
        <w:trPr>
          <w:trHeight w:val="340"/>
        </w:trPr>
        <w:tc>
          <w:tcPr>
            <w:tcW w:w="6520" w:type="dxa"/>
            <w:vMerge w:val="restart"/>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Właściwości wypełniacza</w:t>
            </w:r>
          </w:p>
        </w:tc>
        <w:tc>
          <w:tcPr>
            <w:tcW w:w="3119"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Wymagania w zależności                          od kategorii ruchu</w:t>
            </w:r>
          </w:p>
        </w:tc>
      </w:tr>
      <w:tr w:rsidR="00683496" w:rsidRPr="009040B8" w:rsidTr="00683496">
        <w:trPr>
          <w:trHeight w:val="340"/>
        </w:trPr>
        <w:tc>
          <w:tcPr>
            <w:tcW w:w="6520" w:type="dxa"/>
            <w:vMerge/>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p>
        </w:tc>
        <w:tc>
          <w:tcPr>
            <w:tcW w:w="3119"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KR 3</w:t>
            </w:r>
            <w:r>
              <w:rPr>
                <w:rFonts w:ascii="Verdana" w:hAnsi="Verdana" w:cs="Arial"/>
              </w:rPr>
              <w:t>÷</w:t>
            </w:r>
            <w:r w:rsidRPr="009040B8">
              <w:rPr>
                <w:rFonts w:ascii="Verdana" w:hAnsi="Verdana" w:cs="Arial"/>
              </w:rPr>
              <w:t>4</w:t>
            </w:r>
          </w:p>
        </w:tc>
      </w:tr>
      <w:tr w:rsidR="00683496" w:rsidRPr="009040B8" w:rsidTr="00683496">
        <w:trPr>
          <w:trHeight w:val="340"/>
        </w:trPr>
        <w:tc>
          <w:tcPr>
            <w:tcW w:w="6520"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Uziarnienie według PN-EN 933-10:</w:t>
            </w:r>
          </w:p>
        </w:tc>
        <w:tc>
          <w:tcPr>
            <w:tcW w:w="3119" w:type="dxa"/>
            <w:tcBorders>
              <w:top w:val="single" w:sz="4" w:space="0" w:color="auto"/>
              <w:left w:val="single" w:sz="4" w:space="0" w:color="auto"/>
              <w:bottom w:val="single" w:sz="4" w:space="0" w:color="auto"/>
              <w:right w:val="single" w:sz="4" w:space="0" w:color="auto"/>
            </w:tcBorders>
            <w:vAlign w:val="center"/>
          </w:tcPr>
          <w:p w:rsidR="00683496" w:rsidRPr="009040B8" w:rsidRDefault="00683496" w:rsidP="00683496">
            <w:pPr>
              <w:widowControl w:val="0"/>
              <w:tabs>
                <w:tab w:val="left" w:pos="2976"/>
              </w:tabs>
              <w:autoSpaceDE w:val="0"/>
              <w:autoSpaceDN w:val="0"/>
              <w:jc w:val="center"/>
              <w:rPr>
                <w:rFonts w:ascii="Verdana" w:hAnsi="Verdana" w:cs="Arial"/>
              </w:rPr>
            </w:pPr>
            <w:r w:rsidRPr="009040B8">
              <w:rPr>
                <w:rFonts w:ascii="Verdana" w:hAnsi="Verdana" w:cs="Arial"/>
              </w:rPr>
              <w:t xml:space="preserve">zgodne z tablicą 24 </w:t>
            </w:r>
            <w:r w:rsidRPr="009040B8">
              <w:rPr>
                <w:rFonts w:ascii="Verdana" w:hAnsi="Verdana" w:cs="Arial"/>
              </w:rPr>
              <w:br/>
              <w:t>w PN-EN 13043</w:t>
            </w:r>
          </w:p>
        </w:tc>
      </w:tr>
      <w:tr w:rsidR="00683496" w:rsidRPr="009040B8" w:rsidTr="00683496">
        <w:trPr>
          <w:trHeight w:val="340"/>
        </w:trPr>
        <w:tc>
          <w:tcPr>
            <w:tcW w:w="6520" w:type="dxa"/>
            <w:tcBorders>
              <w:top w:val="single" w:sz="4"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Jakość pyłów według PN-EN 933-9, kategoria nie wyższa niż:</w:t>
            </w:r>
          </w:p>
        </w:tc>
        <w:tc>
          <w:tcPr>
            <w:tcW w:w="3119" w:type="dxa"/>
            <w:tcBorders>
              <w:top w:val="single" w:sz="4"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i/>
                <w:iCs/>
                <w:spacing w:val="2"/>
              </w:rPr>
            </w:pPr>
            <w:r w:rsidRPr="009040B8">
              <w:rPr>
                <w:rFonts w:ascii="Verdana" w:hAnsi="Verdana" w:cs="Arial"/>
                <w:i/>
                <w:iCs/>
                <w:spacing w:val="2"/>
              </w:rPr>
              <w:t>MB</w:t>
            </w:r>
            <w:r w:rsidRPr="00FC5B0B">
              <w:rPr>
                <w:rFonts w:ascii="Verdana" w:hAnsi="Verdana" w:cs="Arial"/>
                <w:iCs/>
                <w:spacing w:val="2"/>
                <w:vertAlign w:val="subscript"/>
              </w:rPr>
              <w:t>F</w:t>
            </w:r>
            <w:r w:rsidRPr="00FC5B0B">
              <w:rPr>
                <w:rFonts w:ascii="Verdana" w:hAnsi="Verdana" w:cs="Arial"/>
                <w:iCs/>
                <w:spacing w:val="2"/>
              </w:rPr>
              <w:t>10</w:t>
            </w:r>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Zawartość wody według PN-EN 1097-5, nie wyższa niż</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9040B8">
              <w:rPr>
                <w:rFonts w:ascii="Verdana" w:hAnsi="Verdana" w:cs="Arial"/>
              </w:rPr>
              <w:t>1 % (m/m)</w:t>
            </w:r>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Gęstość ziaren według PN-EN 1097-7</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Pr>
                <w:rFonts w:ascii="Verdana" w:hAnsi="Verdana" w:cs="Arial"/>
              </w:rPr>
              <w:t xml:space="preserve">deklarowana prze </w:t>
            </w:r>
            <w:r w:rsidRPr="009040B8">
              <w:rPr>
                <w:rFonts w:ascii="Verdana" w:hAnsi="Verdana" w:cs="Arial"/>
              </w:rPr>
              <w:t>producenta</w:t>
            </w:r>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 xml:space="preserve">Wolne przestrzenie w suchym </w:t>
            </w:r>
            <w:r>
              <w:rPr>
                <w:rFonts w:ascii="Verdana" w:hAnsi="Verdana" w:cs="Arial"/>
              </w:rPr>
              <w:t xml:space="preserve">zagęszczonym wypełniaczu według </w:t>
            </w:r>
            <w:r w:rsidRPr="009040B8">
              <w:rPr>
                <w:rFonts w:ascii="Verdana" w:hAnsi="Verdana" w:cs="Arial"/>
              </w:rPr>
              <w:t>PN-EN 1097-4, 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spacing w:val="4"/>
              </w:rPr>
            </w:pPr>
            <w:r w:rsidRPr="00FC5B0B">
              <w:rPr>
                <w:rFonts w:ascii="Verdana" w:hAnsi="Verdana" w:cs="Arial"/>
                <w:i/>
                <w:spacing w:val="4"/>
              </w:rPr>
              <w:t>V</w:t>
            </w:r>
            <w:r w:rsidRPr="009040B8">
              <w:rPr>
                <w:rFonts w:ascii="Verdana" w:hAnsi="Verdana" w:cs="Arial"/>
                <w:spacing w:val="4"/>
                <w:vertAlign w:val="subscript"/>
              </w:rPr>
              <w:t>28/45</w:t>
            </w:r>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Przyrost temperatury mięknienia według PN-EN 13179-1, 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FC5B0B">
              <w:rPr>
                <w:rFonts w:ascii="Verdana" w:hAnsi="Verdana" w:cs="Arial"/>
                <w:i/>
              </w:rPr>
              <w:t>Δ</w:t>
            </w:r>
            <w:r w:rsidRPr="00FC5B0B">
              <w:rPr>
                <w:rFonts w:ascii="Verdana" w:hAnsi="Verdana" w:cs="Arial"/>
                <w:vertAlign w:val="subscript"/>
              </w:rPr>
              <w:t>R&amp;B</w:t>
            </w:r>
            <w:r w:rsidRPr="009040B8">
              <w:rPr>
                <w:rFonts w:ascii="Verdana" w:hAnsi="Verdana" w:cs="Arial"/>
              </w:rPr>
              <w:t>8/25</w:t>
            </w:r>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 xml:space="preserve">Rozpuszczalność w wodzie według PN-EN 1744-1, </w:t>
            </w:r>
            <w:r>
              <w:rPr>
                <w:rFonts w:ascii="Verdana" w:hAnsi="Verdana" w:cs="Arial"/>
              </w:rPr>
              <w:t xml:space="preserve">                       </w:t>
            </w:r>
            <w:r w:rsidRPr="009040B8">
              <w:rPr>
                <w:rFonts w:ascii="Verdana" w:hAnsi="Verdana" w:cs="Arial"/>
              </w:rPr>
              <w:t>kategoria nie wyższa niż:</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rPr>
            </w:pPr>
            <w:r w:rsidRPr="00FC5B0B">
              <w:rPr>
                <w:rFonts w:ascii="Verdana" w:hAnsi="Verdana" w:cs="Arial"/>
                <w:i/>
              </w:rPr>
              <w:t>WS</w:t>
            </w:r>
            <w:r w:rsidRPr="009040B8">
              <w:rPr>
                <w:rFonts w:ascii="Verdana" w:hAnsi="Verdana" w:cs="Arial"/>
                <w:vertAlign w:val="subscript"/>
              </w:rPr>
              <w:t>10</w:t>
            </w:r>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Zawartość CaCO</w:t>
            </w:r>
            <w:r w:rsidRPr="009040B8">
              <w:rPr>
                <w:rFonts w:ascii="Verdana" w:hAnsi="Verdana" w:cs="Arial"/>
                <w:vertAlign w:val="subscript"/>
              </w:rPr>
              <w:t>3</w:t>
            </w:r>
            <w:r w:rsidRPr="009040B8">
              <w:rPr>
                <w:rFonts w:ascii="Verdana" w:hAnsi="Verdana" w:cs="Arial"/>
              </w:rPr>
              <w:t xml:space="preserve"> w wypełniaczu wapiennym według PN-EN 196-2, kategoria nie niższa niż:</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spacing w:val="4"/>
              </w:rPr>
            </w:pPr>
            <w:r w:rsidRPr="009040B8">
              <w:rPr>
                <w:rFonts w:ascii="Verdana" w:hAnsi="Verdana" w:cs="Arial"/>
                <w:i/>
                <w:iCs/>
                <w:spacing w:val="2"/>
              </w:rPr>
              <w:t>CC</w:t>
            </w:r>
            <w:r w:rsidRPr="009040B8">
              <w:rPr>
                <w:rFonts w:ascii="Verdana" w:hAnsi="Verdana" w:cs="Arial"/>
                <w:iCs/>
                <w:spacing w:val="2"/>
                <w:vertAlign w:val="subscript"/>
              </w:rPr>
              <w:t>70</w:t>
            </w:r>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Zawartość wodorotlenku wapnia w wypełniaczu mieszanym, 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spacing w:val="4"/>
              </w:rPr>
            </w:pPr>
            <w:proofErr w:type="spellStart"/>
            <w:r w:rsidRPr="009040B8">
              <w:rPr>
                <w:rFonts w:ascii="Verdana" w:hAnsi="Verdana" w:cs="Arial"/>
                <w:i/>
                <w:iCs/>
                <w:spacing w:val="2"/>
              </w:rPr>
              <w:t>K</w:t>
            </w:r>
            <w:r w:rsidRPr="00FC5B0B">
              <w:rPr>
                <w:rFonts w:ascii="Verdana" w:hAnsi="Verdana" w:cs="Arial"/>
                <w:spacing w:val="4"/>
              </w:rPr>
              <w:t>a</w:t>
            </w:r>
            <w:r w:rsidRPr="002559E7">
              <w:rPr>
                <w:rFonts w:ascii="Verdana" w:hAnsi="Verdana" w:cs="Arial"/>
                <w:spacing w:val="4"/>
                <w:vertAlign w:val="subscript"/>
              </w:rPr>
              <w:t>Deklarowana</w:t>
            </w:r>
            <w:proofErr w:type="spellEnd"/>
          </w:p>
        </w:tc>
      </w:tr>
      <w:tr w:rsidR="00683496" w:rsidRPr="009040B8" w:rsidTr="00683496">
        <w:trPr>
          <w:trHeight w:val="340"/>
        </w:trPr>
        <w:tc>
          <w:tcPr>
            <w:tcW w:w="6520"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ind w:left="119"/>
              <w:rPr>
                <w:rFonts w:ascii="Verdana" w:hAnsi="Verdana" w:cs="Arial"/>
              </w:rPr>
            </w:pPr>
            <w:r w:rsidRPr="009040B8">
              <w:rPr>
                <w:rFonts w:ascii="Verdana" w:hAnsi="Verdana" w:cs="Arial"/>
              </w:rPr>
              <w:t xml:space="preserve">„Liczba asfaltowa" według PN-EN 13179-2, </w:t>
            </w:r>
            <w:r>
              <w:rPr>
                <w:rFonts w:ascii="Verdana" w:hAnsi="Verdana" w:cs="Arial"/>
              </w:rPr>
              <w:t xml:space="preserve">                              </w:t>
            </w:r>
            <w:r w:rsidRPr="009040B8">
              <w:rPr>
                <w:rFonts w:ascii="Verdana" w:hAnsi="Verdana" w:cs="Arial"/>
              </w:rPr>
              <w:t>wymagana kategoria:</w:t>
            </w:r>
          </w:p>
        </w:tc>
        <w:tc>
          <w:tcPr>
            <w:tcW w:w="3119" w:type="dxa"/>
            <w:tcBorders>
              <w:top w:val="single" w:sz="5" w:space="0" w:color="auto"/>
              <w:left w:val="single" w:sz="5" w:space="0" w:color="auto"/>
              <w:bottom w:val="single" w:sz="5" w:space="0" w:color="auto"/>
              <w:right w:val="single" w:sz="5" w:space="0" w:color="auto"/>
            </w:tcBorders>
            <w:vAlign w:val="center"/>
          </w:tcPr>
          <w:p w:rsidR="00683496" w:rsidRPr="009040B8" w:rsidRDefault="00683496" w:rsidP="00683496">
            <w:pPr>
              <w:widowControl w:val="0"/>
              <w:autoSpaceDE w:val="0"/>
              <w:autoSpaceDN w:val="0"/>
              <w:jc w:val="center"/>
              <w:rPr>
                <w:rFonts w:ascii="Verdana" w:hAnsi="Verdana" w:cs="Arial"/>
                <w:spacing w:val="4"/>
              </w:rPr>
            </w:pPr>
            <w:proofErr w:type="spellStart"/>
            <w:r w:rsidRPr="00FC5B0B">
              <w:rPr>
                <w:rFonts w:ascii="Verdana" w:hAnsi="Verdana" w:cs="Arial"/>
                <w:i/>
                <w:spacing w:val="4"/>
              </w:rPr>
              <w:t>BN</w:t>
            </w:r>
            <w:r w:rsidRPr="009040B8">
              <w:rPr>
                <w:rFonts w:ascii="Verdana" w:hAnsi="Verdana" w:cs="Arial"/>
                <w:spacing w:val="4"/>
                <w:vertAlign w:val="subscript"/>
              </w:rPr>
              <w:t>Deklarowana</w:t>
            </w:r>
            <w:proofErr w:type="spellEnd"/>
          </w:p>
        </w:tc>
      </w:tr>
      <w:tr w:rsidR="00683496" w:rsidRPr="009040B8" w:rsidTr="00683496">
        <w:trPr>
          <w:trHeight w:val="340"/>
        </w:trPr>
        <w:tc>
          <w:tcPr>
            <w:tcW w:w="9639" w:type="dxa"/>
            <w:gridSpan w:val="2"/>
            <w:tcBorders>
              <w:top w:val="single" w:sz="5" w:space="0" w:color="auto"/>
              <w:left w:val="single" w:sz="5" w:space="0" w:color="auto"/>
              <w:bottom w:val="single" w:sz="5" w:space="0" w:color="auto"/>
              <w:right w:val="single" w:sz="5" w:space="0" w:color="auto"/>
            </w:tcBorders>
            <w:vAlign w:val="center"/>
          </w:tcPr>
          <w:p w:rsidR="00683496" w:rsidRPr="00FC5B0B" w:rsidRDefault="00683496" w:rsidP="00683496">
            <w:pPr>
              <w:widowControl w:val="0"/>
              <w:autoSpaceDE w:val="0"/>
              <w:autoSpaceDN w:val="0"/>
              <w:ind w:left="425" w:hanging="284"/>
              <w:rPr>
                <w:rFonts w:ascii="Verdana" w:hAnsi="Verdana" w:cs="Arial"/>
                <w:spacing w:val="4"/>
              </w:rPr>
            </w:pPr>
            <w:r>
              <w:rPr>
                <w:rFonts w:ascii="Verdana" w:hAnsi="Verdana" w:cs="Arial"/>
                <w:spacing w:val="4"/>
                <w:vertAlign w:val="superscript"/>
              </w:rPr>
              <w:t>*)</w:t>
            </w:r>
            <w:r>
              <w:rPr>
                <w:rFonts w:ascii="Verdana" w:hAnsi="Verdana" w:cs="Arial"/>
                <w:spacing w:val="4"/>
              </w:rPr>
              <w:t xml:space="preserve">  Można stosować pyły z odpylania, pod warunkiem spełnienia wymagań jak dla wypełniacza zgodnie z p. 5 PN-EN 13043. Proporcja pyłów i wypełniacza wapiennego powinna być tak dobrana, aby kategoria zawartości CaCO</w:t>
            </w:r>
            <w:r>
              <w:rPr>
                <w:rFonts w:ascii="Verdana" w:hAnsi="Verdana" w:cs="Arial"/>
                <w:spacing w:val="4"/>
                <w:vertAlign w:val="subscript"/>
              </w:rPr>
              <w:t>3</w:t>
            </w:r>
            <w:r>
              <w:rPr>
                <w:rFonts w:ascii="Verdana" w:hAnsi="Verdana" w:cs="Arial"/>
                <w:spacing w:val="4"/>
              </w:rPr>
              <w:t xml:space="preserve"> w mieszance pyłów i wypełniacza wapiennego była nie niższa niż </w:t>
            </w:r>
            <w:r w:rsidRPr="00576CA5">
              <w:rPr>
                <w:rFonts w:ascii="Verdana" w:hAnsi="Verdana" w:cs="Arial"/>
                <w:i/>
                <w:spacing w:val="4"/>
              </w:rPr>
              <w:t>CC</w:t>
            </w:r>
            <w:r>
              <w:rPr>
                <w:rFonts w:ascii="Verdana" w:hAnsi="Verdana" w:cs="Arial"/>
                <w:spacing w:val="4"/>
                <w:vertAlign w:val="subscript"/>
              </w:rPr>
              <w:t>70</w:t>
            </w:r>
            <w:r>
              <w:rPr>
                <w:rFonts w:ascii="Verdana" w:hAnsi="Verdana" w:cs="Arial"/>
                <w:spacing w:val="4"/>
              </w:rPr>
              <w:t xml:space="preserve">. </w:t>
            </w:r>
          </w:p>
        </w:tc>
      </w:tr>
    </w:tbl>
    <w:p w:rsidR="00683496" w:rsidRPr="009040B8" w:rsidRDefault="00683496" w:rsidP="00683496">
      <w:pPr>
        <w:jc w:val="both"/>
        <w:rPr>
          <w:rFonts w:ascii="Verdana" w:hAnsi="Verdana" w:cs="Arial"/>
        </w:rPr>
      </w:pPr>
    </w:p>
    <w:p w:rsidR="00683496" w:rsidRPr="009040B8" w:rsidRDefault="00683496" w:rsidP="00683496">
      <w:pPr>
        <w:jc w:val="both"/>
        <w:rPr>
          <w:rFonts w:ascii="Verdana" w:hAnsi="Verdana" w:cs="Arial"/>
        </w:rPr>
      </w:pPr>
      <w:r w:rsidRPr="009040B8">
        <w:rPr>
          <w:rFonts w:ascii="Verdana" w:hAnsi="Verdana" w:cs="Aria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683496" w:rsidRPr="009040B8" w:rsidRDefault="00683496" w:rsidP="00683496">
      <w:pPr>
        <w:jc w:val="both"/>
        <w:rPr>
          <w:rFonts w:ascii="Verdana" w:hAnsi="Verdana" w:cs="Arial"/>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2.4. Środek adhezyjny</w:t>
      </w:r>
    </w:p>
    <w:p w:rsidR="00683496" w:rsidRPr="009040B8" w:rsidRDefault="00683496" w:rsidP="00683496">
      <w:pPr>
        <w:jc w:val="both"/>
        <w:rPr>
          <w:rFonts w:ascii="Verdana" w:hAnsi="Verdana" w:cs="Arial"/>
        </w:rPr>
      </w:pPr>
      <w:r w:rsidRPr="009040B8">
        <w:rPr>
          <w:rFonts w:ascii="Verdana" w:hAnsi="Verdana" w:cs="Arial"/>
        </w:rPr>
        <w:t xml:space="preserve">W celu poprawy powinowactwa fizykochemicznego lepiszcza asfaltowego i kruszywa, gwarantującego odpowiednią przyczepność (adhezję) lepiszcza do kruszywa i odporność mieszanki mineralno-asfaltowej na działanie wody, należy dobrać i zastosować środek </w:t>
      </w:r>
      <w:r w:rsidRPr="009040B8">
        <w:rPr>
          <w:rFonts w:ascii="Verdana" w:hAnsi="Verdana" w:cs="Arial"/>
        </w:rPr>
        <w:lastRenderedPageBreak/>
        <w:t>adhezyjny, tak aby dla konkretnej pary kruszywo-lepiszcze wartość przyczepności określona według  PN-EN 12697-11 [34], metoda A po 6h obracania wynosiła co najmniej 80%. Badanie przyczepności lepiszcza do kruszywa należy każdorazowo przedstawić dla konkretnie złożone</w:t>
      </w:r>
      <w:r>
        <w:rPr>
          <w:rFonts w:ascii="Verdana" w:hAnsi="Verdana" w:cs="Arial"/>
        </w:rPr>
        <w:t>go badania typu MMA</w:t>
      </w:r>
      <w:r w:rsidRPr="009040B8">
        <w:rPr>
          <w:rFonts w:ascii="Verdana" w:hAnsi="Verdana" w:cs="Arial"/>
        </w:rPr>
        <w:t xml:space="preserve"> </w:t>
      </w:r>
      <w:r>
        <w:rPr>
          <w:rFonts w:ascii="Verdana" w:hAnsi="Verdana" w:cs="Arial"/>
        </w:rPr>
        <w:t>(</w:t>
      </w:r>
      <w:r w:rsidRPr="009040B8">
        <w:rPr>
          <w:rFonts w:ascii="Verdana" w:hAnsi="Verdana" w:cs="Arial"/>
        </w:rPr>
        <w:t>recepty</w:t>
      </w:r>
      <w:r>
        <w:rPr>
          <w:rFonts w:ascii="Verdana" w:hAnsi="Verdana" w:cs="Arial"/>
        </w:rPr>
        <w:t>)</w:t>
      </w:r>
      <w:r w:rsidRPr="009040B8">
        <w:rPr>
          <w:rFonts w:ascii="Verdana" w:hAnsi="Verdana" w:cs="Arial"/>
        </w:rPr>
        <w:t>.</w:t>
      </w:r>
    </w:p>
    <w:p w:rsidR="00683496" w:rsidRPr="009040B8" w:rsidRDefault="00683496" w:rsidP="00683496">
      <w:pPr>
        <w:jc w:val="both"/>
        <w:rPr>
          <w:rFonts w:ascii="Verdana" w:hAnsi="Verdana" w:cs="Arial"/>
        </w:rPr>
      </w:pPr>
      <w:r w:rsidRPr="009040B8">
        <w:rPr>
          <w:rFonts w:ascii="Verdana" w:hAnsi="Verdana" w:cs="Arial"/>
        </w:rPr>
        <w:t>Środek adhezyjny powinien odpowiadać wymaganiom określonym przez producenta.</w:t>
      </w:r>
    </w:p>
    <w:p w:rsidR="00683496" w:rsidRPr="009040B8" w:rsidRDefault="00683496" w:rsidP="00683496">
      <w:pPr>
        <w:jc w:val="both"/>
        <w:rPr>
          <w:rFonts w:ascii="Verdana" w:hAnsi="Verdana" w:cs="Arial"/>
        </w:rPr>
      </w:pPr>
      <w:r w:rsidRPr="009040B8">
        <w:rPr>
          <w:rFonts w:ascii="Verdana" w:hAnsi="Verdana" w:cs="Arial"/>
        </w:rPr>
        <w:t>Składowanie środka adhezyjnego jest dozwolone tylko w oryginalnych opakowaniach, w warunkach określonych przez producenta.</w:t>
      </w:r>
    </w:p>
    <w:p w:rsidR="00683496" w:rsidRPr="009040B8" w:rsidRDefault="00683496" w:rsidP="00683496">
      <w:pPr>
        <w:jc w:val="both"/>
        <w:rPr>
          <w:rFonts w:ascii="Verdana" w:hAnsi="Verdana" w:cs="Arial"/>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2.5. Materiały do uszczelnienia połączeń i krawędzi</w:t>
      </w:r>
    </w:p>
    <w:p w:rsidR="00683496" w:rsidRPr="009040B8" w:rsidRDefault="00683496" w:rsidP="00683496">
      <w:pPr>
        <w:jc w:val="both"/>
        <w:rPr>
          <w:rFonts w:ascii="Verdana" w:hAnsi="Verdana" w:cs="Arial"/>
          <w:color w:val="000000"/>
        </w:rPr>
      </w:pPr>
      <w:r w:rsidRPr="009040B8">
        <w:rPr>
          <w:rFonts w:ascii="Verdana" w:hAnsi="Verdana" w:cs="Arial"/>
        </w:rPr>
        <w:t xml:space="preserve">Do uszczelnienia połączeń technologicznych tj. złączy podłużnych i poprzecznych z tego samego materiału wykonywanego w różnym czasie oraz spoin stanowiących połączenia różnych materiałów lub połączenie warstwy </w:t>
      </w:r>
      <w:r w:rsidRPr="009040B8">
        <w:rPr>
          <w:rFonts w:ascii="Verdana" w:hAnsi="Verdana" w:cs="Arial"/>
          <w:color w:val="000000"/>
        </w:rPr>
        <w:t>nawierzchni z urządzeniami obcymi w nawierzchni lub ją ograniczającymi, należy stosować:</w:t>
      </w:r>
    </w:p>
    <w:p w:rsidR="00683496" w:rsidRPr="009040B8" w:rsidRDefault="00683496"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color w:val="000000"/>
        </w:rPr>
      </w:pPr>
      <w:r w:rsidRPr="009040B8">
        <w:rPr>
          <w:rFonts w:ascii="Verdana" w:hAnsi="Verdana" w:cs="Arial"/>
          <w:color w:val="000000"/>
        </w:rPr>
        <w:t xml:space="preserve">połączenia technologiczne poprzeczne poprzez zastosowanie taśm kauczukowo-asfaltowych, </w:t>
      </w:r>
      <w:r w:rsidRPr="009040B8">
        <w:rPr>
          <w:rFonts w:ascii="Verdana" w:hAnsi="Verdana" w:cs="Arial"/>
          <w:color w:val="000000"/>
        </w:rPr>
        <w:br/>
        <w:t>o następujących parametrach:</w:t>
      </w:r>
    </w:p>
    <w:p w:rsidR="00683496" w:rsidRPr="009040B8" w:rsidRDefault="00683496" w:rsidP="00683496">
      <w:pPr>
        <w:tabs>
          <w:tab w:val="left" w:pos="284"/>
        </w:tabs>
        <w:overflowPunct w:val="0"/>
        <w:autoSpaceDE w:val="0"/>
        <w:autoSpaceDN w:val="0"/>
        <w:adjustRightInd w:val="0"/>
        <w:ind w:left="284"/>
        <w:jc w:val="both"/>
        <w:textAlignment w:val="baseline"/>
        <w:rPr>
          <w:rFonts w:ascii="Verdana" w:hAnsi="Verdana" w:cs="Arial"/>
        </w:rPr>
      </w:pPr>
      <w:r w:rsidRPr="009040B8">
        <w:rPr>
          <w:rFonts w:ascii="Verdana" w:hAnsi="Verdana" w:cs="Arial"/>
        </w:rPr>
        <w:t xml:space="preserve">- samoprzylepne w postaci wstęgi uformowanej z asfaltu modyfikowanego polimerami, </w:t>
      </w:r>
    </w:p>
    <w:p w:rsidR="00683496" w:rsidRPr="009040B8" w:rsidRDefault="00683496" w:rsidP="00683496">
      <w:pPr>
        <w:tabs>
          <w:tab w:val="left" w:pos="567"/>
        </w:tabs>
        <w:overflowPunct w:val="0"/>
        <w:autoSpaceDE w:val="0"/>
        <w:autoSpaceDN w:val="0"/>
        <w:adjustRightInd w:val="0"/>
        <w:ind w:left="567" w:hanging="283"/>
        <w:jc w:val="both"/>
        <w:textAlignment w:val="baseline"/>
        <w:rPr>
          <w:rFonts w:ascii="Verdana" w:hAnsi="Verdana" w:cs="Arial"/>
        </w:rPr>
      </w:pPr>
      <w:r>
        <w:rPr>
          <w:rFonts w:ascii="Verdana" w:hAnsi="Verdana" w:cs="Arial"/>
        </w:rPr>
        <w:t xml:space="preserve">- </w:t>
      </w:r>
      <w:r w:rsidRPr="009040B8">
        <w:rPr>
          <w:rFonts w:ascii="Verdana" w:hAnsi="Verdana" w:cs="Arial"/>
        </w:rPr>
        <w:t>o przekroju prostokątnym i szerokości od 20 do 70 mm dostosowane</w:t>
      </w:r>
      <w:r>
        <w:rPr>
          <w:rFonts w:ascii="Verdana" w:hAnsi="Verdana" w:cs="Arial"/>
        </w:rPr>
        <w:t>j</w:t>
      </w:r>
      <w:r w:rsidRPr="009040B8">
        <w:rPr>
          <w:rFonts w:ascii="Verdana" w:hAnsi="Verdana" w:cs="Arial"/>
        </w:rPr>
        <w:t xml:space="preserve"> do grubości układanej warstwy,                      </w:t>
      </w:r>
    </w:p>
    <w:p w:rsidR="00683496" w:rsidRPr="009040B8" w:rsidRDefault="00683496" w:rsidP="00683496">
      <w:pPr>
        <w:tabs>
          <w:tab w:val="left" w:pos="284"/>
        </w:tabs>
        <w:overflowPunct w:val="0"/>
        <w:autoSpaceDE w:val="0"/>
        <w:autoSpaceDN w:val="0"/>
        <w:adjustRightInd w:val="0"/>
        <w:ind w:left="284"/>
        <w:jc w:val="both"/>
        <w:textAlignment w:val="baseline"/>
        <w:rPr>
          <w:rFonts w:ascii="Verdana" w:hAnsi="Verdana" w:cs="Arial"/>
        </w:rPr>
      </w:pPr>
      <w:r w:rsidRPr="009040B8">
        <w:rPr>
          <w:rFonts w:ascii="Verdana" w:hAnsi="Verdana" w:cs="Arial"/>
        </w:rPr>
        <w:t xml:space="preserve">- grubości minimum 8 mm, </w:t>
      </w:r>
    </w:p>
    <w:p w:rsidR="00683496" w:rsidRPr="009040B8" w:rsidRDefault="00683496" w:rsidP="00683496">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xml:space="preserve">- zwinięte na rdzeń tekturowy z papierem dwustronnie </w:t>
      </w:r>
      <w:proofErr w:type="spellStart"/>
      <w:r w:rsidRPr="009040B8">
        <w:rPr>
          <w:rFonts w:ascii="Verdana" w:hAnsi="Verdana" w:cs="Arial"/>
        </w:rPr>
        <w:t>silikonowanym</w:t>
      </w:r>
      <w:proofErr w:type="spellEnd"/>
      <w:r w:rsidRPr="009040B8">
        <w:rPr>
          <w:rFonts w:ascii="Verdana" w:hAnsi="Verdana" w:cs="Arial"/>
        </w:rPr>
        <w:t>,</w:t>
      </w:r>
    </w:p>
    <w:p w:rsidR="00683496" w:rsidRPr="009040B8" w:rsidRDefault="00683496" w:rsidP="00683496">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dobra przyczepność do pionowo przeciętej powierzchni warstwy,</w:t>
      </w:r>
    </w:p>
    <w:p w:rsidR="00683496" w:rsidRPr="009040B8" w:rsidRDefault="00683496" w:rsidP="00683496">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penetracja stożkiem w temp. +25</w:t>
      </w:r>
      <w:r w:rsidRPr="009040B8">
        <w:rPr>
          <w:rFonts w:ascii="Verdana" w:hAnsi="Verdana" w:cs="Arial"/>
          <w:vertAlign w:val="superscript"/>
        </w:rPr>
        <w:t>o</w:t>
      </w:r>
      <w:r w:rsidRPr="009040B8">
        <w:rPr>
          <w:rFonts w:ascii="Verdana" w:hAnsi="Verdana" w:cs="Arial"/>
        </w:rPr>
        <w:t>C od 20 do 60 [0,1mm],</w:t>
      </w:r>
    </w:p>
    <w:p w:rsidR="00683496" w:rsidRPr="009040B8" w:rsidRDefault="00683496" w:rsidP="00683496">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xml:space="preserve">- temperatura mięknienia wg </w:t>
      </w:r>
      <w:proofErr w:type="spellStart"/>
      <w:r w:rsidRPr="009040B8">
        <w:rPr>
          <w:rFonts w:ascii="Verdana" w:hAnsi="Verdana" w:cs="Arial"/>
        </w:rPr>
        <w:t>PiK</w:t>
      </w:r>
      <w:proofErr w:type="spellEnd"/>
      <w:r w:rsidRPr="009040B8">
        <w:rPr>
          <w:rFonts w:ascii="Verdana" w:hAnsi="Verdana" w:cs="Arial"/>
        </w:rPr>
        <w:t xml:space="preserve">  ≥ 90</w:t>
      </w:r>
      <w:r w:rsidRPr="009040B8">
        <w:rPr>
          <w:rFonts w:ascii="Verdana" w:hAnsi="Verdana" w:cs="Arial"/>
          <w:vertAlign w:val="superscript"/>
        </w:rPr>
        <w:t>o</w:t>
      </w:r>
      <w:r w:rsidRPr="009040B8">
        <w:rPr>
          <w:rFonts w:ascii="Verdana" w:hAnsi="Verdana" w:cs="Arial"/>
        </w:rPr>
        <w:t>C,</w:t>
      </w:r>
    </w:p>
    <w:p w:rsidR="00683496" w:rsidRPr="009040B8" w:rsidRDefault="00683496" w:rsidP="00683496">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xml:space="preserve">- zdolność powrotu do stanu pierwotnego  ≥ </w:t>
      </w:r>
      <w:r>
        <w:rPr>
          <w:rFonts w:ascii="Verdana" w:hAnsi="Verdana" w:cs="Arial"/>
        </w:rPr>
        <w:t>5</w:t>
      </w:r>
      <w:r w:rsidRPr="009040B8">
        <w:rPr>
          <w:rFonts w:ascii="Verdana" w:hAnsi="Verdana" w:cs="Arial"/>
        </w:rPr>
        <w:t>0%,</w:t>
      </w:r>
    </w:p>
    <w:p w:rsidR="00683496" w:rsidRPr="009040B8" w:rsidRDefault="00683496" w:rsidP="00683496">
      <w:pPr>
        <w:tabs>
          <w:tab w:val="left" w:pos="284"/>
        </w:tabs>
        <w:overflowPunct w:val="0"/>
        <w:autoSpaceDE w:val="0"/>
        <w:autoSpaceDN w:val="0"/>
        <w:adjustRightInd w:val="0"/>
        <w:ind w:firstLine="284"/>
        <w:jc w:val="both"/>
        <w:textAlignment w:val="baseline"/>
        <w:rPr>
          <w:rFonts w:ascii="Verdana" w:hAnsi="Verdana" w:cs="Arial"/>
        </w:rPr>
      </w:pPr>
      <w:r w:rsidRPr="009040B8">
        <w:rPr>
          <w:rFonts w:ascii="Verdana" w:hAnsi="Verdana" w:cs="Arial"/>
        </w:rPr>
        <w:t>- wydłużenie taśmy w szczelinie w temp. -10</w:t>
      </w:r>
      <w:r w:rsidRPr="009040B8">
        <w:rPr>
          <w:rFonts w:ascii="Verdana" w:hAnsi="Verdana" w:cs="Arial"/>
          <w:vertAlign w:val="superscript"/>
        </w:rPr>
        <w:t>o</w:t>
      </w:r>
      <w:r w:rsidRPr="009040B8">
        <w:rPr>
          <w:rFonts w:ascii="Verdana" w:hAnsi="Verdana" w:cs="Arial"/>
        </w:rPr>
        <w:t>C  ≥ 10%,</w:t>
      </w:r>
    </w:p>
    <w:p w:rsidR="00683496" w:rsidRPr="009040B8" w:rsidRDefault="00683496" w:rsidP="00683496">
      <w:pPr>
        <w:ind w:left="284"/>
        <w:jc w:val="both"/>
        <w:rPr>
          <w:rFonts w:ascii="Verdana" w:hAnsi="Verdana" w:cs="Arial"/>
        </w:rPr>
      </w:pPr>
      <w:r w:rsidRPr="009040B8">
        <w:rPr>
          <w:rFonts w:ascii="Verdana" w:hAnsi="Verdana" w:cs="Arial"/>
        </w:rPr>
        <w:t>Składowanie taśm kauczukowo-asfaltowych dozwolone jest tylko w oryginalnych opakowaniach producenta, w warunkach określonych w aprobacie technicznej.</w:t>
      </w:r>
    </w:p>
    <w:p w:rsidR="00683496" w:rsidRPr="009040B8" w:rsidRDefault="00683496"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color w:val="000000"/>
        </w:rPr>
      </w:pPr>
      <w:r w:rsidRPr="009040B8">
        <w:rPr>
          <w:rFonts w:ascii="Verdana" w:hAnsi="Verdana" w:cs="Arial"/>
          <w:color w:val="000000"/>
        </w:rPr>
        <w:t xml:space="preserve">pozostałe połączenia technologiczne należy uszczelniać asfaltem </w:t>
      </w:r>
      <w:r>
        <w:rPr>
          <w:rFonts w:ascii="Verdana" w:hAnsi="Verdana" w:cs="Arial"/>
          <w:color w:val="000000"/>
        </w:rPr>
        <w:t xml:space="preserve">drogowym </w:t>
      </w:r>
      <w:r>
        <w:rPr>
          <w:rFonts w:ascii="Verdana" w:hAnsi="Verdana" w:cs="Arial"/>
          <w:color w:val="000000"/>
        </w:rPr>
        <w:br/>
      </w:r>
      <w:r w:rsidRPr="009040B8">
        <w:rPr>
          <w:rFonts w:ascii="Verdana" w:hAnsi="Verdana" w:cs="Arial"/>
          <w:color w:val="000000"/>
        </w:rPr>
        <w:t>lub taśmami kauczukowo-asfaltowymi,</w:t>
      </w:r>
    </w:p>
    <w:p w:rsidR="00683496" w:rsidRPr="009040B8" w:rsidRDefault="00683496" w:rsidP="00683496">
      <w:pPr>
        <w:jc w:val="both"/>
        <w:rPr>
          <w:rFonts w:ascii="Verdana" w:hAnsi="Verdana" w:cs="Arial"/>
          <w:color w:val="000000"/>
        </w:rPr>
      </w:pPr>
      <w:r w:rsidRPr="009040B8">
        <w:rPr>
          <w:rFonts w:ascii="Verdana" w:hAnsi="Verdana" w:cs="Arial"/>
          <w:color w:val="000000"/>
        </w:rPr>
        <w:t xml:space="preserve">Do uszczelnienia krawędzi zewnętrznych warstwy należy stosować asfalt </w:t>
      </w:r>
      <w:r>
        <w:rPr>
          <w:rFonts w:ascii="Verdana" w:hAnsi="Verdana" w:cs="Arial"/>
          <w:color w:val="000000"/>
        </w:rPr>
        <w:t>drogowy</w:t>
      </w:r>
      <w:r w:rsidRPr="009040B8">
        <w:rPr>
          <w:rFonts w:ascii="Verdana" w:hAnsi="Verdana" w:cs="Arial"/>
          <w:color w:val="000000"/>
        </w:rPr>
        <w:t>.</w:t>
      </w:r>
    </w:p>
    <w:p w:rsidR="00683496" w:rsidRPr="009040B8" w:rsidRDefault="00683496" w:rsidP="00683496">
      <w:pPr>
        <w:ind w:firstLine="709"/>
        <w:jc w:val="both"/>
        <w:rPr>
          <w:rFonts w:ascii="Verdana" w:hAnsi="Verdana" w:cs="Arial"/>
          <w:color w:val="000000"/>
        </w:rPr>
      </w:pPr>
    </w:p>
    <w:p w:rsidR="00683496" w:rsidRPr="009040B8" w:rsidRDefault="00683496" w:rsidP="00683496">
      <w:pPr>
        <w:jc w:val="both"/>
        <w:rPr>
          <w:rFonts w:ascii="Verdana" w:hAnsi="Verdana" w:cs="Arial"/>
        </w:rPr>
      </w:pPr>
      <w:r w:rsidRPr="009040B8">
        <w:rPr>
          <w:rFonts w:ascii="Verdana" w:hAnsi="Verdana" w:cs="Arial"/>
          <w:b/>
        </w:rPr>
        <w:t>2.6. Materiały do złączenia warstw konstrukcji</w:t>
      </w:r>
    </w:p>
    <w:p w:rsidR="00683496" w:rsidRDefault="00683496" w:rsidP="00683496">
      <w:pPr>
        <w:jc w:val="both"/>
        <w:rPr>
          <w:rFonts w:ascii="Verdana" w:hAnsi="Verdana" w:cs="Arial"/>
        </w:rPr>
      </w:pPr>
      <w:r w:rsidRPr="00576CA5">
        <w:rPr>
          <w:rFonts w:ascii="Verdana" w:hAnsi="Verdana" w:cs="Arial"/>
        </w:rPr>
        <w:t>Do złączania warstw konstrukcji nawierzchni (warstwa wiążąca i/lub wyrównawcza ze starą warstwą nawierzchni) należy stosować  kationowe emulsje asfaltowe</w:t>
      </w:r>
      <w:r>
        <w:rPr>
          <w:rFonts w:ascii="Verdana" w:hAnsi="Verdana" w:cs="Arial"/>
        </w:rPr>
        <w:t>:</w:t>
      </w:r>
    </w:p>
    <w:p w:rsidR="00683496" w:rsidRPr="00576CA5" w:rsidRDefault="00683496" w:rsidP="00683496">
      <w:pPr>
        <w:ind w:left="284" w:hanging="284"/>
        <w:jc w:val="both"/>
        <w:rPr>
          <w:rFonts w:ascii="Verdana" w:hAnsi="Verdana" w:cs="Arial"/>
          <w:spacing w:val="-4"/>
        </w:rPr>
      </w:pPr>
      <w:r>
        <w:rPr>
          <w:rFonts w:ascii="Verdana" w:hAnsi="Verdana" w:cs="Arial"/>
        </w:rPr>
        <w:t xml:space="preserve">-  do skropienia warstw asfaltowych, na których będzie układana mieszanka mineralno-asfaltowa z asfaltem modyfikowanym, należy stosować </w:t>
      </w:r>
      <w:r w:rsidRPr="00576CA5">
        <w:rPr>
          <w:rFonts w:ascii="Verdana" w:hAnsi="Verdana" w:cs="Arial"/>
        </w:rPr>
        <w:t>kationowe emulsje modyfikowane polimerami C 60 BP3 ZM, spełniające wymagania PN-EN 13808 [58] wraz z Załącznikiem krajowym NA, Wymagania dotyczące krajowych emulsji asfaltowych</w:t>
      </w:r>
      <w:r>
        <w:rPr>
          <w:rFonts w:ascii="Verdana" w:hAnsi="Verdana" w:cs="Arial"/>
        </w:rPr>
        <w:t>,</w:t>
      </w:r>
    </w:p>
    <w:p w:rsidR="00683496" w:rsidRPr="00576CA5" w:rsidRDefault="00683496" w:rsidP="00683496">
      <w:pPr>
        <w:ind w:left="284" w:hanging="284"/>
        <w:jc w:val="both"/>
        <w:rPr>
          <w:rFonts w:ascii="Verdana" w:hAnsi="Verdana" w:cs="Arial"/>
          <w:spacing w:val="-4"/>
        </w:rPr>
      </w:pPr>
      <w:r>
        <w:rPr>
          <w:rFonts w:ascii="Verdana" w:hAnsi="Verdana" w:cs="Arial"/>
        </w:rPr>
        <w:t xml:space="preserve">-  do skropienia warstw asfaltowych, na których będzie układana mieszanka mineralno-asfaltowa z asfaltem zwykłym, należy stosować </w:t>
      </w:r>
      <w:r w:rsidRPr="00576CA5">
        <w:rPr>
          <w:rFonts w:ascii="Verdana" w:hAnsi="Verdana" w:cs="Arial"/>
        </w:rPr>
        <w:t xml:space="preserve">kationowe emulsje C 60 B3 ZM lub kationowe emulsje modyfikowane polimerami C 60 BP3 ZM, spełniające wymagania PN-EN 13808 [58] wraz z Załącznikiem krajowym NA, Wymagania dotyczące krajowych emulsji asfaltowych. </w:t>
      </w:r>
    </w:p>
    <w:p w:rsidR="00683496" w:rsidRPr="003A3CAD" w:rsidRDefault="00683496" w:rsidP="00683496">
      <w:pPr>
        <w:jc w:val="both"/>
        <w:rPr>
          <w:rFonts w:ascii="Verdana" w:hAnsi="Verdana" w:cs="Arial"/>
        </w:rPr>
      </w:pPr>
      <w:r w:rsidRPr="009040B8">
        <w:rPr>
          <w:rFonts w:ascii="Verdana" w:hAnsi="Verdana" w:cs="Arial"/>
        </w:rPr>
        <w:t xml:space="preserve">Emulsję asfaltową można składować w opakowaniach transportowych lub w stacjonarnych zbiornikach pionowych z nalewaniem od dna. Nie należy nalewać emulsji do opakowań i zbiorników zanieczyszczonych materiałami mineralnymi. </w:t>
      </w:r>
    </w:p>
    <w:p w:rsidR="00683496" w:rsidRDefault="00683496" w:rsidP="00683496">
      <w:pPr>
        <w:jc w:val="both"/>
        <w:rPr>
          <w:rFonts w:ascii="Verdana" w:hAnsi="Verdana" w:cs="Arial"/>
          <w:b/>
        </w:rPr>
      </w:pPr>
    </w:p>
    <w:p w:rsidR="00683496" w:rsidRDefault="00683496" w:rsidP="00683496">
      <w:pPr>
        <w:jc w:val="both"/>
        <w:rPr>
          <w:rFonts w:ascii="Verdana" w:hAnsi="Verdana" w:cs="Arial"/>
          <w:b/>
        </w:rPr>
      </w:pPr>
      <w:r w:rsidRPr="006E5B5C">
        <w:rPr>
          <w:rFonts w:ascii="Verdana" w:hAnsi="Verdana" w:cs="Arial"/>
          <w:b/>
        </w:rPr>
        <w:t>2.</w:t>
      </w:r>
      <w:r>
        <w:rPr>
          <w:rFonts w:ascii="Verdana" w:hAnsi="Verdana" w:cs="Arial"/>
          <w:b/>
        </w:rPr>
        <w:t>7</w:t>
      </w:r>
      <w:r w:rsidRPr="006E5B5C">
        <w:rPr>
          <w:rFonts w:ascii="Verdana" w:hAnsi="Verdana" w:cs="Arial"/>
          <w:b/>
        </w:rPr>
        <w:t>. Ochrona wykonanego skropienia</w:t>
      </w:r>
    </w:p>
    <w:p w:rsidR="00683496" w:rsidRDefault="00683496" w:rsidP="00683496">
      <w:pPr>
        <w:jc w:val="both"/>
        <w:rPr>
          <w:rFonts w:ascii="Verdana" w:hAnsi="Verdana" w:cs="Arial"/>
        </w:rPr>
      </w:pPr>
      <w:r>
        <w:rPr>
          <w:rFonts w:ascii="Verdana" w:hAnsi="Verdana" w:cs="Arial"/>
        </w:rPr>
        <w:t>Wykonanie warstwy ochronnej emulsji przez dodatkowe skropienie z użyciem mleczka wapiennego zaleca się stosować dla dróg o kategorii ruchu KR 4÷7. Skropienie mleczkiem wapiennym wykonuje się dopiero wtedy, gdy nastąpi rozpad emulsji i odparuje woda.</w:t>
      </w:r>
    </w:p>
    <w:p w:rsidR="00683496" w:rsidRDefault="00683496" w:rsidP="00683496">
      <w:pPr>
        <w:jc w:val="both"/>
        <w:rPr>
          <w:rFonts w:ascii="Verdana" w:hAnsi="Verdana" w:cs="Arial"/>
        </w:rPr>
      </w:pPr>
      <w:r>
        <w:rPr>
          <w:rFonts w:ascii="Verdana" w:hAnsi="Verdana" w:cs="Arial"/>
        </w:rPr>
        <w:t>Stężenie roztworu roboczego mleczka wapiennego należy przygotować tak, by w 100 g próbki zawartość wodorotlenku wapnia wyrażona w gramach, a otrzymana przez wysuszenie próbki w suszarce w temp. 110±5</w:t>
      </w:r>
      <w:r>
        <w:rPr>
          <w:rFonts w:ascii="Verdana" w:hAnsi="Verdana" w:cs="Arial"/>
          <w:vertAlign w:val="superscript"/>
        </w:rPr>
        <w:t>o</w:t>
      </w:r>
      <w:r>
        <w:rPr>
          <w:rFonts w:ascii="Verdana" w:hAnsi="Verdana" w:cs="Arial"/>
        </w:rPr>
        <w:t xml:space="preserve">C do stałej masy (jednak nie dłużej </w:t>
      </w:r>
      <w:r>
        <w:rPr>
          <w:rFonts w:ascii="Verdana" w:hAnsi="Verdana" w:cs="Arial"/>
        </w:rPr>
        <w:br/>
        <w:t>niż 5 godz.) była:</w:t>
      </w:r>
    </w:p>
    <w:p w:rsidR="00683496" w:rsidRDefault="00683496" w:rsidP="002122BD">
      <w:pPr>
        <w:numPr>
          <w:ilvl w:val="0"/>
          <w:numId w:val="44"/>
        </w:numPr>
        <w:jc w:val="both"/>
        <w:rPr>
          <w:rFonts w:ascii="Verdana" w:hAnsi="Verdana" w:cs="Arial"/>
        </w:rPr>
      </w:pPr>
      <w:r>
        <w:rPr>
          <w:rFonts w:ascii="Verdana" w:hAnsi="Verdana" w:cs="Arial"/>
        </w:rPr>
        <w:t>nie mniejsza niż 9,0% i nie większa niż 16,0% - do skropienia warstw mineralno-asfaltowych.</w:t>
      </w:r>
    </w:p>
    <w:p w:rsidR="00683496" w:rsidRDefault="00683496" w:rsidP="00683496">
      <w:pPr>
        <w:jc w:val="both"/>
        <w:rPr>
          <w:rFonts w:ascii="Verdana" w:hAnsi="Verdana" w:cs="Arial"/>
        </w:rPr>
      </w:pPr>
      <w:r>
        <w:rPr>
          <w:rFonts w:ascii="Verdana" w:hAnsi="Verdana" w:cs="Arial"/>
        </w:rPr>
        <w:lastRenderedPageBreak/>
        <w:t xml:space="preserve">Dozowana na nawierzchnię dawka roztworu mleczka wapiennego powinna zawierać się </w:t>
      </w:r>
      <w:r>
        <w:rPr>
          <w:rFonts w:ascii="Verdana" w:hAnsi="Verdana" w:cs="Arial"/>
        </w:rPr>
        <w:br/>
        <w:t>w przedziale 250 g/m</w:t>
      </w:r>
      <w:r>
        <w:rPr>
          <w:rFonts w:ascii="Verdana" w:hAnsi="Verdana" w:cs="Arial"/>
          <w:vertAlign w:val="superscript"/>
        </w:rPr>
        <w:t>2</w:t>
      </w:r>
      <w:r>
        <w:rPr>
          <w:rFonts w:ascii="Verdana" w:hAnsi="Verdana" w:cs="Arial"/>
        </w:rPr>
        <w:t xml:space="preserve"> ±20 g.</w:t>
      </w:r>
    </w:p>
    <w:p w:rsidR="00683496" w:rsidRDefault="00683496" w:rsidP="00683496">
      <w:pPr>
        <w:jc w:val="both"/>
        <w:rPr>
          <w:rFonts w:ascii="Verdana" w:hAnsi="Verdana" w:cs="Arial"/>
        </w:rPr>
      </w:pPr>
      <w:r>
        <w:rPr>
          <w:rFonts w:ascii="Verdana" w:hAnsi="Verdana" w:cs="Arial"/>
        </w:rPr>
        <w:t>Dalsze prace budowlane na zabezpieczonej nawierzchni można prowadzić po odparowaniu wody z zaaplikowanego roztworu mleczka wapiennego – ocena wizualna (powstanie suchego filmu wodorotlenku wapnia na powierzchni).</w:t>
      </w:r>
    </w:p>
    <w:p w:rsidR="00683496" w:rsidRDefault="00683496" w:rsidP="00683496">
      <w:pPr>
        <w:jc w:val="both"/>
        <w:rPr>
          <w:rFonts w:ascii="Verdana" w:hAnsi="Verdana" w:cs="Arial"/>
        </w:rPr>
      </w:pPr>
      <w:r>
        <w:rPr>
          <w:rFonts w:ascii="Verdana" w:hAnsi="Verdana" w:cs="Arial"/>
        </w:rPr>
        <w:t xml:space="preserve">Ze względu na osiadanie wodorotlenku wapnia na dnie zbiornika skrapiarki lub opryskiwacza, urządzenia te powinny być wyposażone w system obiegu zamkniętego lub mieszadło obrotowe. Jeśli producent mieszaniny gwarantuje jednorodność </w:t>
      </w:r>
      <w:r>
        <w:rPr>
          <w:rFonts w:ascii="Verdana" w:hAnsi="Verdana" w:cs="Arial"/>
        </w:rPr>
        <w:br/>
        <w:t>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w:t>
      </w:r>
      <w:r>
        <w:rPr>
          <w:rFonts w:ascii="Verdana" w:hAnsi="Verdana" w:cs="Arial"/>
          <w:vertAlign w:val="superscript"/>
        </w:rPr>
        <w:t>o</w:t>
      </w:r>
      <w:r>
        <w:rPr>
          <w:rFonts w:ascii="Verdana" w:hAnsi="Verdana" w:cs="Arial"/>
        </w:rPr>
        <w:t xml:space="preserve">C. </w:t>
      </w:r>
    </w:p>
    <w:p w:rsidR="00683496" w:rsidRDefault="00683496" w:rsidP="00683496">
      <w:pPr>
        <w:keepNext/>
        <w:widowControl w:val="0"/>
        <w:numPr>
          <w:ilvl w:val="12"/>
          <w:numId w:val="0"/>
        </w:numPr>
        <w:jc w:val="both"/>
        <w:outlineLvl w:val="0"/>
        <w:rPr>
          <w:rFonts w:ascii="Verdana" w:hAnsi="Verdana" w:cs="Arial"/>
          <w:b/>
          <w:snapToGrid w:val="0"/>
        </w:rPr>
      </w:pPr>
    </w:p>
    <w:p w:rsidR="00683496" w:rsidRPr="009040B8" w:rsidRDefault="00683496" w:rsidP="00683496">
      <w:pPr>
        <w:keepNext/>
        <w:widowControl w:val="0"/>
        <w:numPr>
          <w:ilvl w:val="12"/>
          <w:numId w:val="0"/>
        </w:numPr>
        <w:jc w:val="both"/>
        <w:outlineLvl w:val="0"/>
        <w:rPr>
          <w:rFonts w:ascii="Verdana" w:hAnsi="Verdana" w:cs="Arial"/>
          <w:b/>
          <w:snapToGrid w:val="0"/>
        </w:rPr>
      </w:pPr>
      <w:r w:rsidRPr="009040B8">
        <w:rPr>
          <w:rFonts w:ascii="Verdana" w:hAnsi="Verdana" w:cs="Arial"/>
          <w:b/>
          <w:snapToGrid w:val="0"/>
        </w:rPr>
        <w:t>3. Sprzęt</w:t>
      </w: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3.1. Ogólne wymagania dotyczące sprzętu</w:t>
      </w:r>
    </w:p>
    <w:p w:rsidR="00683496" w:rsidRPr="009040B8" w:rsidRDefault="00683496" w:rsidP="00683496">
      <w:pPr>
        <w:numPr>
          <w:ilvl w:val="12"/>
          <w:numId w:val="0"/>
        </w:numPr>
        <w:jc w:val="both"/>
        <w:rPr>
          <w:rFonts w:ascii="Verdana" w:hAnsi="Verdana" w:cs="Arial"/>
        </w:rPr>
      </w:pPr>
      <w:r w:rsidRPr="009040B8">
        <w:rPr>
          <w:rFonts w:ascii="Verdana" w:hAnsi="Verdana" w:cs="Arial"/>
        </w:rPr>
        <w:t>Ogólne wymagania dotyczące sprzętu podano w SST  D-M-00.00.00 „Wymagania ogólne” [1] pkt 3.</w:t>
      </w:r>
    </w:p>
    <w:p w:rsidR="00683496" w:rsidRDefault="00683496" w:rsidP="00683496">
      <w:pPr>
        <w:keepNext/>
        <w:jc w:val="both"/>
        <w:outlineLvl w:val="1"/>
        <w:rPr>
          <w:rFonts w:ascii="Verdana" w:hAnsi="Verdana" w:cs="Arial"/>
          <w:b/>
          <w:bCs/>
          <w:iCs/>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3.2. Sprzęt stosowany do wykonania robót</w:t>
      </w:r>
    </w:p>
    <w:p w:rsidR="00683496" w:rsidRPr="009040B8" w:rsidRDefault="00683496" w:rsidP="00683496">
      <w:pPr>
        <w:jc w:val="both"/>
        <w:rPr>
          <w:rFonts w:ascii="Verdana" w:hAnsi="Verdana" w:cs="Arial"/>
        </w:rPr>
      </w:pPr>
      <w:r w:rsidRPr="009040B8">
        <w:rPr>
          <w:rFonts w:ascii="Verdana" w:hAnsi="Verdana" w:cs="Arial"/>
        </w:rPr>
        <w:t>Przy wykonywaniu robót Wykonawca w zależności od potrzeb, powinien wykazać się możliwością korzystania ze sprzętu dostosowanego do przyjętej metody robót, jak:</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 xml:space="preserve">wytwórnia (otaczarka) o mieszaniu cyklicznym lub ciągłym, z automatycznym komputerowym sterowaniem produkcji, do wytwarzania mieszanek mineralno-asfaltowych, na wytwórni powinien funkcjonować certyfikowany system Zakładowej Kontroli Produkcji zgodny z normą PN-EN 13108-21 [63.1], </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układarka gąsienicowa, z elektronicznym sterowaniem równości układanej warstwy,</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skrapiarka,</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 xml:space="preserve">walce stalowe gładkie, </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walce ogumione</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szczotki mechaniczne i/lub inne urządzenia czyszczące,</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samochody samowyładowcze z przykryciem brezentowym lub termosami,</w:t>
      </w:r>
    </w:p>
    <w:p w:rsidR="00683496" w:rsidRPr="009040B8" w:rsidRDefault="00683496" w:rsidP="002122BD">
      <w:pPr>
        <w:numPr>
          <w:ilvl w:val="0"/>
          <w:numId w:val="36"/>
        </w:numPr>
        <w:overflowPunct w:val="0"/>
        <w:autoSpaceDE w:val="0"/>
        <w:autoSpaceDN w:val="0"/>
        <w:adjustRightInd w:val="0"/>
        <w:jc w:val="both"/>
        <w:textAlignment w:val="baseline"/>
        <w:rPr>
          <w:rFonts w:ascii="Verdana" w:hAnsi="Verdana" w:cs="Arial"/>
        </w:rPr>
      </w:pPr>
      <w:r w:rsidRPr="009040B8">
        <w:rPr>
          <w:rFonts w:ascii="Verdana" w:hAnsi="Verdana" w:cs="Arial"/>
        </w:rPr>
        <w:t>sprzęt drobny.</w:t>
      </w:r>
    </w:p>
    <w:p w:rsidR="00683496" w:rsidRPr="009040B8" w:rsidRDefault="00683496" w:rsidP="00683496">
      <w:pPr>
        <w:overflowPunct w:val="0"/>
        <w:autoSpaceDE w:val="0"/>
        <w:autoSpaceDN w:val="0"/>
        <w:adjustRightInd w:val="0"/>
        <w:ind w:left="397"/>
        <w:jc w:val="both"/>
        <w:textAlignment w:val="baseline"/>
        <w:rPr>
          <w:rFonts w:ascii="Verdana" w:hAnsi="Verdana" w:cs="Arial"/>
        </w:rPr>
      </w:pPr>
    </w:p>
    <w:p w:rsidR="00683496" w:rsidRPr="009040B8" w:rsidRDefault="00683496" w:rsidP="00683496">
      <w:pPr>
        <w:keepNext/>
        <w:widowControl w:val="0"/>
        <w:jc w:val="both"/>
        <w:outlineLvl w:val="0"/>
        <w:rPr>
          <w:rFonts w:ascii="Verdana" w:hAnsi="Verdana" w:cs="Arial"/>
          <w:b/>
          <w:snapToGrid w:val="0"/>
        </w:rPr>
      </w:pPr>
      <w:r w:rsidRPr="009040B8">
        <w:rPr>
          <w:rFonts w:ascii="Verdana" w:hAnsi="Verdana" w:cs="Arial"/>
          <w:b/>
          <w:snapToGrid w:val="0"/>
        </w:rPr>
        <w:t>4. Transport</w:t>
      </w: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4.1. Ogólne wymagania dotyczące transportu</w:t>
      </w:r>
    </w:p>
    <w:p w:rsidR="00683496" w:rsidRPr="009040B8" w:rsidRDefault="00683496" w:rsidP="00683496">
      <w:pPr>
        <w:numPr>
          <w:ilvl w:val="12"/>
          <w:numId w:val="0"/>
        </w:numPr>
        <w:jc w:val="both"/>
        <w:rPr>
          <w:rFonts w:ascii="Verdana" w:hAnsi="Verdana" w:cs="Arial"/>
        </w:rPr>
      </w:pPr>
      <w:r w:rsidRPr="009040B8">
        <w:rPr>
          <w:rFonts w:ascii="Verdana" w:hAnsi="Verdana" w:cs="Arial"/>
        </w:rPr>
        <w:t>Ogólne wymagania dotyczące transportu podano w SST D-M-00.00.00 „Wymagania ogólne” [1] pkt 4.</w:t>
      </w:r>
    </w:p>
    <w:p w:rsidR="00683496" w:rsidRPr="009040B8" w:rsidRDefault="00683496" w:rsidP="00683496">
      <w:pPr>
        <w:numPr>
          <w:ilvl w:val="12"/>
          <w:numId w:val="0"/>
        </w:numPr>
        <w:jc w:val="both"/>
        <w:rPr>
          <w:rFonts w:ascii="Verdana" w:hAnsi="Verdana" w:cs="Arial"/>
        </w:rPr>
      </w:pPr>
      <w:r w:rsidRPr="009040B8">
        <w:rPr>
          <w:rFonts w:ascii="Verdana" w:hAnsi="Verdana" w:cs="Arial"/>
        </w:rPr>
        <w:tab/>
      </w: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 xml:space="preserve">4.2. Transport materiałów </w:t>
      </w:r>
    </w:p>
    <w:p w:rsidR="00683496" w:rsidRPr="009040B8" w:rsidRDefault="00683496" w:rsidP="00683496">
      <w:pPr>
        <w:jc w:val="both"/>
        <w:rPr>
          <w:rFonts w:ascii="Verdana" w:hAnsi="Verdana" w:cs="Arial"/>
        </w:rPr>
      </w:pPr>
      <w:r w:rsidRPr="009040B8">
        <w:rPr>
          <w:rFonts w:ascii="Verdana" w:hAnsi="Verdana" w:cs="Arial"/>
        </w:rPr>
        <w:t>Asfalt i asfalt modyfikowany polimerami należy przewozić w cysternach kolejowych lub samochodach izolowanych i zaopatrzonych w urządzenia umożliwiające pośrednie ogrzewanie oraz w zawory spustowe.</w:t>
      </w:r>
    </w:p>
    <w:p w:rsidR="00683496" w:rsidRPr="009040B8" w:rsidRDefault="00683496" w:rsidP="00683496">
      <w:pPr>
        <w:jc w:val="both"/>
        <w:rPr>
          <w:rFonts w:ascii="Verdana" w:hAnsi="Verdana" w:cs="Arial"/>
        </w:rPr>
      </w:pPr>
      <w:r w:rsidRPr="009040B8">
        <w:rPr>
          <w:rFonts w:ascii="Verdana" w:hAnsi="Verdana" w:cs="Arial"/>
        </w:rPr>
        <w:t>Kruszywa można przewozić dowolnymi środkami transportu, w warunkach zabezpieczających je przed zanieczyszczeniem, zmieszaniem z innymi materiałami i nadmiernym zawilgoceniem.</w:t>
      </w:r>
    </w:p>
    <w:p w:rsidR="00683496" w:rsidRPr="009040B8" w:rsidRDefault="00683496" w:rsidP="00683496">
      <w:pPr>
        <w:jc w:val="both"/>
        <w:rPr>
          <w:rFonts w:ascii="Verdana" w:hAnsi="Verdana" w:cs="Arial"/>
        </w:rPr>
      </w:pPr>
      <w:r w:rsidRPr="009040B8">
        <w:rPr>
          <w:rFonts w:ascii="Verdana" w:hAnsi="Verdana"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683496" w:rsidRPr="009040B8" w:rsidRDefault="00683496" w:rsidP="00683496">
      <w:pPr>
        <w:jc w:val="both"/>
        <w:rPr>
          <w:rFonts w:ascii="Verdana" w:hAnsi="Verdana" w:cs="Arial"/>
        </w:rPr>
      </w:pPr>
      <w:r w:rsidRPr="009040B8">
        <w:rPr>
          <w:rFonts w:ascii="Verdana" w:hAnsi="Verdana"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9040B8">
        <w:rPr>
          <w:rFonts w:ascii="Verdana" w:hAnsi="Verdana" w:cs="Arial"/>
        </w:rPr>
        <w:t>pH</w:t>
      </w:r>
      <w:proofErr w:type="spellEnd"/>
      <w:r w:rsidRPr="009040B8">
        <w:rPr>
          <w:rFonts w:ascii="Verdana" w:hAnsi="Verdana" w:cs="Arial"/>
        </w:rPr>
        <w:t xml:space="preserve"> ≤ 4).</w:t>
      </w:r>
    </w:p>
    <w:p w:rsidR="00683496" w:rsidRPr="009040B8" w:rsidRDefault="00683496" w:rsidP="00683496">
      <w:pPr>
        <w:jc w:val="both"/>
        <w:rPr>
          <w:rFonts w:ascii="Verdana" w:hAnsi="Verdana" w:cs="Arial"/>
        </w:rPr>
      </w:pPr>
      <w:r w:rsidRPr="009040B8">
        <w:rPr>
          <w:rFonts w:ascii="Verdana" w:hAnsi="Verdana" w:cs="Arial"/>
        </w:rPr>
        <w:t>Mieszankę mineralno-asf</w:t>
      </w:r>
      <w:r>
        <w:rPr>
          <w:rFonts w:ascii="Verdana" w:hAnsi="Verdana" w:cs="Arial"/>
        </w:rPr>
        <w:t xml:space="preserve">altową należy </w:t>
      </w:r>
      <w:r w:rsidRPr="009040B8">
        <w:rPr>
          <w:rFonts w:ascii="Verdana" w:hAnsi="Verdana" w:cs="Arial"/>
        </w:rPr>
        <w:t xml:space="preserve">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w:t>
      </w:r>
      <w:r w:rsidRPr="009040B8">
        <w:rPr>
          <w:rFonts w:ascii="Verdana" w:hAnsi="Verdana" w:cs="Arial"/>
        </w:rPr>
        <w:lastRenderedPageBreak/>
        <w:t>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683496" w:rsidRPr="009040B8" w:rsidRDefault="00683496" w:rsidP="00683496">
      <w:pPr>
        <w:keepNext/>
        <w:widowControl w:val="0"/>
        <w:numPr>
          <w:ilvl w:val="12"/>
          <w:numId w:val="0"/>
        </w:numPr>
        <w:jc w:val="both"/>
        <w:outlineLvl w:val="0"/>
        <w:rPr>
          <w:rFonts w:ascii="Verdana" w:hAnsi="Verdana" w:cs="Arial"/>
          <w:b/>
          <w:snapToGrid w:val="0"/>
        </w:rPr>
      </w:pPr>
    </w:p>
    <w:p w:rsidR="00683496" w:rsidRPr="009040B8" w:rsidRDefault="00683496" w:rsidP="00683496">
      <w:pPr>
        <w:keepNext/>
        <w:widowControl w:val="0"/>
        <w:numPr>
          <w:ilvl w:val="12"/>
          <w:numId w:val="0"/>
        </w:numPr>
        <w:jc w:val="both"/>
        <w:outlineLvl w:val="0"/>
        <w:rPr>
          <w:rFonts w:ascii="Verdana" w:hAnsi="Verdana" w:cs="Arial"/>
          <w:b/>
          <w:snapToGrid w:val="0"/>
        </w:rPr>
      </w:pPr>
      <w:r w:rsidRPr="009040B8">
        <w:rPr>
          <w:rFonts w:ascii="Verdana" w:hAnsi="Verdana" w:cs="Arial"/>
          <w:b/>
          <w:snapToGrid w:val="0"/>
        </w:rPr>
        <w:t>5. Wykonanie robót</w:t>
      </w: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5.1. Ogólne zasady wykonania robót</w:t>
      </w:r>
    </w:p>
    <w:p w:rsidR="00683496" w:rsidRPr="009040B8" w:rsidRDefault="00683496" w:rsidP="00683496">
      <w:pPr>
        <w:numPr>
          <w:ilvl w:val="12"/>
          <w:numId w:val="0"/>
        </w:numPr>
        <w:jc w:val="both"/>
        <w:rPr>
          <w:rFonts w:ascii="Verdana" w:hAnsi="Verdana" w:cs="Arial"/>
        </w:rPr>
      </w:pPr>
      <w:r w:rsidRPr="009040B8">
        <w:rPr>
          <w:rFonts w:ascii="Verdana" w:hAnsi="Verdana" w:cs="Arial"/>
        </w:rPr>
        <w:t>Ogólne zasady wykonania robót podano w SST D-M-00.00.00 „Wymagania ogólne” [1] pkt 5.</w:t>
      </w:r>
    </w:p>
    <w:p w:rsidR="00683496" w:rsidRPr="009040B8" w:rsidRDefault="00683496" w:rsidP="00683496">
      <w:pPr>
        <w:numPr>
          <w:ilvl w:val="12"/>
          <w:numId w:val="0"/>
        </w:numPr>
        <w:jc w:val="both"/>
        <w:rPr>
          <w:rFonts w:ascii="Verdana" w:hAnsi="Verdana" w:cs="Arial"/>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5.2. Projektowanie mieszanki mineralno-asfaltowej</w:t>
      </w:r>
    </w:p>
    <w:p w:rsidR="00683496" w:rsidRDefault="00683496" w:rsidP="00683496">
      <w:pPr>
        <w:jc w:val="both"/>
        <w:rPr>
          <w:rFonts w:ascii="Verdana" w:hAnsi="Verdana" w:cs="Arial"/>
        </w:rPr>
      </w:pPr>
      <w:r>
        <w:rPr>
          <w:rFonts w:ascii="Verdana" w:hAnsi="Verdana" w:cs="Arial"/>
        </w:rPr>
        <w:t>Projektowanie mieszanki mineralno-asfaltowej polega na:</w:t>
      </w:r>
    </w:p>
    <w:p w:rsidR="00683496" w:rsidRDefault="00683496" w:rsidP="002122BD">
      <w:pPr>
        <w:numPr>
          <w:ilvl w:val="0"/>
          <w:numId w:val="41"/>
        </w:numPr>
        <w:jc w:val="both"/>
        <w:rPr>
          <w:rFonts w:ascii="Verdana" w:hAnsi="Verdana" w:cs="Arial"/>
        </w:rPr>
      </w:pPr>
      <w:r>
        <w:rPr>
          <w:rFonts w:ascii="Verdana" w:hAnsi="Verdana" w:cs="Arial"/>
        </w:rPr>
        <w:t>doborze składników mieszanki,</w:t>
      </w:r>
    </w:p>
    <w:p w:rsidR="00683496" w:rsidRDefault="00683496" w:rsidP="002122BD">
      <w:pPr>
        <w:numPr>
          <w:ilvl w:val="0"/>
          <w:numId w:val="41"/>
        </w:numPr>
        <w:jc w:val="both"/>
        <w:rPr>
          <w:rFonts w:ascii="Verdana" w:hAnsi="Verdana" w:cs="Arial"/>
        </w:rPr>
      </w:pPr>
      <w:r>
        <w:rPr>
          <w:rFonts w:ascii="Verdana" w:hAnsi="Verdana" w:cs="Arial"/>
        </w:rPr>
        <w:t>doborze optymalnej ilości asfaltu,</w:t>
      </w:r>
    </w:p>
    <w:p w:rsidR="00683496" w:rsidRPr="002A4FE0" w:rsidRDefault="00683496" w:rsidP="002122BD">
      <w:pPr>
        <w:numPr>
          <w:ilvl w:val="0"/>
          <w:numId w:val="41"/>
        </w:numPr>
        <w:jc w:val="both"/>
        <w:rPr>
          <w:rFonts w:ascii="Verdana" w:hAnsi="Verdana" w:cs="Arial"/>
        </w:rPr>
      </w:pPr>
      <w:r w:rsidRPr="00831D34">
        <w:rPr>
          <w:rFonts w:ascii="Verdana" w:hAnsi="Verdana"/>
          <w:sz w:val="18"/>
          <w:szCs w:val="18"/>
        </w:rPr>
        <w:t xml:space="preserve">doborze </w:t>
      </w:r>
      <w:r w:rsidRPr="00831D34">
        <w:rPr>
          <w:rFonts w:ascii="Verdana" w:hAnsi="Verdana" w:cs="TimesNewRoman"/>
          <w:sz w:val="18"/>
          <w:szCs w:val="18"/>
        </w:rPr>
        <w:t>ś</w:t>
      </w:r>
      <w:r w:rsidRPr="00831D34">
        <w:rPr>
          <w:rFonts w:ascii="Verdana" w:hAnsi="Verdana"/>
          <w:sz w:val="18"/>
          <w:szCs w:val="18"/>
        </w:rPr>
        <w:t>rodka adhezyjnego,</w:t>
      </w:r>
    </w:p>
    <w:p w:rsidR="00683496" w:rsidRDefault="00683496" w:rsidP="002122BD">
      <w:pPr>
        <w:numPr>
          <w:ilvl w:val="0"/>
          <w:numId w:val="41"/>
        </w:numPr>
        <w:jc w:val="both"/>
        <w:rPr>
          <w:rFonts w:ascii="Verdana" w:hAnsi="Verdana" w:cs="Arial"/>
        </w:rPr>
      </w:pPr>
      <w:r>
        <w:rPr>
          <w:rFonts w:ascii="Verdana" w:hAnsi="Verdana" w:cs="Arial"/>
        </w:rPr>
        <w:t>określeniu właściwości mieszanki mineralno-asfaltowej wraz z przedstawieniem sprawozdań z tych badań,</w:t>
      </w:r>
    </w:p>
    <w:p w:rsidR="00683496" w:rsidRDefault="00683496" w:rsidP="002122BD">
      <w:pPr>
        <w:numPr>
          <w:ilvl w:val="0"/>
          <w:numId w:val="41"/>
        </w:numPr>
        <w:jc w:val="both"/>
        <w:rPr>
          <w:rFonts w:ascii="Verdana" w:hAnsi="Verdana" w:cs="Arial"/>
        </w:rPr>
      </w:pPr>
      <w:r>
        <w:rPr>
          <w:rFonts w:ascii="Verdana" w:hAnsi="Verdana" w:cs="Arial"/>
        </w:rPr>
        <w:t>przedstawieniu w badaniu typu MMA (recepcie) poziomu odpylania dla kruszywa grubego i drobnego stosowanego do produkcji MMA,</w:t>
      </w:r>
    </w:p>
    <w:p w:rsidR="00683496" w:rsidRDefault="00683496" w:rsidP="002122BD">
      <w:pPr>
        <w:numPr>
          <w:ilvl w:val="0"/>
          <w:numId w:val="41"/>
        </w:numPr>
        <w:jc w:val="both"/>
        <w:rPr>
          <w:rFonts w:ascii="Verdana" w:hAnsi="Verdana" w:cs="Arial"/>
        </w:rPr>
      </w:pPr>
      <w:r>
        <w:rPr>
          <w:rFonts w:ascii="Verdana" w:hAnsi="Verdana" w:cs="Arial"/>
        </w:rPr>
        <w:t>wykonaniu przez Producenta MMA pełnych badań właściwości wszystkich materiałów wsadowych wraz z przedstawieniem sprawozdań z tych badań. Ważność wykonanych przez Producenta MMA pełnych badań właściwości wszystkich materiałów wsadowych, w trakcie złożenia do akceptacji razem z badaniem typu MMA (receptą) nie mogą przekroczyć 6 miesięcy od dnia wykonania tych badań.</w:t>
      </w:r>
    </w:p>
    <w:p w:rsidR="00683496" w:rsidRPr="006D2270" w:rsidRDefault="00683496" w:rsidP="00683496">
      <w:pPr>
        <w:jc w:val="both"/>
        <w:rPr>
          <w:rFonts w:ascii="Verdana" w:hAnsi="Verdana" w:cs="Arial"/>
          <w:strike/>
        </w:rPr>
      </w:pPr>
      <w:r>
        <w:rPr>
          <w:rFonts w:ascii="Verdana" w:hAnsi="Verdana" w:cs="Arial"/>
        </w:rPr>
        <w:t>W terminie 4 tygodni p</w:t>
      </w:r>
      <w:r w:rsidRPr="006D2270">
        <w:rPr>
          <w:rFonts w:ascii="Verdana" w:hAnsi="Verdana" w:cs="Arial"/>
        </w:rPr>
        <w:t xml:space="preserve">rzed przystąpieniem do robót Wykonawca dostarczy Przedstawicielowi Zamawiającego/Inspektorowi Nadzoru do akceptacji projekt </w:t>
      </w:r>
      <w:r>
        <w:rPr>
          <w:rFonts w:ascii="Verdana" w:hAnsi="Verdana" w:cs="Arial"/>
        </w:rPr>
        <w:t xml:space="preserve">MMA (badanie typu, recepta) </w:t>
      </w:r>
      <w:r w:rsidRPr="006D2270">
        <w:rPr>
          <w:rFonts w:ascii="Verdana" w:hAnsi="Verdana" w:cs="Arial"/>
        </w:rPr>
        <w:t>wraz z pełnymi badaniami</w:t>
      </w:r>
      <w:r>
        <w:rPr>
          <w:rFonts w:ascii="Verdana" w:hAnsi="Verdana" w:cs="Arial"/>
        </w:rPr>
        <w:t xml:space="preserve"> właściwości</w:t>
      </w:r>
      <w:r w:rsidRPr="006D2270">
        <w:rPr>
          <w:rFonts w:ascii="Verdana" w:hAnsi="Verdana" w:cs="Arial"/>
        </w:rPr>
        <w:t xml:space="preserve"> materiałów wsadowych </w:t>
      </w:r>
      <w:r>
        <w:rPr>
          <w:rFonts w:ascii="Verdana" w:hAnsi="Verdana" w:cs="Arial"/>
        </w:rPr>
        <w:t xml:space="preserve">                   </w:t>
      </w:r>
      <w:r w:rsidRPr="006D2270">
        <w:rPr>
          <w:rFonts w:ascii="Verdana" w:hAnsi="Verdana" w:cs="Arial"/>
        </w:rPr>
        <w:t xml:space="preserve">i właściwości MMA. </w:t>
      </w:r>
    </w:p>
    <w:p w:rsidR="00683496" w:rsidRPr="009040B8" w:rsidRDefault="00683496" w:rsidP="00683496">
      <w:pPr>
        <w:jc w:val="both"/>
        <w:rPr>
          <w:rFonts w:ascii="Verdana" w:hAnsi="Verdana" w:cs="Arial"/>
        </w:rPr>
      </w:pPr>
      <w:r w:rsidRPr="009040B8">
        <w:rPr>
          <w:rFonts w:ascii="Verdana" w:hAnsi="Verdana" w:cs="Arial"/>
        </w:rPr>
        <w:t xml:space="preserve">Uziarnienie mieszanki mineralnej oraz minimalna zawartość lepiszcza podane są w </w:t>
      </w:r>
      <w:r>
        <w:rPr>
          <w:rFonts w:ascii="Verdana" w:hAnsi="Verdana" w:cs="Arial"/>
        </w:rPr>
        <w:t xml:space="preserve">                  </w:t>
      </w:r>
      <w:r w:rsidRPr="009040B8">
        <w:rPr>
          <w:rFonts w:ascii="Verdana" w:hAnsi="Verdana" w:cs="Arial"/>
        </w:rPr>
        <w:t>tab</w:t>
      </w:r>
      <w:r>
        <w:rPr>
          <w:rFonts w:ascii="Verdana" w:hAnsi="Verdana" w:cs="Arial"/>
        </w:rPr>
        <w:t>eli 9</w:t>
      </w:r>
      <w:r w:rsidRPr="009040B8">
        <w:rPr>
          <w:rFonts w:ascii="Verdana" w:hAnsi="Verdana" w:cs="Arial"/>
        </w:rPr>
        <w:t>.</w:t>
      </w:r>
    </w:p>
    <w:p w:rsidR="00683496" w:rsidRPr="009040B8" w:rsidRDefault="00683496" w:rsidP="00683496">
      <w:pPr>
        <w:jc w:val="both"/>
        <w:rPr>
          <w:rFonts w:ascii="Verdana" w:hAnsi="Verdana" w:cs="Arial"/>
        </w:rPr>
      </w:pPr>
      <w:r w:rsidRPr="009040B8">
        <w:rPr>
          <w:rFonts w:ascii="Verdana" w:hAnsi="Verdana" w:cs="Arial"/>
        </w:rPr>
        <w:t>Wymagane właściwości mieszanki mineralno-asfaltowej podane są w tab</w:t>
      </w:r>
      <w:r>
        <w:rPr>
          <w:rFonts w:ascii="Verdana" w:hAnsi="Verdana" w:cs="Arial"/>
        </w:rPr>
        <w:t>eli</w:t>
      </w:r>
      <w:r w:rsidRPr="009040B8">
        <w:rPr>
          <w:rFonts w:ascii="Verdana" w:hAnsi="Verdana" w:cs="Arial"/>
        </w:rPr>
        <w:t xml:space="preserve"> </w:t>
      </w:r>
      <w:r>
        <w:rPr>
          <w:rFonts w:ascii="Verdana" w:hAnsi="Verdana" w:cs="Arial"/>
        </w:rPr>
        <w:t>10</w:t>
      </w:r>
      <w:r w:rsidRPr="009040B8">
        <w:rPr>
          <w:rFonts w:ascii="Verdana" w:hAnsi="Verdana" w:cs="Arial"/>
        </w:rPr>
        <w:t>.</w:t>
      </w:r>
    </w:p>
    <w:p w:rsidR="00683496" w:rsidRDefault="00683496" w:rsidP="00683496">
      <w:pPr>
        <w:ind w:left="1134" w:hanging="1134"/>
        <w:rPr>
          <w:rFonts w:ascii="Verdana" w:hAnsi="Verdana" w:cs="Arial"/>
        </w:rPr>
      </w:pPr>
    </w:p>
    <w:p w:rsidR="00683496" w:rsidRPr="009040B8" w:rsidRDefault="00683496" w:rsidP="00683496">
      <w:pPr>
        <w:ind w:left="1134" w:hanging="1134"/>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w:t>
      </w:r>
      <w:r>
        <w:rPr>
          <w:rFonts w:ascii="Verdana" w:hAnsi="Verdana" w:cs="Arial"/>
        </w:rPr>
        <w:t>9</w:t>
      </w:r>
      <w:r w:rsidRPr="009040B8">
        <w:rPr>
          <w:rFonts w:ascii="Verdana" w:hAnsi="Verdana" w:cs="Arial"/>
        </w:rPr>
        <w:t>. Uziarnienie mieszanki mineralnej oraz minimalna zawartość lepiszcza do betonu asfaltowego do warstwy wiążącej dla KR 3</w:t>
      </w:r>
      <w:r>
        <w:rPr>
          <w:rFonts w:ascii="Verdana" w:hAnsi="Verdana" w:cs="Arial"/>
        </w:rPr>
        <w:t>÷</w:t>
      </w:r>
      <w:r w:rsidRPr="009040B8">
        <w:rPr>
          <w:rFonts w:ascii="Verdana" w:hAnsi="Verdana" w:cs="Arial"/>
        </w:rPr>
        <w:t>4 [65]</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835"/>
        <w:gridCol w:w="2693"/>
      </w:tblGrid>
      <w:tr w:rsidR="00683496" w:rsidRPr="009040B8" w:rsidTr="00683496">
        <w:trPr>
          <w:trHeight w:val="415"/>
        </w:trPr>
        <w:tc>
          <w:tcPr>
            <w:tcW w:w="3260" w:type="dxa"/>
            <w:vMerge w:val="restart"/>
            <w:vAlign w:val="center"/>
          </w:tcPr>
          <w:p w:rsidR="00683496" w:rsidRPr="009040B8" w:rsidRDefault="00683496" w:rsidP="00683496">
            <w:pPr>
              <w:jc w:val="center"/>
              <w:rPr>
                <w:rFonts w:ascii="Verdana" w:hAnsi="Verdana" w:cs="Arial"/>
              </w:rPr>
            </w:pPr>
            <w:r w:rsidRPr="009040B8">
              <w:rPr>
                <w:rFonts w:ascii="Verdana" w:hAnsi="Verdana" w:cs="Arial"/>
              </w:rPr>
              <w:t>Właściwość</w:t>
            </w:r>
          </w:p>
        </w:tc>
        <w:tc>
          <w:tcPr>
            <w:tcW w:w="5528"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Przesiew,   [% (m/m)]</w:t>
            </w:r>
          </w:p>
        </w:tc>
      </w:tr>
      <w:tr w:rsidR="00683496" w:rsidRPr="009040B8" w:rsidTr="00683496">
        <w:trPr>
          <w:trHeight w:val="406"/>
        </w:trPr>
        <w:tc>
          <w:tcPr>
            <w:tcW w:w="3260" w:type="dxa"/>
            <w:vMerge/>
            <w:vAlign w:val="center"/>
          </w:tcPr>
          <w:p w:rsidR="00683496" w:rsidRPr="009040B8" w:rsidRDefault="00683496" w:rsidP="00683496">
            <w:pPr>
              <w:jc w:val="center"/>
              <w:rPr>
                <w:rFonts w:ascii="Verdana" w:hAnsi="Verdana" w:cs="Arial"/>
              </w:rPr>
            </w:pPr>
          </w:p>
        </w:tc>
        <w:tc>
          <w:tcPr>
            <w:tcW w:w="5528"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AC 16</w:t>
            </w:r>
            <w:r>
              <w:rPr>
                <w:rFonts w:ascii="Verdana" w:hAnsi="Verdana" w:cs="Arial"/>
              </w:rPr>
              <w:t xml:space="preserve"> </w:t>
            </w:r>
            <w:r w:rsidRPr="009040B8">
              <w:rPr>
                <w:rFonts w:ascii="Verdana" w:hAnsi="Verdana" w:cs="Arial"/>
              </w:rPr>
              <w:t>W</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Wymiar sita #, [mm]</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od</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do</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31,5</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22,4</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100</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16</w:t>
            </w:r>
            <w:r>
              <w:rPr>
                <w:rFonts w:ascii="Verdana" w:hAnsi="Verdana" w:cs="Arial"/>
              </w:rPr>
              <w:t>,0</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90</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100</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11,2</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70</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90</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8</w:t>
            </w:r>
            <w:r>
              <w:rPr>
                <w:rFonts w:ascii="Verdana" w:hAnsi="Verdana" w:cs="Arial"/>
              </w:rPr>
              <w:t>,0</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55</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85</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2</w:t>
            </w:r>
            <w:r>
              <w:rPr>
                <w:rFonts w:ascii="Verdana" w:hAnsi="Verdana" w:cs="Arial"/>
              </w:rPr>
              <w:t>,0</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25</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50</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0,125</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4</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12</w:t>
            </w:r>
          </w:p>
        </w:tc>
      </w:tr>
      <w:tr w:rsidR="00683496" w:rsidRPr="009040B8" w:rsidTr="00683496">
        <w:tc>
          <w:tcPr>
            <w:tcW w:w="3260" w:type="dxa"/>
            <w:vAlign w:val="center"/>
          </w:tcPr>
          <w:p w:rsidR="00683496" w:rsidRPr="009040B8" w:rsidRDefault="00683496" w:rsidP="00683496">
            <w:pPr>
              <w:jc w:val="center"/>
              <w:rPr>
                <w:rFonts w:ascii="Verdana" w:hAnsi="Verdana" w:cs="Arial"/>
              </w:rPr>
            </w:pPr>
            <w:r w:rsidRPr="009040B8">
              <w:rPr>
                <w:rFonts w:ascii="Verdana" w:hAnsi="Verdana" w:cs="Arial"/>
              </w:rPr>
              <w:t>0,063</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4,0</w:t>
            </w:r>
          </w:p>
        </w:tc>
        <w:tc>
          <w:tcPr>
            <w:tcW w:w="2693" w:type="dxa"/>
            <w:vAlign w:val="center"/>
          </w:tcPr>
          <w:p w:rsidR="00683496" w:rsidRPr="009040B8" w:rsidRDefault="00683496" w:rsidP="00683496">
            <w:pPr>
              <w:jc w:val="center"/>
              <w:rPr>
                <w:rFonts w:ascii="Verdana" w:hAnsi="Verdana" w:cs="Arial"/>
              </w:rPr>
            </w:pPr>
            <w:r w:rsidRPr="009040B8">
              <w:rPr>
                <w:rFonts w:ascii="Verdana" w:hAnsi="Verdana" w:cs="Arial"/>
              </w:rPr>
              <w:t>10,0</w:t>
            </w:r>
          </w:p>
        </w:tc>
      </w:tr>
      <w:tr w:rsidR="00683496" w:rsidRPr="009040B8" w:rsidTr="00683496">
        <w:tc>
          <w:tcPr>
            <w:tcW w:w="3260" w:type="dxa"/>
            <w:vAlign w:val="center"/>
          </w:tcPr>
          <w:p w:rsidR="00683496" w:rsidRPr="009040B8" w:rsidRDefault="00683496" w:rsidP="00683496">
            <w:pPr>
              <w:jc w:val="center"/>
              <w:rPr>
                <w:rFonts w:ascii="Verdana" w:hAnsi="Verdana" w:cs="Arial"/>
                <w:vertAlign w:val="superscript"/>
              </w:rPr>
            </w:pPr>
            <w:r w:rsidRPr="009040B8">
              <w:rPr>
                <w:rFonts w:ascii="Verdana" w:hAnsi="Verdana" w:cs="Arial"/>
              </w:rPr>
              <w:t>Zawartość lepiszcza, minimum</w:t>
            </w:r>
            <w:r w:rsidRPr="009040B8">
              <w:rPr>
                <w:rFonts w:ascii="Verdana" w:hAnsi="Verdana" w:cs="Arial"/>
                <w:vertAlign w:val="superscript"/>
              </w:rPr>
              <w:t>*)</w:t>
            </w:r>
          </w:p>
        </w:tc>
        <w:tc>
          <w:tcPr>
            <w:tcW w:w="5528"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B</w:t>
            </w:r>
            <w:r w:rsidRPr="009040B8">
              <w:rPr>
                <w:rFonts w:ascii="Verdana" w:hAnsi="Verdana" w:cs="Arial"/>
                <w:vertAlign w:val="subscript"/>
              </w:rPr>
              <w:t>min4,</w:t>
            </w:r>
            <w:r>
              <w:rPr>
                <w:rFonts w:ascii="Verdana" w:hAnsi="Verdana" w:cs="Arial"/>
                <w:vertAlign w:val="subscript"/>
              </w:rPr>
              <w:t>6</w:t>
            </w:r>
          </w:p>
        </w:tc>
      </w:tr>
      <w:tr w:rsidR="00683496" w:rsidRPr="009040B8" w:rsidTr="00683496">
        <w:tc>
          <w:tcPr>
            <w:tcW w:w="8788" w:type="dxa"/>
            <w:gridSpan w:val="3"/>
            <w:vAlign w:val="center"/>
          </w:tcPr>
          <w:p w:rsidR="00683496" w:rsidRPr="009040B8" w:rsidRDefault="00683496" w:rsidP="00683496">
            <w:pPr>
              <w:jc w:val="both"/>
              <w:rPr>
                <w:rFonts w:ascii="Verdana" w:hAnsi="Verdana" w:cs="Arial"/>
              </w:rPr>
            </w:pPr>
            <w:r w:rsidRPr="009040B8">
              <w:rPr>
                <w:rFonts w:ascii="Verdana" w:hAnsi="Verdana" w:cs="Arial"/>
                <w:vertAlign w:val="superscript"/>
              </w:rPr>
              <w:t>*)</w:t>
            </w:r>
            <w:r w:rsidRPr="009040B8">
              <w:rPr>
                <w:rFonts w:ascii="Verdana" w:hAnsi="Verdana" w:cs="Arial"/>
              </w:rPr>
              <w:t xml:space="preserve"> Minimalna zawartość lepiszcza jest określona przy założonej gęstości mieszanki mineralnej 2,650 Mg/m</w:t>
            </w:r>
            <w:r w:rsidRPr="009040B8">
              <w:rPr>
                <w:rFonts w:ascii="Verdana" w:hAnsi="Verdana" w:cs="Arial"/>
                <w:vertAlign w:val="superscript"/>
              </w:rPr>
              <w:t>3</w:t>
            </w:r>
            <w:r w:rsidRPr="009040B8">
              <w:rPr>
                <w:rFonts w:ascii="Verdana" w:hAnsi="Verdana" w:cs="Arial"/>
              </w:rPr>
              <w:t xml:space="preserve">. </w:t>
            </w:r>
          </w:p>
          <w:p w:rsidR="00683496" w:rsidRPr="009040B8" w:rsidRDefault="00683496" w:rsidP="00683496">
            <w:pPr>
              <w:jc w:val="both"/>
              <w:rPr>
                <w:rFonts w:ascii="Verdana" w:hAnsi="Verdana" w:cs="Arial"/>
              </w:rPr>
            </w:pPr>
            <w:r w:rsidRPr="009040B8">
              <w:rPr>
                <w:rFonts w:ascii="Verdana" w:hAnsi="Verdana" w:cs="Arial"/>
              </w:rPr>
              <w:t>Jeżeli stosowana mieszanka mineralna ma inną gęstość (</w:t>
            </w:r>
            <w:proofErr w:type="spellStart"/>
            <w:r w:rsidRPr="009040B8">
              <w:rPr>
                <w:rFonts w:ascii="Verdana" w:hAnsi="Verdana" w:cs="Arial"/>
                <w:i/>
              </w:rPr>
              <w:t>ρ</w:t>
            </w:r>
            <w:r w:rsidRPr="009040B8">
              <w:rPr>
                <w:rFonts w:ascii="Verdana" w:hAnsi="Verdana" w:cs="Arial"/>
                <w:vertAlign w:val="subscript"/>
              </w:rPr>
              <w:t>d</w:t>
            </w:r>
            <w:proofErr w:type="spellEnd"/>
            <w:r w:rsidRPr="009040B8">
              <w:rPr>
                <w:rFonts w:ascii="Verdana" w:hAnsi="Verdana" w:cs="Arial"/>
              </w:rPr>
              <w:t xml:space="preserve">), to do wyznaczenia minimalnej zawartości lepiszcza podaną wartość należy pomnożyć przez współczynnik </w:t>
            </w:r>
            <w:r w:rsidR="00E07AC4">
              <w:rPr>
                <w:rFonts w:ascii="Verdana" w:hAnsi="Verdana" w:cs="Arial"/>
                <w:position w:val="-6"/>
              </w:rPr>
              <w:pict>
                <v:shape id="_x0000_i1029" type="#_x0000_t75" style="width:12pt;height:11.25pt">
                  <v:imagedata r:id="rId13" o:title=""/>
                </v:shape>
              </w:pict>
            </w:r>
            <w:r w:rsidRPr="009040B8">
              <w:rPr>
                <w:rFonts w:ascii="Verdana" w:hAnsi="Verdana" w:cs="Arial"/>
              </w:rPr>
              <w:t xml:space="preserve"> według równania: </w:t>
            </w:r>
            <w:r w:rsidR="00E07AC4">
              <w:rPr>
                <w:rFonts w:ascii="Verdana" w:hAnsi="Verdana" w:cs="Arial"/>
                <w:position w:val="-30"/>
              </w:rPr>
              <w:pict>
                <v:shape id="_x0000_i1030" type="#_x0000_t75" style="width:44.25pt;height:33.75pt">
                  <v:imagedata r:id="rId14" o:title=""/>
                </v:shape>
              </w:pict>
            </w:r>
          </w:p>
        </w:tc>
      </w:tr>
    </w:tbl>
    <w:p w:rsidR="00683496" w:rsidRDefault="00683496" w:rsidP="00683496">
      <w:pPr>
        <w:ind w:left="1134" w:hanging="1134"/>
        <w:rPr>
          <w:rFonts w:ascii="Verdana" w:hAnsi="Verdana" w:cs="Arial"/>
        </w:rPr>
      </w:pPr>
    </w:p>
    <w:p w:rsidR="00683496" w:rsidRPr="009040B8" w:rsidRDefault="00683496" w:rsidP="00683496">
      <w:pPr>
        <w:ind w:left="1134" w:hanging="1134"/>
        <w:rPr>
          <w:rFonts w:ascii="Verdana" w:hAnsi="Verdana" w:cs="Arial"/>
        </w:rPr>
      </w:pPr>
      <w:r>
        <w:rPr>
          <w:rFonts w:ascii="Verdana" w:hAnsi="Verdana" w:cs="Arial"/>
        </w:rPr>
        <w:lastRenderedPageBreak/>
        <w:t xml:space="preserve">Tabela 10. </w:t>
      </w:r>
      <w:r w:rsidRPr="009040B8">
        <w:rPr>
          <w:rFonts w:ascii="Verdana" w:hAnsi="Verdana" w:cs="Arial"/>
        </w:rPr>
        <w:t xml:space="preserve">Wymagane właściwości mieszanki mineralno-asfaltowej do warstwy wiążącej, </w:t>
      </w:r>
      <w:r w:rsidRPr="009040B8">
        <w:rPr>
          <w:rFonts w:ascii="Verdana" w:hAnsi="Verdana" w:cs="Arial"/>
        </w:rPr>
        <w:br/>
        <w:t>przy ruchu KR 3</w:t>
      </w:r>
      <w:r>
        <w:rPr>
          <w:rFonts w:ascii="Verdana" w:hAnsi="Verdana" w:cs="Arial"/>
        </w:rPr>
        <w:t>÷</w:t>
      </w:r>
      <w:r w:rsidRPr="009040B8">
        <w:rPr>
          <w:rFonts w:ascii="Verdana" w:hAnsi="Verdana" w:cs="Arial"/>
        </w:rPr>
        <w:t>4 [65]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701"/>
        <w:gridCol w:w="2835"/>
        <w:gridCol w:w="2694"/>
      </w:tblGrid>
      <w:tr w:rsidR="00683496" w:rsidRPr="009040B8" w:rsidTr="00683496">
        <w:tc>
          <w:tcPr>
            <w:tcW w:w="1809" w:type="dxa"/>
            <w:vAlign w:val="center"/>
          </w:tcPr>
          <w:p w:rsidR="00683496" w:rsidRPr="009040B8" w:rsidRDefault="00683496" w:rsidP="00683496">
            <w:pPr>
              <w:jc w:val="center"/>
              <w:rPr>
                <w:rFonts w:ascii="Verdana" w:hAnsi="Verdana" w:cs="Arial"/>
              </w:rPr>
            </w:pPr>
            <w:r w:rsidRPr="009040B8">
              <w:rPr>
                <w:rFonts w:ascii="Verdana" w:hAnsi="Verdana" w:cs="Arial"/>
              </w:rPr>
              <w:t>Właściwość</w:t>
            </w:r>
          </w:p>
        </w:tc>
        <w:tc>
          <w:tcPr>
            <w:tcW w:w="1701" w:type="dxa"/>
            <w:vAlign w:val="center"/>
          </w:tcPr>
          <w:p w:rsidR="00683496" w:rsidRPr="009040B8" w:rsidRDefault="00683496" w:rsidP="00683496">
            <w:pPr>
              <w:jc w:val="center"/>
              <w:rPr>
                <w:rFonts w:ascii="Verdana" w:hAnsi="Verdana" w:cs="Arial"/>
              </w:rPr>
            </w:pPr>
            <w:r w:rsidRPr="009040B8">
              <w:rPr>
                <w:rFonts w:ascii="Verdana" w:hAnsi="Verdana" w:cs="Arial"/>
              </w:rPr>
              <w:t>Warunki zagęszczania wg PN-EN</w:t>
            </w:r>
          </w:p>
          <w:p w:rsidR="00683496" w:rsidRPr="009040B8" w:rsidRDefault="00683496" w:rsidP="00683496">
            <w:pPr>
              <w:jc w:val="center"/>
              <w:rPr>
                <w:rFonts w:ascii="Verdana" w:hAnsi="Verdana" w:cs="Arial"/>
              </w:rPr>
            </w:pPr>
            <w:r w:rsidRPr="009040B8">
              <w:rPr>
                <w:rFonts w:ascii="Verdana" w:hAnsi="Verdana" w:cs="Arial"/>
              </w:rPr>
              <w:t>13108-20  [48]</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Metoda i warunki badania</w:t>
            </w:r>
          </w:p>
        </w:tc>
        <w:tc>
          <w:tcPr>
            <w:tcW w:w="2694" w:type="dxa"/>
            <w:vAlign w:val="center"/>
          </w:tcPr>
          <w:p w:rsidR="00683496" w:rsidRPr="009040B8" w:rsidRDefault="00683496" w:rsidP="00683496">
            <w:pPr>
              <w:jc w:val="center"/>
              <w:rPr>
                <w:rFonts w:ascii="Verdana" w:hAnsi="Verdana" w:cs="Arial"/>
              </w:rPr>
            </w:pPr>
            <w:r w:rsidRPr="009040B8">
              <w:rPr>
                <w:rFonts w:ascii="Verdana" w:hAnsi="Verdana" w:cs="Arial"/>
              </w:rPr>
              <w:t>AC 16</w:t>
            </w:r>
            <w:r>
              <w:rPr>
                <w:rFonts w:ascii="Verdana" w:hAnsi="Verdana" w:cs="Arial"/>
              </w:rPr>
              <w:t xml:space="preserve"> </w:t>
            </w:r>
            <w:r w:rsidRPr="009040B8">
              <w:rPr>
                <w:rFonts w:ascii="Verdana" w:hAnsi="Verdana" w:cs="Arial"/>
              </w:rPr>
              <w:t>W</w:t>
            </w:r>
          </w:p>
        </w:tc>
      </w:tr>
      <w:tr w:rsidR="00683496" w:rsidRPr="009040B8" w:rsidTr="00683496">
        <w:tc>
          <w:tcPr>
            <w:tcW w:w="1809" w:type="dxa"/>
            <w:vAlign w:val="center"/>
          </w:tcPr>
          <w:p w:rsidR="00683496" w:rsidRPr="009040B8" w:rsidRDefault="00683496" w:rsidP="00683496">
            <w:pPr>
              <w:rPr>
                <w:rFonts w:ascii="Verdana" w:hAnsi="Verdana" w:cs="Arial"/>
              </w:rPr>
            </w:pPr>
            <w:r w:rsidRPr="009040B8">
              <w:rPr>
                <w:rFonts w:ascii="Verdana" w:hAnsi="Verdana" w:cs="Arial"/>
              </w:rPr>
              <w:t>Zawartość wolnych przestrzeni</w:t>
            </w:r>
          </w:p>
        </w:tc>
        <w:tc>
          <w:tcPr>
            <w:tcW w:w="1701" w:type="dxa"/>
            <w:vAlign w:val="center"/>
          </w:tcPr>
          <w:p w:rsidR="00683496" w:rsidRPr="009040B8" w:rsidRDefault="00683496" w:rsidP="00683496">
            <w:pPr>
              <w:jc w:val="center"/>
              <w:rPr>
                <w:rFonts w:ascii="Verdana" w:hAnsi="Verdana" w:cs="Arial"/>
              </w:rPr>
            </w:pPr>
            <w:r w:rsidRPr="009040B8">
              <w:rPr>
                <w:rFonts w:ascii="Verdana" w:hAnsi="Verdana" w:cs="Arial"/>
              </w:rPr>
              <w:t>C.1.3,ubijanie, 2×75 uderzeń</w:t>
            </w:r>
          </w:p>
        </w:tc>
        <w:tc>
          <w:tcPr>
            <w:tcW w:w="2835" w:type="dxa"/>
            <w:vAlign w:val="center"/>
          </w:tcPr>
          <w:p w:rsidR="00683496" w:rsidRPr="009040B8" w:rsidRDefault="00683496" w:rsidP="00683496">
            <w:pPr>
              <w:spacing w:before="120"/>
              <w:jc w:val="center"/>
              <w:rPr>
                <w:rFonts w:ascii="Verdana" w:hAnsi="Verdana" w:cs="Arial"/>
              </w:rPr>
            </w:pPr>
            <w:r w:rsidRPr="009040B8">
              <w:rPr>
                <w:rFonts w:ascii="Verdana" w:hAnsi="Verdana" w:cs="Arial"/>
              </w:rPr>
              <w:t>PN-EN 12697-8 [33], p. 4</w:t>
            </w:r>
          </w:p>
        </w:tc>
        <w:tc>
          <w:tcPr>
            <w:tcW w:w="2694" w:type="dxa"/>
            <w:vAlign w:val="center"/>
          </w:tcPr>
          <w:p w:rsidR="00683496" w:rsidRPr="009040B8" w:rsidRDefault="00683496" w:rsidP="00683496">
            <w:pPr>
              <w:jc w:val="center"/>
              <w:rPr>
                <w:rFonts w:ascii="Verdana" w:hAnsi="Verdana" w:cs="Arial"/>
              </w:rPr>
            </w:pPr>
            <w:r w:rsidRPr="009040B8">
              <w:rPr>
                <w:rFonts w:ascii="Verdana" w:hAnsi="Verdana" w:cs="Arial"/>
                <w:i/>
              </w:rPr>
              <w:t>V</w:t>
            </w:r>
            <w:r w:rsidRPr="009040B8">
              <w:rPr>
                <w:rFonts w:ascii="Verdana" w:hAnsi="Verdana" w:cs="Arial"/>
                <w:vertAlign w:val="subscript"/>
              </w:rPr>
              <w:t>min4,0</w:t>
            </w:r>
          </w:p>
          <w:p w:rsidR="00683496" w:rsidRPr="009040B8" w:rsidRDefault="00683496" w:rsidP="00683496">
            <w:pPr>
              <w:jc w:val="center"/>
              <w:rPr>
                <w:rFonts w:ascii="Verdana" w:hAnsi="Verdana" w:cs="Arial"/>
              </w:rPr>
            </w:pPr>
            <w:r w:rsidRPr="009040B8">
              <w:rPr>
                <w:rFonts w:ascii="Verdana" w:hAnsi="Verdana" w:cs="Arial"/>
                <w:i/>
              </w:rPr>
              <w:t>V</w:t>
            </w:r>
            <w:r w:rsidRPr="009040B8">
              <w:rPr>
                <w:rFonts w:ascii="Verdana" w:hAnsi="Verdana" w:cs="Arial"/>
                <w:vertAlign w:val="subscript"/>
              </w:rPr>
              <w:t>max7,0</w:t>
            </w:r>
          </w:p>
        </w:tc>
      </w:tr>
      <w:tr w:rsidR="00683496" w:rsidRPr="009040B8" w:rsidTr="00683496">
        <w:tc>
          <w:tcPr>
            <w:tcW w:w="1809" w:type="dxa"/>
            <w:vAlign w:val="center"/>
          </w:tcPr>
          <w:p w:rsidR="00683496" w:rsidRPr="009040B8" w:rsidRDefault="00683496" w:rsidP="00683496">
            <w:pPr>
              <w:rPr>
                <w:rFonts w:ascii="Verdana" w:hAnsi="Verdana" w:cs="Arial"/>
                <w:vertAlign w:val="superscript"/>
              </w:rPr>
            </w:pPr>
            <w:r w:rsidRPr="009040B8">
              <w:rPr>
                <w:rFonts w:ascii="Verdana" w:hAnsi="Verdana" w:cs="Arial"/>
              </w:rPr>
              <w:t xml:space="preserve">Odporność na deformacje </w:t>
            </w:r>
            <w:proofErr w:type="spellStart"/>
            <w:r w:rsidRPr="009040B8">
              <w:rPr>
                <w:rFonts w:ascii="Verdana" w:hAnsi="Verdana" w:cs="Arial"/>
              </w:rPr>
              <w:t>trwałe</w:t>
            </w:r>
            <w:r w:rsidRPr="009040B8">
              <w:rPr>
                <w:rFonts w:ascii="Verdana" w:hAnsi="Verdana" w:cs="Arial"/>
                <w:vertAlign w:val="superscript"/>
              </w:rPr>
              <w:t>a</w:t>
            </w:r>
            <w:proofErr w:type="spellEnd"/>
            <w:r w:rsidRPr="009040B8">
              <w:rPr>
                <w:rFonts w:ascii="Verdana" w:hAnsi="Verdana" w:cs="Arial"/>
                <w:vertAlign w:val="superscript"/>
              </w:rPr>
              <w:t>)</w:t>
            </w:r>
            <w:r>
              <w:rPr>
                <w:rFonts w:ascii="Verdana" w:hAnsi="Verdana" w:cs="Arial"/>
                <w:vertAlign w:val="superscript"/>
              </w:rPr>
              <w:t>,c)</w:t>
            </w:r>
          </w:p>
        </w:tc>
        <w:tc>
          <w:tcPr>
            <w:tcW w:w="1701" w:type="dxa"/>
            <w:vAlign w:val="center"/>
          </w:tcPr>
          <w:p w:rsidR="00683496" w:rsidRPr="009040B8" w:rsidRDefault="00683496" w:rsidP="00683496">
            <w:pPr>
              <w:jc w:val="center"/>
              <w:rPr>
                <w:rFonts w:ascii="Verdana" w:hAnsi="Verdana" w:cs="Arial"/>
              </w:rPr>
            </w:pPr>
            <w:r w:rsidRPr="009040B8">
              <w:rPr>
                <w:rFonts w:ascii="Verdana" w:hAnsi="Verdana" w:cs="Arial"/>
              </w:rPr>
              <w:t>C.1.20, wałowanie,</w:t>
            </w:r>
          </w:p>
          <w:p w:rsidR="00683496" w:rsidRPr="009040B8" w:rsidRDefault="00683496" w:rsidP="00683496">
            <w:pPr>
              <w:jc w:val="center"/>
              <w:rPr>
                <w:rFonts w:ascii="Verdana" w:hAnsi="Verdana" w:cs="Arial"/>
              </w:rPr>
            </w:pPr>
            <w:r w:rsidRPr="009040B8">
              <w:rPr>
                <w:rFonts w:ascii="Verdana" w:hAnsi="Verdana" w:cs="Arial"/>
              </w:rPr>
              <w:t>P</w:t>
            </w:r>
            <w:r w:rsidRPr="009040B8">
              <w:rPr>
                <w:rFonts w:ascii="Verdana" w:hAnsi="Verdana" w:cs="Arial"/>
                <w:vertAlign w:val="subscript"/>
              </w:rPr>
              <w:t>98</w:t>
            </w:r>
            <w:r w:rsidRPr="009040B8">
              <w:rPr>
                <w:rFonts w:ascii="Verdana" w:hAnsi="Verdana" w:cs="Arial"/>
              </w:rPr>
              <w:t>-P</w:t>
            </w:r>
            <w:r w:rsidRPr="009040B8">
              <w:rPr>
                <w:rFonts w:ascii="Verdana" w:hAnsi="Verdana" w:cs="Arial"/>
                <w:vertAlign w:val="subscript"/>
              </w:rPr>
              <w:t>100</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PN-EN 12697-22, metoda B w powietrzu, PN-EN 13108-20, D.1.6,                       60</w:t>
            </w:r>
            <w:r w:rsidRPr="009040B8">
              <w:rPr>
                <w:rFonts w:ascii="Verdana" w:hAnsi="Verdana" w:cs="Arial"/>
                <w:vertAlign w:val="superscript"/>
              </w:rPr>
              <w:t>o</w:t>
            </w:r>
            <w:r w:rsidRPr="009040B8">
              <w:rPr>
                <w:rFonts w:ascii="Verdana" w:hAnsi="Verdana" w:cs="Arial"/>
              </w:rPr>
              <w:t>C, 10 000 cykli [38]</w:t>
            </w:r>
          </w:p>
        </w:tc>
        <w:tc>
          <w:tcPr>
            <w:tcW w:w="2694" w:type="dxa"/>
            <w:vAlign w:val="center"/>
          </w:tcPr>
          <w:p w:rsidR="00683496" w:rsidRPr="009040B8" w:rsidRDefault="00683496" w:rsidP="00683496">
            <w:pPr>
              <w:jc w:val="center"/>
              <w:rPr>
                <w:rFonts w:ascii="Verdana" w:hAnsi="Verdana" w:cs="Arial"/>
                <w:vertAlign w:val="subscript"/>
              </w:rPr>
            </w:pPr>
            <w:r w:rsidRPr="009040B8">
              <w:rPr>
                <w:rFonts w:ascii="Verdana" w:hAnsi="Verdana" w:cs="Arial"/>
                <w:i/>
              </w:rPr>
              <w:t>WTS</w:t>
            </w:r>
            <w:r w:rsidRPr="009040B8">
              <w:rPr>
                <w:rFonts w:ascii="Verdana" w:hAnsi="Verdana" w:cs="Arial"/>
                <w:vertAlign w:val="subscript"/>
              </w:rPr>
              <w:t>AIR 0,</w:t>
            </w:r>
            <w:r>
              <w:rPr>
                <w:rFonts w:ascii="Verdana" w:hAnsi="Verdana" w:cs="Arial"/>
                <w:vertAlign w:val="subscript"/>
              </w:rPr>
              <w:t>15</w:t>
            </w:r>
          </w:p>
          <w:p w:rsidR="00683496" w:rsidRPr="009040B8" w:rsidRDefault="00683496" w:rsidP="00683496">
            <w:pPr>
              <w:jc w:val="center"/>
              <w:rPr>
                <w:rFonts w:ascii="Verdana" w:hAnsi="Verdana" w:cs="Arial"/>
              </w:rPr>
            </w:pPr>
            <w:r w:rsidRPr="009040B8">
              <w:rPr>
                <w:rFonts w:ascii="Verdana" w:hAnsi="Verdana" w:cs="Arial"/>
                <w:i/>
              </w:rPr>
              <w:t>PRD</w:t>
            </w:r>
            <w:r>
              <w:rPr>
                <w:rFonts w:ascii="Verdana" w:hAnsi="Verdana" w:cs="Arial"/>
                <w:vertAlign w:val="subscript"/>
              </w:rPr>
              <w:t>AIR 7</w:t>
            </w:r>
            <w:r w:rsidRPr="009040B8">
              <w:rPr>
                <w:rFonts w:ascii="Verdana" w:hAnsi="Verdana" w:cs="Arial"/>
                <w:vertAlign w:val="subscript"/>
              </w:rPr>
              <w:t>,0</w:t>
            </w:r>
          </w:p>
        </w:tc>
      </w:tr>
      <w:tr w:rsidR="00683496" w:rsidRPr="009040B8" w:rsidTr="00683496">
        <w:tc>
          <w:tcPr>
            <w:tcW w:w="1809" w:type="dxa"/>
            <w:vAlign w:val="center"/>
          </w:tcPr>
          <w:p w:rsidR="00683496" w:rsidRPr="009040B8" w:rsidRDefault="00683496" w:rsidP="00683496">
            <w:pPr>
              <w:rPr>
                <w:rFonts w:ascii="Verdana" w:hAnsi="Verdana" w:cs="Arial"/>
              </w:rPr>
            </w:pPr>
            <w:r w:rsidRPr="009040B8">
              <w:rPr>
                <w:rFonts w:ascii="Verdana" w:hAnsi="Verdana" w:cs="Arial"/>
              </w:rPr>
              <w:t>Odporność na działanie wody</w:t>
            </w:r>
          </w:p>
        </w:tc>
        <w:tc>
          <w:tcPr>
            <w:tcW w:w="1701" w:type="dxa"/>
            <w:vAlign w:val="center"/>
          </w:tcPr>
          <w:p w:rsidR="00683496" w:rsidRPr="009040B8" w:rsidRDefault="00683496" w:rsidP="00683496">
            <w:pPr>
              <w:jc w:val="center"/>
              <w:rPr>
                <w:rFonts w:ascii="Verdana" w:hAnsi="Verdana" w:cs="Arial"/>
              </w:rPr>
            </w:pPr>
            <w:r w:rsidRPr="009040B8">
              <w:rPr>
                <w:rFonts w:ascii="Verdana" w:hAnsi="Verdana" w:cs="Arial"/>
              </w:rPr>
              <w:t>C.1.1,ubijanie, 2×35 uderzeń</w:t>
            </w:r>
          </w:p>
        </w:tc>
        <w:tc>
          <w:tcPr>
            <w:tcW w:w="2835" w:type="dxa"/>
            <w:vAlign w:val="center"/>
          </w:tcPr>
          <w:p w:rsidR="00683496" w:rsidRPr="009040B8" w:rsidRDefault="00683496" w:rsidP="00683496">
            <w:pPr>
              <w:jc w:val="center"/>
              <w:rPr>
                <w:rFonts w:ascii="Verdana" w:hAnsi="Verdana" w:cs="Arial"/>
              </w:rPr>
            </w:pPr>
            <w:r w:rsidRPr="009040B8">
              <w:rPr>
                <w:rFonts w:ascii="Verdana" w:hAnsi="Verdana" w:cs="Arial"/>
              </w:rPr>
              <w:t xml:space="preserve">PN-EN 12697-12 [35], przechowywanie w 40°C                   z jednym cyklem </w:t>
            </w:r>
            <w:proofErr w:type="spellStart"/>
            <w:r w:rsidRPr="009040B8">
              <w:rPr>
                <w:rFonts w:ascii="Verdana" w:hAnsi="Verdana" w:cs="Arial"/>
              </w:rPr>
              <w:t>zamrażania</w:t>
            </w:r>
            <w:r w:rsidRPr="009040B8">
              <w:rPr>
                <w:rFonts w:ascii="Verdana" w:hAnsi="Verdana" w:cs="Arial"/>
                <w:vertAlign w:val="superscript"/>
              </w:rPr>
              <w:t>b</w:t>
            </w:r>
            <w:proofErr w:type="spellEnd"/>
            <w:r w:rsidRPr="009040B8">
              <w:rPr>
                <w:rFonts w:ascii="Verdana" w:hAnsi="Verdana" w:cs="Arial"/>
                <w:vertAlign w:val="superscript"/>
              </w:rPr>
              <w:t>)</w:t>
            </w:r>
            <w:r w:rsidRPr="009040B8">
              <w:rPr>
                <w:rFonts w:ascii="Verdana" w:hAnsi="Verdana" w:cs="Arial"/>
              </w:rPr>
              <w:t>,</w:t>
            </w:r>
          </w:p>
          <w:p w:rsidR="00683496" w:rsidRPr="009040B8" w:rsidRDefault="00683496" w:rsidP="00683496">
            <w:pPr>
              <w:jc w:val="center"/>
              <w:rPr>
                <w:rFonts w:ascii="Verdana" w:hAnsi="Verdana" w:cs="Arial"/>
              </w:rPr>
            </w:pPr>
            <w:r w:rsidRPr="009040B8">
              <w:rPr>
                <w:rFonts w:ascii="Verdana" w:hAnsi="Verdana" w:cs="Arial"/>
              </w:rPr>
              <w:t>badanie w 25°C</w:t>
            </w:r>
          </w:p>
        </w:tc>
        <w:tc>
          <w:tcPr>
            <w:tcW w:w="2694" w:type="dxa"/>
            <w:vAlign w:val="center"/>
          </w:tcPr>
          <w:p w:rsidR="00683496" w:rsidRPr="009040B8" w:rsidRDefault="00683496" w:rsidP="00683496">
            <w:pPr>
              <w:jc w:val="center"/>
              <w:rPr>
                <w:rFonts w:ascii="Verdana" w:hAnsi="Verdana" w:cs="Arial"/>
                <w:vertAlign w:val="subscript"/>
              </w:rPr>
            </w:pPr>
            <w:r w:rsidRPr="009040B8">
              <w:rPr>
                <w:rFonts w:ascii="Verdana" w:hAnsi="Verdana" w:cs="Arial"/>
                <w:i/>
              </w:rPr>
              <w:t>ITSR</w:t>
            </w:r>
            <w:r w:rsidRPr="0014235C">
              <w:rPr>
                <w:rFonts w:ascii="Verdana" w:hAnsi="Verdana" w:cs="Arial"/>
                <w:vertAlign w:val="subscript"/>
              </w:rPr>
              <w:t>80</w:t>
            </w:r>
          </w:p>
        </w:tc>
      </w:tr>
      <w:tr w:rsidR="00683496" w:rsidRPr="009040B8" w:rsidTr="00683496">
        <w:tc>
          <w:tcPr>
            <w:tcW w:w="9039" w:type="dxa"/>
            <w:gridSpan w:val="4"/>
            <w:vAlign w:val="center"/>
          </w:tcPr>
          <w:p w:rsidR="00683496" w:rsidRPr="006D2270" w:rsidRDefault="00683496" w:rsidP="00683496">
            <w:pPr>
              <w:jc w:val="both"/>
              <w:rPr>
                <w:rFonts w:ascii="Verdana" w:hAnsi="Verdana" w:cs="Arial"/>
              </w:rPr>
            </w:pPr>
            <w:r w:rsidRPr="006D2270">
              <w:rPr>
                <w:rFonts w:ascii="Verdana" w:hAnsi="Verdana" w:cs="Arial"/>
                <w:vertAlign w:val="superscript"/>
              </w:rPr>
              <w:t>a)</w:t>
            </w:r>
            <w:r w:rsidRPr="006D2270">
              <w:rPr>
                <w:rFonts w:ascii="Verdana" w:hAnsi="Verdana" w:cs="Arial"/>
              </w:rPr>
              <w:t xml:space="preserve"> </w:t>
            </w:r>
            <w:r>
              <w:rPr>
                <w:rFonts w:ascii="Verdana" w:hAnsi="Verdana" w:cs="Arial"/>
              </w:rPr>
              <w:t xml:space="preserve"> </w:t>
            </w:r>
            <w:r w:rsidRPr="006D2270">
              <w:rPr>
                <w:rFonts w:ascii="Verdana" w:hAnsi="Verdana" w:cs="Arial"/>
              </w:rPr>
              <w:t xml:space="preserve">grubość płyty: AC </w:t>
            </w:r>
            <w:r>
              <w:rPr>
                <w:rFonts w:ascii="Verdana" w:hAnsi="Verdana" w:cs="Arial"/>
              </w:rPr>
              <w:t>16 – 6</w:t>
            </w:r>
            <w:r w:rsidRPr="006D2270">
              <w:rPr>
                <w:rFonts w:ascii="Verdana" w:hAnsi="Verdana" w:cs="Arial"/>
              </w:rPr>
              <w:t>0 mm</w:t>
            </w:r>
            <w:r>
              <w:rPr>
                <w:rFonts w:ascii="Verdana" w:hAnsi="Verdana" w:cs="Arial"/>
              </w:rPr>
              <w:t>,</w:t>
            </w:r>
          </w:p>
          <w:p w:rsidR="00683496" w:rsidRDefault="00683496" w:rsidP="00683496">
            <w:pPr>
              <w:ind w:left="284" w:hanging="284"/>
              <w:jc w:val="both"/>
              <w:rPr>
                <w:rFonts w:ascii="Verdana" w:hAnsi="Verdana" w:cs="Arial"/>
              </w:rPr>
            </w:pPr>
            <w:r w:rsidRPr="006D2270">
              <w:rPr>
                <w:rFonts w:ascii="Verdana" w:hAnsi="Verdana" w:cs="Arial"/>
                <w:vertAlign w:val="superscript"/>
              </w:rPr>
              <w:t>b)</w:t>
            </w:r>
            <w:r w:rsidRPr="006D2270">
              <w:rPr>
                <w:rFonts w:ascii="Verdana" w:hAnsi="Verdana" w:cs="Arial"/>
              </w:rPr>
              <w:t xml:space="preserve"> ujednoliconą procedurę badania </w:t>
            </w:r>
            <w:r>
              <w:rPr>
                <w:rFonts w:ascii="Verdana" w:hAnsi="Verdana" w:cs="Arial"/>
              </w:rPr>
              <w:t xml:space="preserve">wrażliwości </w:t>
            </w:r>
            <w:r w:rsidRPr="006D2270">
              <w:rPr>
                <w:rFonts w:ascii="Verdana" w:hAnsi="Verdana" w:cs="Arial"/>
              </w:rPr>
              <w:t>na działanie wody z jednym cyklem zamraż</w:t>
            </w:r>
            <w:r>
              <w:rPr>
                <w:rFonts w:ascii="Verdana" w:hAnsi="Verdana" w:cs="Arial"/>
              </w:rPr>
              <w:t xml:space="preserve">ania podano w załączniku 1 WT-2 </w:t>
            </w:r>
            <w:r w:rsidRPr="006D2270">
              <w:rPr>
                <w:rFonts w:ascii="Verdana" w:hAnsi="Verdana" w:cs="Arial"/>
              </w:rPr>
              <w:t>201</w:t>
            </w:r>
            <w:r>
              <w:rPr>
                <w:rFonts w:ascii="Verdana" w:hAnsi="Verdana" w:cs="Arial"/>
              </w:rPr>
              <w:t>4-część I,</w:t>
            </w:r>
          </w:p>
          <w:p w:rsidR="00683496" w:rsidRPr="009040B8" w:rsidRDefault="00683496" w:rsidP="00683496">
            <w:pPr>
              <w:tabs>
                <w:tab w:val="left" w:pos="284"/>
              </w:tabs>
              <w:ind w:left="284" w:hanging="284"/>
              <w:jc w:val="both"/>
              <w:rPr>
                <w:rFonts w:ascii="Verdana" w:hAnsi="Verdana" w:cs="Arial"/>
                <w:i/>
              </w:rPr>
            </w:pPr>
            <w:r>
              <w:rPr>
                <w:rFonts w:ascii="Verdana" w:hAnsi="Verdana" w:cs="Arial"/>
                <w:vertAlign w:val="superscript"/>
              </w:rPr>
              <w:t>c)</w:t>
            </w:r>
            <w:r>
              <w:rPr>
                <w:rFonts w:ascii="Verdana" w:hAnsi="Verdana" w:cs="Arial"/>
              </w:rPr>
              <w:t xml:space="preserve"> procedurę kondycjonowania krótkoterminowego MMA przed zagęszczeniem próbek  do badań podano w załączniku 2 WT-2 2014-część I</w:t>
            </w:r>
          </w:p>
        </w:tc>
      </w:tr>
    </w:tbl>
    <w:p w:rsidR="00683496" w:rsidRPr="009040B8" w:rsidRDefault="00683496" w:rsidP="00683496">
      <w:pPr>
        <w:keepNext/>
        <w:spacing w:before="240"/>
        <w:jc w:val="both"/>
        <w:outlineLvl w:val="1"/>
        <w:rPr>
          <w:rFonts w:ascii="Verdana" w:hAnsi="Verdana" w:cs="Arial"/>
          <w:b/>
          <w:bCs/>
          <w:iCs/>
        </w:rPr>
      </w:pPr>
      <w:r w:rsidRPr="009040B8">
        <w:rPr>
          <w:rFonts w:ascii="Verdana" w:hAnsi="Verdana" w:cs="Arial"/>
          <w:b/>
          <w:bCs/>
          <w:iCs/>
        </w:rPr>
        <w:t>5.3. Wytwarzanie mieszanki mineralno-asfaltowej</w:t>
      </w:r>
    </w:p>
    <w:p w:rsidR="00683496" w:rsidRPr="009040B8" w:rsidRDefault="00683496" w:rsidP="00683496">
      <w:pPr>
        <w:jc w:val="both"/>
        <w:rPr>
          <w:rFonts w:ascii="Verdana" w:hAnsi="Verdana" w:cs="Arial"/>
        </w:rPr>
      </w:pPr>
      <w:r w:rsidRPr="009040B8">
        <w:rPr>
          <w:rFonts w:ascii="Verdana" w:hAnsi="Verdana" w:cs="Arial"/>
        </w:rPr>
        <w:t>Mieszankę mineralno-asfaltową należy wytwarzać na gorąco w otaczarce (zespole maszyn i urządzeń dozowania, podgrzewania i mieszania składników oraz przechowywania gotowej mieszanki).</w:t>
      </w:r>
    </w:p>
    <w:p w:rsidR="00683496" w:rsidRPr="009040B8" w:rsidRDefault="00683496" w:rsidP="00683496">
      <w:pPr>
        <w:jc w:val="both"/>
        <w:rPr>
          <w:rFonts w:ascii="Verdana" w:hAnsi="Verdana" w:cs="Arial"/>
        </w:rPr>
      </w:pPr>
      <w:r w:rsidRPr="009040B8">
        <w:rPr>
          <w:rFonts w:ascii="Verdana" w:hAnsi="Verdana" w:cs="Aria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683496" w:rsidRPr="009040B8" w:rsidRDefault="00683496" w:rsidP="00683496">
      <w:pPr>
        <w:jc w:val="both"/>
        <w:rPr>
          <w:rFonts w:ascii="Verdana" w:hAnsi="Verdana" w:cs="Arial"/>
        </w:rPr>
      </w:pPr>
      <w:r w:rsidRPr="009040B8">
        <w:rPr>
          <w:rFonts w:ascii="Verdana" w:hAnsi="Verdana" w:cs="Arial"/>
        </w:rP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asfaltu modyfikowanego polimerami PMB 25/55-60 oraz 190</w:t>
      </w:r>
      <w:r>
        <w:rPr>
          <w:rFonts w:ascii="Verdana" w:hAnsi="Verdana" w:cs="Arial"/>
        </w:rPr>
        <w:t>°C dla asfaltu drogowego 35/50.</w:t>
      </w:r>
    </w:p>
    <w:p w:rsidR="00683496" w:rsidRPr="009040B8" w:rsidRDefault="00683496" w:rsidP="00683496">
      <w:pPr>
        <w:jc w:val="both"/>
        <w:rPr>
          <w:rFonts w:ascii="Verdana" w:hAnsi="Verdana" w:cs="Arial"/>
        </w:rPr>
      </w:pPr>
      <w:r w:rsidRPr="009040B8">
        <w:rPr>
          <w:rFonts w:ascii="Verdana" w:hAnsi="Verdana" w:cs="Aria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w:t>
      </w:r>
      <w:r>
        <w:rPr>
          <w:rFonts w:ascii="Verdana" w:hAnsi="Verdana" w:cs="Arial"/>
        </w:rPr>
        <w:t>eli</w:t>
      </w:r>
      <w:r w:rsidRPr="009040B8">
        <w:rPr>
          <w:rFonts w:ascii="Verdana" w:hAnsi="Verdana" w:cs="Arial"/>
        </w:rPr>
        <w:t xml:space="preserve"> 1</w:t>
      </w:r>
      <w:r>
        <w:rPr>
          <w:rFonts w:ascii="Verdana" w:hAnsi="Verdana" w:cs="Arial"/>
        </w:rPr>
        <w:t>1</w:t>
      </w:r>
      <w:r w:rsidRPr="009040B8">
        <w:rPr>
          <w:rFonts w:ascii="Verdana" w:hAnsi="Verdana" w:cs="Arial"/>
        </w:rPr>
        <w:t>. W tej tab</w:t>
      </w:r>
      <w:r>
        <w:rPr>
          <w:rFonts w:ascii="Verdana" w:hAnsi="Verdana" w:cs="Arial"/>
        </w:rPr>
        <w:t>eli</w:t>
      </w:r>
      <w:r w:rsidRPr="009040B8">
        <w:rPr>
          <w:rFonts w:ascii="Verdana" w:hAnsi="Verdana" w:cs="Arial"/>
        </w:rPr>
        <w:t xml:space="preserve"> najniższa temperatura dotyczy mieszanki mineralno-asfaltowej dostarczonej na miejsce wbudowania, a najwyższa temperatura dotyczy mieszanki mineralno-asfaltowej bezpośrednio po wytworzeniu w wytwórni. </w:t>
      </w:r>
    </w:p>
    <w:p w:rsidR="00683496" w:rsidRPr="009040B8" w:rsidRDefault="00683496" w:rsidP="00683496">
      <w:pPr>
        <w:jc w:val="both"/>
        <w:rPr>
          <w:rFonts w:ascii="Verdana" w:hAnsi="Verdana" w:cs="Arial"/>
        </w:rPr>
      </w:pPr>
      <w:r w:rsidRPr="009040B8">
        <w:rPr>
          <w:rFonts w:ascii="Verdana" w:hAnsi="Verdana" w:cs="Arial"/>
        </w:rPr>
        <w:t>W przypadku zastosowania asfaltu modyfikowanego polimerami, mieszanka mineral</w:t>
      </w:r>
      <w:r>
        <w:rPr>
          <w:rFonts w:ascii="Verdana" w:hAnsi="Verdana" w:cs="Arial"/>
        </w:rPr>
        <w:t xml:space="preserve">no-asfaltowa </w:t>
      </w:r>
      <w:r w:rsidRPr="009040B8">
        <w:rPr>
          <w:rFonts w:ascii="Verdana" w:hAnsi="Verdana" w:cs="Arial"/>
        </w:rPr>
        <w:t>(z oznakami niebieskiego dymu) w czasie wytwarzania oraz na miejscu wbudowania lub temperaturze niższej od wymaganej w tab</w:t>
      </w:r>
      <w:r>
        <w:rPr>
          <w:rFonts w:ascii="Verdana" w:hAnsi="Verdana" w:cs="Arial"/>
        </w:rPr>
        <w:t>eli</w:t>
      </w:r>
      <w:r w:rsidRPr="009040B8">
        <w:rPr>
          <w:rFonts w:ascii="Verdana" w:hAnsi="Verdana" w:cs="Arial"/>
        </w:rPr>
        <w:t xml:space="preserve"> 1</w:t>
      </w:r>
      <w:r>
        <w:rPr>
          <w:rFonts w:ascii="Verdana" w:hAnsi="Verdana" w:cs="Arial"/>
        </w:rPr>
        <w:t>1,</w:t>
      </w:r>
      <w:r w:rsidRPr="009040B8">
        <w:rPr>
          <w:rFonts w:ascii="Verdana" w:hAnsi="Verdana" w:cs="Arial"/>
        </w:rPr>
        <w:t xml:space="preserve"> powinna być potraktowana jako odpad produkcyjny. Wykonawca jest zobowiązany prowadzić monitoring temperatury mieszanki mineralno-asfaltowej, ze skrzyni załadowanego pojazdu bezpośrednio po dotarciu na teren budowy. Otrzymane zapisy należy przekazać dla Przedstawiciela Zamawiającego/Inspektora Nadzoru.</w:t>
      </w:r>
    </w:p>
    <w:p w:rsidR="00683496" w:rsidRPr="009040B8" w:rsidRDefault="00683496" w:rsidP="00683496">
      <w:pPr>
        <w:spacing w:before="120" w:after="120"/>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1</w:t>
      </w:r>
      <w:r w:rsidRPr="009040B8">
        <w:rPr>
          <w:rFonts w:ascii="Verdana" w:hAnsi="Verdana" w:cs="Arial"/>
        </w:rPr>
        <w:t>.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683496" w:rsidRPr="009040B8" w:rsidTr="00683496">
        <w:tc>
          <w:tcPr>
            <w:tcW w:w="2371" w:type="dxa"/>
            <w:vAlign w:val="center"/>
          </w:tcPr>
          <w:p w:rsidR="00683496" w:rsidRPr="009040B8" w:rsidRDefault="00683496" w:rsidP="00683496">
            <w:pPr>
              <w:spacing w:before="60" w:after="60"/>
              <w:jc w:val="center"/>
              <w:rPr>
                <w:rFonts w:ascii="Verdana" w:hAnsi="Verdana" w:cs="Arial"/>
              </w:rPr>
            </w:pPr>
            <w:r w:rsidRPr="009040B8">
              <w:rPr>
                <w:rFonts w:ascii="Verdana" w:hAnsi="Verdana" w:cs="Arial"/>
              </w:rPr>
              <w:t>Lepiszcza asfaltowe</w:t>
            </w:r>
          </w:p>
        </w:tc>
        <w:tc>
          <w:tcPr>
            <w:tcW w:w="2590" w:type="dxa"/>
            <w:vAlign w:val="center"/>
          </w:tcPr>
          <w:p w:rsidR="00683496" w:rsidRPr="009040B8" w:rsidRDefault="00683496" w:rsidP="00683496">
            <w:pPr>
              <w:spacing w:before="60" w:after="60"/>
              <w:jc w:val="center"/>
              <w:rPr>
                <w:rFonts w:ascii="Verdana" w:hAnsi="Verdana" w:cs="Arial"/>
              </w:rPr>
            </w:pPr>
            <w:r w:rsidRPr="009040B8">
              <w:rPr>
                <w:rFonts w:ascii="Verdana" w:hAnsi="Verdana" w:cs="Arial"/>
              </w:rPr>
              <w:t>Temperatura mieszanki [°C]</w:t>
            </w:r>
          </w:p>
        </w:tc>
      </w:tr>
      <w:tr w:rsidR="00683496" w:rsidRPr="009040B8" w:rsidTr="00683496">
        <w:tc>
          <w:tcPr>
            <w:tcW w:w="2371" w:type="dxa"/>
          </w:tcPr>
          <w:p w:rsidR="00683496" w:rsidRPr="009040B8" w:rsidRDefault="00683496" w:rsidP="00683496">
            <w:pPr>
              <w:spacing w:before="60"/>
              <w:jc w:val="center"/>
              <w:rPr>
                <w:rFonts w:ascii="Verdana" w:hAnsi="Verdana" w:cs="Arial"/>
                <w:lang w:val="en-US"/>
              </w:rPr>
            </w:pPr>
            <w:proofErr w:type="spellStart"/>
            <w:r w:rsidRPr="009040B8">
              <w:rPr>
                <w:rFonts w:ascii="Verdana" w:hAnsi="Verdana" w:cs="Arial"/>
                <w:lang w:val="en-US"/>
              </w:rPr>
              <w:t>Asfalt</w:t>
            </w:r>
            <w:proofErr w:type="spellEnd"/>
            <w:r w:rsidRPr="009040B8">
              <w:rPr>
                <w:rFonts w:ascii="Verdana" w:hAnsi="Verdana" w:cs="Arial"/>
                <w:lang w:val="en-US"/>
              </w:rPr>
              <w:t xml:space="preserve"> 35/50</w:t>
            </w:r>
          </w:p>
          <w:p w:rsidR="00683496" w:rsidRPr="009040B8" w:rsidRDefault="00683496" w:rsidP="00683496">
            <w:pPr>
              <w:spacing w:before="60"/>
              <w:jc w:val="center"/>
              <w:rPr>
                <w:rFonts w:ascii="Verdana" w:hAnsi="Verdana" w:cs="Arial"/>
                <w:lang w:val="en-US"/>
              </w:rPr>
            </w:pPr>
            <w:proofErr w:type="spellStart"/>
            <w:r w:rsidRPr="009040B8">
              <w:rPr>
                <w:rFonts w:ascii="Verdana" w:hAnsi="Verdana" w:cs="Arial"/>
                <w:lang w:val="en-US"/>
              </w:rPr>
              <w:lastRenderedPageBreak/>
              <w:t>Asfalt</w:t>
            </w:r>
            <w:proofErr w:type="spellEnd"/>
            <w:r w:rsidRPr="009040B8">
              <w:rPr>
                <w:rFonts w:ascii="Verdana" w:hAnsi="Verdana" w:cs="Arial"/>
                <w:lang w:val="en-US"/>
              </w:rPr>
              <w:t xml:space="preserve"> 50/70</w:t>
            </w:r>
          </w:p>
          <w:p w:rsidR="00683496" w:rsidRPr="009040B8" w:rsidRDefault="00683496" w:rsidP="00683496">
            <w:pPr>
              <w:spacing w:before="60"/>
              <w:jc w:val="center"/>
              <w:rPr>
                <w:rFonts w:ascii="Verdana" w:hAnsi="Verdana" w:cs="Arial"/>
                <w:lang w:val="en-US"/>
              </w:rPr>
            </w:pPr>
            <w:r w:rsidRPr="009040B8">
              <w:rPr>
                <w:rFonts w:ascii="Verdana" w:hAnsi="Verdana" w:cs="Arial"/>
                <w:lang w:val="en-US"/>
              </w:rPr>
              <w:t>PMB 25/55-60</w:t>
            </w:r>
          </w:p>
        </w:tc>
        <w:tc>
          <w:tcPr>
            <w:tcW w:w="2590" w:type="dxa"/>
          </w:tcPr>
          <w:p w:rsidR="00683496" w:rsidRPr="009040B8" w:rsidRDefault="00683496" w:rsidP="00683496">
            <w:pPr>
              <w:spacing w:before="60"/>
              <w:jc w:val="center"/>
              <w:rPr>
                <w:rFonts w:ascii="Verdana" w:hAnsi="Verdana" w:cs="Arial"/>
              </w:rPr>
            </w:pPr>
            <w:r w:rsidRPr="009040B8">
              <w:rPr>
                <w:rFonts w:ascii="Verdana" w:hAnsi="Verdana" w:cs="Arial"/>
              </w:rPr>
              <w:lastRenderedPageBreak/>
              <w:t>od 1</w:t>
            </w:r>
            <w:r>
              <w:rPr>
                <w:rFonts w:ascii="Verdana" w:hAnsi="Verdana" w:cs="Arial"/>
              </w:rPr>
              <w:t>4</w:t>
            </w:r>
            <w:r w:rsidRPr="009040B8">
              <w:rPr>
                <w:rFonts w:ascii="Verdana" w:hAnsi="Verdana" w:cs="Arial"/>
              </w:rPr>
              <w:t>5 do 1</w:t>
            </w:r>
            <w:r>
              <w:rPr>
                <w:rFonts w:ascii="Verdana" w:hAnsi="Verdana" w:cs="Arial"/>
              </w:rPr>
              <w:t>7</w:t>
            </w:r>
            <w:r w:rsidRPr="009040B8">
              <w:rPr>
                <w:rFonts w:ascii="Verdana" w:hAnsi="Verdana" w:cs="Arial"/>
              </w:rPr>
              <w:t>0</w:t>
            </w:r>
          </w:p>
          <w:p w:rsidR="00683496" w:rsidRPr="009040B8" w:rsidRDefault="00683496" w:rsidP="00683496">
            <w:pPr>
              <w:spacing w:before="60"/>
              <w:jc w:val="center"/>
              <w:rPr>
                <w:rFonts w:ascii="Verdana" w:hAnsi="Verdana" w:cs="Arial"/>
              </w:rPr>
            </w:pPr>
            <w:r w:rsidRPr="009040B8">
              <w:rPr>
                <w:rFonts w:ascii="Verdana" w:hAnsi="Verdana" w:cs="Arial"/>
              </w:rPr>
              <w:lastRenderedPageBreak/>
              <w:t>od 140 do 1</w:t>
            </w:r>
            <w:r>
              <w:rPr>
                <w:rFonts w:ascii="Verdana" w:hAnsi="Verdana" w:cs="Arial"/>
              </w:rPr>
              <w:t>7</w:t>
            </w:r>
            <w:r w:rsidRPr="009040B8">
              <w:rPr>
                <w:rFonts w:ascii="Verdana" w:hAnsi="Verdana" w:cs="Arial"/>
              </w:rPr>
              <w:t>0</w:t>
            </w:r>
          </w:p>
          <w:p w:rsidR="00683496" w:rsidRPr="009040B8" w:rsidRDefault="00683496" w:rsidP="00683496">
            <w:pPr>
              <w:spacing w:before="60"/>
              <w:jc w:val="center"/>
              <w:rPr>
                <w:rFonts w:ascii="Verdana" w:hAnsi="Verdana" w:cs="Arial"/>
              </w:rPr>
            </w:pPr>
            <w:r w:rsidRPr="009040B8">
              <w:rPr>
                <w:rFonts w:ascii="Verdana" w:hAnsi="Verdana" w:cs="Arial"/>
              </w:rPr>
              <w:t>od 1</w:t>
            </w:r>
            <w:r>
              <w:rPr>
                <w:rFonts w:ascii="Verdana" w:hAnsi="Verdana" w:cs="Arial"/>
              </w:rPr>
              <w:t>5</w:t>
            </w:r>
            <w:r w:rsidRPr="009040B8">
              <w:rPr>
                <w:rFonts w:ascii="Verdana" w:hAnsi="Verdana" w:cs="Arial"/>
              </w:rPr>
              <w:t>0 do 1</w:t>
            </w:r>
            <w:r>
              <w:rPr>
                <w:rFonts w:ascii="Verdana" w:hAnsi="Verdana" w:cs="Arial"/>
              </w:rPr>
              <w:t>7</w:t>
            </w:r>
            <w:r w:rsidRPr="009040B8">
              <w:rPr>
                <w:rFonts w:ascii="Verdana" w:hAnsi="Verdana" w:cs="Arial"/>
              </w:rPr>
              <w:t>0</w:t>
            </w:r>
          </w:p>
        </w:tc>
      </w:tr>
    </w:tbl>
    <w:p w:rsidR="00683496" w:rsidRPr="009040B8" w:rsidRDefault="00683496" w:rsidP="00683496">
      <w:pPr>
        <w:jc w:val="both"/>
        <w:rPr>
          <w:rFonts w:ascii="Verdana" w:hAnsi="Verdana" w:cs="Arial"/>
        </w:rPr>
      </w:pPr>
      <w:r w:rsidRPr="009040B8">
        <w:rPr>
          <w:rFonts w:ascii="Verdana" w:hAnsi="Verdana" w:cs="Arial"/>
        </w:rPr>
        <w:lastRenderedPageBreak/>
        <w:t>Sposób i czas mieszania składników mieszanki mineralno-asfaltowej powinny zapewnić równomierne otoczenie kruszywa lepiszczem asfaltowym.</w:t>
      </w:r>
    </w:p>
    <w:p w:rsidR="00683496" w:rsidRPr="009040B8" w:rsidRDefault="00683496" w:rsidP="00683496">
      <w:pPr>
        <w:jc w:val="both"/>
        <w:rPr>
          <w:rFonts w:ascii="Verdana" w:hAnsi="Verdana" w:cs="Arial"/>
        </w:rPr>
      </w:pPr>
      <w:r w:rsidRPr="009040B8">
        <w:rPr>
          <w:rFonts w:ascii="Verdana" w:hAnsi="Verdana" w:cs="Arial"/>
        </w:rPr>
        <w:t xml:space="preserve">Dopuszcza się produkcję i dostawy mieszanek mineralno-asfaltowych z kilku wytwórni na podstawie jednego </w:t>
      </w:r>
      <w:r>
        <w:rPr>
          <w:rFonts w:ascii="Verdana" w:hAnsi="Verdana" w:cs="Arial"/>
        </w:rPr>
        <w:t>b</w:t>
      </w:r>
      <w:r w:rsidRPr="009040B8">
        <w:rPr>
          <w:rFonts w:ascii="Verdana" w:hAnsi="Verdana" w:cs="Arial"/>
        </w:rPr>
        <w:t xml:space="preserve">adania </w:t>
      </w:r>
      <w:r>
        <w:rPr>
          <w:rFonts w:ascii="Verdana" w:hAnsi="Verdana" w:cs="Arial"/>
        </w:rPr>
        <w:t>t</w:t>
      </w:r>
      <w:r w:rsidRPr="009040B8">
        <w:rPr>
          <w:rFonts w:ascii="Verdana" w:hAnsi="Verdana" w:cs="Arial"/>
        </w:rPr>
        <w:t xml:space="preserve">ypu </w:t>
      </w:r>
      <w:r>
        <w:rPr>
          <w:rFonts w:ascii="Verdana" w:hAnsi="Verdana" w:cs="Arial"/>
        </w:rPr>
        <w:t>MMA (recepty)</w:t>
      </w:r>
      <w:r w:rsidRPr="009040B8">
        <w:rPr>
          <w:rFonts w:ascii="Verdana" w:hAnsi="Verdana" w:cs="Arial"/>
        </w:rPr>
        <w:t>.</w:t>
      </w:r>
    </w:p>
    <w:p w:rsidR="00683496" w:rsidRPr="009040B8" w:rsidRDefault="00683496" w:rsidP="00683496">
      <w:pPr>
        <w:keepNext/>
        <w:spacing w:before="240" w:after="60"/>
        <w:jc w:val="both"/>
        <w:outlineLvl w:val="1"/>
        <w:rPr>
          <w:rFonts w:ascii="Verdana" w:hAnsi="Verdana" w:cs="Arial"/>
          <w:b/>
          <w:bCs/>
          <w:iCs/>
        </w:rPr>
      </w:pPr>
      <w:r w:rsidRPr="009040B8">
        <w:rPr>
          <w:rFonts w:ascii="Verdana" w:hAnsi="Verdana" w:cs="Arial"/>
          <w:b/>
          <w:bCs/>
          <w:iCs/>
        </w:rPr>
        <w:t>5.4. Przygotowanie podłoża</w:t>
      </w:r>
    </w:p>
    <w:p w:rsidR="00683496" w:rsidRPr="009040B8" w:rsidRDefault="00683496" w:rsidP="00683496">
      <w:pPr>
        <w:jc w:val="both"/>
        <w:rPr>
          <w:rFonts w:ascii="Verdana" w:hAnsi="Verdana" w:cs="Arial"/>
        </w:rPr>
      </w:pPr>
      <w:r w:rsidRPr="009040B8">
        <w:rPr>
          <w:rFonts w:ascii="Verdana" w:hAnsi="Verdana" w:cs="Arial"/>
        </w:rPr>
        <w:t>Podłoże (podbudowa, wyrównawcza lub stara warstwa nawierzchni) pod warstwę wiążącą  z betonu asfaltowego powinno być na całej powierzchni:</w:t>
      </w:r>
    </w:p>
    <w:p w:rsidR="00683496" w:rsidRPr="009040B8" w:rsidRDefault="00683496" w:rsidP="002122BD">
      <w:pPr>
        <w:numPr>
          <w:ilvl w:val="0"/>
          <w:numId w:val="33"/>
        </w:numPr>
        <w:overflowPunct w:val="0"/>
        <w:autoSpaceDE w:val="0"/>
        <w:autoSpaceDN w:val="0"/>
        <w:adjustRightInd w:val="0"/>
        <w:jc w:val="both"/>
        <w:textAlignment w:val="baseline"/>
        <w:rPr>
          <w:rFonts w:ascii="Verdana" w:hAnsi="Verdana" w:cs="Arial"/>
        </w:rPr>
      </w:pPr>
      <w:r w:rsidRPr="009040B8">
        <w:rPr>
          <w:rFonts w:ascii="Verdana" w:hAnsi="Verdana" w:cs="Arial"/>
        </w:rPr>
        <w:t>ustabilizowane i nośne,</w:t>
      </w:r>
    </w:p>
    <w:p w:rsidR="00683496" w:rsidRPr="009040B8" w:rsidRDefault="00683496" w:rsidP="002122BD">
      <w:pPr>
        <w:numPr>
          <w:ilvl w:val="0"/>
          <w:numId w:val="33"/>
        </w:numPr>
        <w:overflowPunct w:val="0"/>
        <w:autoSpaceDE w:val="0"/>
        <w:autoSpaceDN w:val="0"/>
        <w:adjustRightInd w:val="0"/>
        <w:jc w:val="both"/>
        <w:textAlignment w:val="baseline"/>
        <w:rPr>
          <w:rFonts w:ascii="Verdana" w:hAnsi="Verdana" w:cs="Arial"/>
        </w:rPr>
      </w:pPr>
      <w:r w:rsidRPr="009040B8">
        <w:rPr>
          <w:rFonts w:ascii="Verdana" w:hAnsi="Verdana" w:cs="Arial"/>
        </w:rPr>
        <w:t>czyste, bez zanieczyszczenia lub pozostałości luźnego kruszywa,</w:t>
      </w:r>
    </w:p>
    <w:p w:rsidR="00683496" w:rsidRPr="009040B8" w:rsidRDefault="00683496" w:rsidP="002122BD">
      <w:pPr>
        <w:numPr>
          <w:ilvl w:val="0"/>
          <w:numId w:val="33"/>
        </w:numPr>
        <w:overflowPunct w:val="0"/>
        <w:autoSpaceDE w:val="0"/>
        <w:autoSpaceDN w:val="0"/>
        <w:adjustRightInd w:val="0"/>
        <w:jc w:val="both"/>
        <w:textAlignment w:val="baseline"/>
        <w:rPr>
          <w:rFonts w:ascii="Verdana" w:hAnsi="Verdana" w:cs="Arial"/>
        </w:rPr>
      </w:pPr>
      <w:r w:rsidRPr="009040B8">
        <w:rPr>
          <w:rFonts w:ascii="Verdana" w:hAnsi="Verdana" w:cs="Arial"/>
        </w:rPr>
        <w:t>wyprofilowane, równe i bez kolein.</w:t>
      </w:r>
    </w:p>
    <w:p w:rsidR="00683496" w:rsidRPr="009040B8" w:rsidRDefault="00683496" w:rsidP="00683496">
      <w:pPr>
        <w:jc w:val="both"/>
        <w:rPr>
          <w:rFonts w:ascii="Verdana" w:hAnsi="Verdana" w:cs="Arial"/>
        </w:rPr>
      </w:pPr>
      <w:r w:rsidRPr="009040B8">
        <w:rPr>
          <w:rFonts w:ascii="Verdana" w:hAnsi="Verdana" w:cs="Arial"/>
        </w:rPr>
        <w:t>W wypadku podłoża z nowo wykonanej warstwy nawierzchni, do oceny nierówności należy przyjąć dane z pomiaru równości tej warstwy. Wymagana równość podłużna i porzeczna jest określona w rozporządzeniu dotyczącym warunków technicznych, jakim powinny odpowiadać drogi publiczne [67]. W wypadku podłoża z starej warstwy nawierzchni, nierówności nie powinny przekraczać wartości podanych w tab</w:t>
      </w:r>
      <w:r>
        <w:rPr>
          <w:rFonts w:ascii="Verdana" w:hAnsi="Verdana" w:cs="Arial"/>
        </w:rPr>
        <w:t>eli</w:t>
      </w:r>
      <w:r w:rsidRPr="009040B8">
        <w:rPr>
          <w:rFonts w:ascii="Verdana" w:hAnsi="Verdana" w:cs="Arial"/>
        </w:rPr>
        <w:t xml:space="preserve"> 1</w:t>
      </w:r>
      <w:r>
        <w:rPr>
          <w:rFonts w:ascii="Verdana" w:hAnsi="Verdana" w:cs="Arial"/>
        </w:rPr>
        <w:t>2</w:t>
      </w:r>
      <w:r w:rsidRPr="009040B8">
        <w:rPr>
          <w:rFonts w:ascii="Verdana" w:hAnsi="Verdana" w:cs="Arial"/>
        </w:rPr>
        <w:t>.</w:t>
      </w:r>
    </w:p>
    <w:p w:rsidR="00683496" w:rsidRPr="009040B8" w:rsidRDefault="00683496" w:rsidP="00683496">
      <w:pPr>
        <w:tabs>
          <w:tab w:val="left" w:pos="993"/>
        </w:tabs>
        <w:spacing w:before="120"/>
        <w:ind w:left="992" w:hanging="992"/>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2</w:t>
      </w:r>
      <w:r w:rsidRPr="009040B8">
        <w:rPr>
          <w:rFonts w:ascii="Verdana" w:hAnsi="Verdana" w:cs="Arial"/>
        </w:rPr>
        <w:t>.</w:t>
      </w:r>
      <w:r w:rsidRPr="009040B8">
        <w:rPr>
          <w:rFonts w:ascii="Verdana" w:hAnsi="Verdana" w:cs="Arial"/>
        </w:rPr>
        <w:tab/>
        <w:t xml:space="preserve">Maksymalne nierówności podłoża z warstwy starej nawierzchni pod warstwy AC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683496" w:rsidRPr="009040B8" w:rsidTr="00683496">
        <w:tc>
          <w:tcPr>
            <w:tcW w:w="1242" w:type="dxa"/>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Klasa drogi</w:t>
            </w:r>
          </w:p>
        </w:tc>
        <w:tc>
          <w:tcPr>
            <w:tcW w:w="3969" w:type="dxa"/>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Element nawierzchni</w:t>
            </w:r>
          </w:p>
        </w:tc>
        <w:tc>
          <w:tcPr>
            <w:tcW w:w="2300" w:type="dxa"/>
          </w:tcPr>
          <w:p w:rsidR="00683496" w:rsidRPr="009040B8" w:rsidRDefault="00683496" w:rsidP="00683496">
            <w:pPr>
              <w:jc w:val="center"/>
              <w:rPr>
                <w:rFonts w:ascii="Verdana" w:hAnsi="Verdana" w:cs="Arial"/>
              </w:rPr>
            </w:pPr>
            <w:r w:rsidRPr="009040B8">
              <w:rPr>
                <w:rFonts w:ascii="Verdana" w:hAnsi="Verdana" w:cs="Arial"/>
              </w:rPr>
              <w:t>Maksymalna nierówność podłoża pod warstwę wiążącą [mm]</w:t>
            </w:r>
          </w:p>
        </w:tc>
      </w:tr>
      <w:tr w:rsidR="00683496" w:rsidRPr="009040B8" w:rsidTr="00683496">
        <w:trPr>
          <w:trHeight w:val="445"/>
        </w:trPr>
        <w:tc>
          <w:tcPr>
            <w:tcW w:w="1242" w:type="dxa"/>
            <w:vAlign w:val="center"/>
          </w:tcPr>
          <w:p w:rsidR="00683496" w:rsidRPr="009040B8" w:rsidRDefault="00683496" w:rsidP="00683496">
            <w:pPr>
              <w:jc w:val="center"/>
              <w:rPr>
                <w:rFonts w:ascii="Verdana" w:hAnsi="Verdana" w:cs="Arial"/>
                <w:strike/>
              </w:rPr>
            </w:pPr>
            <w:r w:rsidRPr="009040B8">
              <w:rPr>
                <w:rFonts w:ascii="Verdana" w:hAnsi="Verdana" w:cs="Arial"/>
              </w:rPr>
              <w:t>GP</w:t>
            </w:r>
          </w:p>
        </w:tc>
        <w:tc>
          <w:tcPr>
            <w:tcW w:w="3969" w:type="dxa"/>
          </w:tcPr>
          <w:p w:rsidR="00683496" w:rsidRPr="009040B8" w:rsidRDefault="00683496" w:rsidP="00683496">
            <w:pPr>
              <w:jc w:val="center"/>
              <w:rPr>
                <w:rFonts w:ascii="Verdana" w:hAnsi="Verdana" w:cs="Arial"/>
                <w:strike/>
              </w:rPr>
            </w:pPr>
            <w:r w:rsidRPr="009040B8">
              <w:rPr>
                <w:rFonts w:ascii="Verdana" w:hAnsi="Verdana" w:cs="Arial"/>
              </w:rPr>
              <w:t>Jezdnie łącznic, jezdnie MOP, utwardzone pobocza</w:t>
            </w:r>
          </w:p>
        </w:tc>
        <w:tc>
          <w:tcPr>
            <w:tcW w:w="2300" w:type="dxa"/>
          </w:tcPr>
          <w:p w:rsidR="00683496" w:rsidRPr="009040B8" w:rsidRDefault="00683496" w:rsidP="00683496">
            <w:pPr>
              <w:spacing w:before="120"/>
              <w:jc w:val="center"/>
              <w:rPr>
                <w:rFonts w:ascii="Verdana" w:hAnsi="Verdana" w:cs="Arial"/>
                <w:strike/>
              </w:rPr>
            </w:pPr>
            <w:r w:rsidRPr="009040B8">
              <w:rPr>
                <w:rFonts w:ascii="Verdana" w:hAnsi="Verdana" w:cs="Arial"/>
              </w:rPr>
              <w:t>10</w:t>
            </w:r>
          </w:p>
        </w:tc>
      </w:tr>
      <w:tr w:rsidR="00683496" w:rsidRPr="009040B8" w:rsidTr="00683496">
        <w:tc>
          <w:tcPr>
            <w:tcW w:w="1242" w:type="dxa"/>
            <w:vAlign w:val="center"/>
          </w:tcPr>
          <w:p w:rsidR="00683496" w:rsidRPr="009040B8" w:rsidRDefault="00683496" w:rsidP="00683496">
            <w:pPr>
              <w:jc w:val="center"/>
              <w:rPr>
                <w:rFonts w:ascii="Verdana" w:hAnsi="Verdana" w:cs="Arial"/>
              </w:rPr>
            </w:pPr>
            <w:r w:rsidRPr="009040B8">
              <w:rPr>
                <w:rFonts w:ascii="Verdana" w:hAnsi="Verdana" w:cs="Arial"/>
              </w:rPr>
              <w:t>G</w:t>
            </w:r>
          </w:p>
        </w:tc>
        <w:tc>
          <w:tcPr>
            <w:tcW w:w="3969" w:type="dxa"/>
          </w:tcPr>
          <w:p w:rsidR="00683496" w:rsidRPr="009040B8" w:rsidRDefault="00683496" w:rsidP="00683496">
            <w:pPr>
              <w:jc w:val="center"/>
              <w:rPr>
                <w:rFonts w:ascii="Verdana" w:hAnsi="Verdana" w:cs="Arial"/>
              </w:rPr>
            </w:pPr>
            <w:r w:rsidRPr="009040B8">
              <w:rPr>
                <w:rFonts w:ascii="Verdana" w:hAnsi="Verdana" w:cs="Arial"/>
              </w:rPr>
              <w:t>Pasy: ruchu, dodatkowe, włączania i wyłączania, postojowe, jezdnie łącznic, utwardzone pobocza</w:t>
            </w:r>
          </w:p>
        </w:tc>
        <w:tc>
          <w:tcPr>
            <w:tcW w:w="2300" w:type="dxa"/>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10</w:t>
            </w:r>
          </w:p>
        </w:tc>
      </w:tr>
    </w:tbl>
    <w:p w:rsidR="00683496" w:rsidRPr="009040B8" w:rsidRDefault="00683496" w:rsidP="00683496">
      <w:pPr>
        <w:jc w:val="both"/>
        <w:rPr>
          <w:rFonts w:ascii="Verdana" w:hAnsi="Verdana" w:cs="Arial"/>
        </w:rPr>
      </w:pPr>
      <w:r w:rsidRPr="009040B8">
        <w:rPr>
          <w:rFonts w:ascii="Verdana" w:hAnsi="Verdana" w:cs="Arial"/>
        </w:rPr>
        <w:t>Jeżeli nierówności  są większe niż dopuszczalne, to należy wyrównać podłoże.</w:t>
      </w:r>
    </w:p>
    <w:p w:rsidR="00683496" w:rsidRPr="009040B8" w:rsidRDefault="00683496" w:rsidP="00683496">
      <w:pPr>
        <w:jc w:val="both"/>
        <w:rPr>
          <w:rFonts w:ascii="Verdana" w:hAnsi="Verdana" w:cs="Arial"/>
        </w:rPr>
      </w:pPr>
      <w:r w:rsidRPr="009040B8">
        <w:rPr>
          <w:rFonts w:ascii="Verdana" w:hAnsi="Verdana" w:cs="Arial"/>
        </w:rPr>
        <w:t>Rzędne wysokościowe podłoża oraz urządzeń usytuowanych w nawierzchni lub ją ograniczających powinny być zgodne z dokumentacją projektową. Z podłoża powinien być zapewniony odpływ wody.</w:t>
      </w:r>
    </w:p>
    <w:p w:rsidR="00683496" w:rsidRPr="009040B8" w:rsidRDefault="00683496" w:rsidP="00683496">
      <w:pPr>
        <w:jc w:val="both"/>
        <w:rPr>
          <w:rFonts w:ascii="Verdana" w:hAnsi="Verdana" w:cs="Arial"/>
        </w:rPr>
      </w:pPr>
      <w:r w:rsidRPr="009040B8">
        <w:rPr>
          <w:rFonts w:ascii="Verdana" w:hAnsi="Verdana" w:cs="Arial"/>
        </w:rPr>
        <w:t xml:space="preserve">Oznakowanie poziome na warstwie podłoża należy usunąć. Dopuszcza się pozostawienie oznakowania poziomego z materiałów termoplastycznych przy spełnieniu warunku </w:t>
      </w:r>
      <w:proofErr w:type="spellStart"/>
      <w:r w:rsidRPr="009040B8">
        <w:rPr>
          <w:rFonts w:ascii="Verdana" w:hAnsi="Verdana" w:cs="Arial"/>
        </w:rPr>
        <w:t>sczepności</w:t>
      </w:r>
      <w:proofErr w:type="spellEnd"/>
      <w:r w:rsidRPr="009040B8">
        <w:rPr>
          <w:rFonts w:ascii="Verdana" w:hAnsi="Verdana" w:cs="Arial"/>
        </w:rPr>
        <w:t xml:space="preserve"> warstw wg punktu 5.6.</w:t>
      </w:r>
    </w:p>
    <w:p w:rsidR="00683496" w:rsidRPr="009040B8" w:rsidRDefault="00683496" w:rsidP="00683496">
      <w:pPr>
        <w:jc w:val="both"/>
        <w:rPr>
          <w:rFonts w:ascii="Verdana" w:hAnsi="Verdana" w:cs="Arial"/>
        </w:rPr>
      </w:pPr>
      <w:r w:rsidRPr="009040B8">
        <w:rPr>
          <w:rFonts w:ascii="Verdana" w:hAnsi="Verdana" w:cs="Arial"/>
        </w:rPr>
        <w:t>Nierówności podłoża (w tym powierzchnię istniejącej warstwy ścieralnej) należy wyrównać poprzez frezowanie lub wykonanie warstwy wyrównawczej.</w:t>
      </w:r>
    </w:p>
    <w:p w:rsidR="00683496" w:rsidRPr="009040B8" w:rsidRDefault="00683496" w:rsidP="00683496">
      <w:pPr>
        <w:jc w:val="both"/>
        <w:rPr>
          <w:rFonts w:ascii="Verdana" w:hAnsi="Verdana" w:cs="Arial"/>
        </w:rPr>
      </w:pPr>
      <w:r w:rsidRPr="009040B8">
        <w:rPr>
          <w:rFonts w:ascii="Verdana" w:hAnsi="Verdana" w:cs="Aria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683496" w:rsidRPr="009040B8" w:rsidRDefault="00683496" w:rsidP="00683496">
      <w:pPr>
        <w:jc w:val="both"/>
        <w:rPr>
          <w:rFonts w:ascii="Verdana" w:hAnsi="Verdana" w:cs="Arial"/>
        </w:rPr>
      </w:pPr>
      <w:r w:rsidRPr="009040B8">
        <w:rPr>
          <w:rFonts w:ascii="Verdana" w:hAnsi="Verdana" w:cs="Arial"/>
        </w:rPr>
        <w:t>W celu polepszenia połączenia między warstwami technologicznymi nawierzchni powierzchnia podłoża powinna być w ocenie wizualnej chropowata.</w:t>
      </w:r>
    </w:p>
    <w:p w:rsidR="00683496" w:rsidRPr="009040B8" w:rsidRDefault="00683496" w:rsidP="00683496">
      <w:pPr>
        <w:jc w:val="both"/>
        <w:rPr>
          <w:rFonts w:ascii="Verdana" w:hAnsi="Verdana" w:cs="Arial"/>
        </w:rPr>
      </w:pPr>
      <w:r w:rsidRPr="009040B8">
        <w:rPr>
          <w:rFonts w:ascii="Verdana" w:hAnsi="Verdana" w:cs="Arial"/>
        </w:rPr>
        <w:t>Jeżeli podłoże jest nieodpowiednie, to należy ustalić, jakie specjalne środki należy podjąć przed wykonaniem warstwy asfaltowej.</w:t>
      </w:r>
    </w:p>
    <w:p w:rsidR="00683496" w:rsidRPr="009040B8" w:rsidRDefault="00683496" w:rsidP="00683496">
      <w:pPr>
        <w:jc w:val="both"/>
        <w:rPr>
          <w:rFonts w:ascii="Verdana" w:hAnsi="Verdana" w:cs="Arial"/>
        </w:rPr>
      </w:pPr>
      <w:r w:rsidRPr="009040B8">
        <w:rPr>
          <w:rFonts w:ascii="Verdana" w:hAnsi="Verdana" w:cs="Arial"/>
        </w:rPr>
        <w:t>Szerokie szczeliny w podłożu należy wypełnić odpowiednim materiałem, np. zalewami drogowymi według PN-EN 14188-1 [60] lub PN-EN 14188-2 [61] albo innymi materiałami według norm lub aprobat technicznych.</w:t>
      </w:r>
    </w:p>
    <w:p w:rsidR="00683496" w:rsidRPr="009040B8" w:rsidRDefault="00683496" w:rsidP="00683496">
      <w:pPr>
        <w:keepNext/>
        <w:spacing w:before="240"/>
        <w:jc w:val="both"/>
        <w:outlineLvl w:val="1"/>
        <w:rPr>
          <w:rFonts w:ascii="Verdana" w:hAnsi="Verdana" w:cs="Arial"/>
          <w:b/>
          <w:bCs/>
          <w:iCs/>
        </w:rPr>
      </w:pPr>
      <w:r w:rsidRPr="009040B8">
        <w:rPr>
          <w:rFonts w:ascii="Verdana" w:hAnsi="Verdana" w:cs="Arial"/>
          <w:b/>
          <w:bCs/>
          <w:iCs/>
        </w:rPr>
        <w:t>5.5. Próba technologiczna</w:t>
      </w:r>
    </w:p>
    <w:p w:rsidR="00683496" w:rsidRPr="009040B8" w:rsidRDefault="00683496" w:rsidP="00683496">
      <w:pPr>
        <w:keepNext/>
        <w:jc w:val="both"/>
        <w:outlineLvl w:val="1"/>
        <w:rPr>
          <w:rFonts w:ascii="Verdana" w:hAnsi="Verdana" w:cs="Arial"/>
          <w:b/>
          <w:bCs/>
          <w:iCs/>
        </w:rPr>
      </w:pPr>
      <w:r w:rsidRPr="009040B8">
        <w:rPr>
          <w:rFonts w:ascii="Verdana" w:hAnsi="Verdana" w:cs="Arial"/>
        </w:rPr>
        <w:t xml:space="preserve">Wykonawca przed przystąpieniem do produkcji mieszanki jest zobowiązany na żądanie Przedstawiciela Zamawiającego/Inspektora Nadzoru  do przeprowadzenia w jego obecności  próby technologicznej, która ma na celu sprawdzenie zgodności właściwości wyprodukowanej mieszanki z receptą. Inspektor Nadzoru podejmuje decyzję o ewentualnym wykonaniu próby technologicznej na podstawie doświadczenia Wykonawcy w wykonywaniu robót z wykorzystaniem danej recepty na drogach krajowych województwa warmińsko-mazurskiego. </w:t>
      </w:r>
      <w:r w:rsidRPr="009040B8">
        <w:rPr>
          <w:rFonts w:ascii="Verdana" w:hAnsi="Verdana" w:cs="Arial"/>
        </w:rPr>
        <w:lastRenderedPageBreak/>
        <w:t>W tym celu należy zaprogramować otaczarkę zgodnie z receptą roboczą i w cyklu automatycznym produkować mieszankę. Do badań należy pobrać mieszankę wyprodukowaną po ustabilizowaniu się pracy otaczarki.</w:t>
      </w:r>
    </w:p>
    <w:p w:rsidR="00683496" w:rsidRPr="009040B8" w:rsidRDefault="00683496" w:rsidP="00683496">
      <w:pPr>
        <w:jc w:val="both"/>
        <w:rPr>
          <w:rFonts w:ascii="Verdana" w:hAnsi="Verdana" w:cs="Arial"/>
        </w:rPr>
      </w:pPr>
      <w:r w:rsidRPr="009040B8">
        <w:rPr>
          <w:rFonts w:ascii="Verdana" w:hAnsi="Verdana" w:cs="Arial"/>
        </w:rPr>
        <w:t xml:space="preserve">Nie dopuszcza się oceniania dokładności pracy otaczarki oraz prawidłowości składu mieszanki mineralnej na podstawie tzw. suchego </w:t>
      </w:r>
      <w:proofErr w:type="spellStart"/>
      <w:r w:rsidRPr="009040B8">
        <w:rPr>
          <w:rFonts w:ascii="Verdana" w:hAnsi="Verdana" w:cs="Arial"/>
        </w:rPr>
        <w:t>zarobu</w:t>
      </w:r>
      <w:proofErr w:type="spellEnd"/>
      <w:r w:rsidRPr="009040B8">
        <w:rPr>
          <w:rFonts w:ascii="Verdana" w:hAnsi="Verdana" w:cs="Arial"/>
        </w:rPr>
        <w:t>, z uwagi na możliwą segregację kruszywa.</w:t>
      </w:r>
    </w:p>
    <w:p w:rsidR="00683496" w:rsidRPr="009040B8" w:rsidRDefault="00683496" w:rsidP="00683496">
      <w:pPr>
        <w:jc w:val="both"/>
        <w:rPr>
          <w:rFonts w:ascii="Verdana" w:hAnsi="Verdana" w:cs="Arial"/>
        </w:rPr>
      </w:pPr>
      <w:r w:rsidRPr="009040B8">
        <w:rPr>
          <w:rFonts w:ascii="Verdana" w:hAnsi="Verdana" w:cs="Arial"/>
        </w:rPr>
        <w:t xml:space="preserve">Mieszankę wyprodukowaną po ustabilizowaniu się pracy otaczarki należy zgromadzić w silosie lub załadować na samochód. Próbki do badań należy pobierać ze skrzyni samochodu zgodnie z metodą określoną  w PN-EN 12697-27 [39]. </w:t>
      </w:r>
    </w:p>
    <w:p w:rsidR="00683496" w:rsidRPr="00A36ABD" w:rsidRDefault="00683496" w:rsidP="00683496">
      <w:pPr>
        <w:rPr>
          <w:rFonts w:ascii="Verdana" w:hAnsi="Verdana"/>
        </w:rPr>
      </w:pPr>
      <w:r w:rsidRPr="00A36ABD">
        <w:rPr>
          <w:rFonts w:ascii="Verdana" w:hAnsi="Verdana"/>
        </w:rPr>
        <w:t xml:space="preserve">Wykonawca wykona następujące badania w ramach próby technologicznej: </w:t>
      </w:r>
    </w:p>
    <w:p w:rsidR="00683496" w:rsidRPr="00A36ABD" w:rsidRDefault="00683496" w:rsidP="002122BD">
      <w:pPr>
        <w:numPr>
          <w:ilvl w:val="0"/>
          <w:numId w:val="43"/>
        </w:numPr>
        <w:ind w:firstLine="284"/>
        <w:jc w:val="both"/>
        <w:rPr>
          <w:rFonts w:ascii="Verdana" w:hAnsi="Verdana"/>
        </w:rPr>
      </w:pPr>
      <w:r w:rsidRPr="00A36ABD">
        <w:rPr>
          <w:rFonts w:ascii="Verdana" w:hAnsi="Verdana"/>
        </w:rPr>
        <w:t xml:space="preserve">zawartość lepiszcza rozpuszczalnego, uziarnienie, </w:t>
      </w:r>
    </w:p>
    <w:p w:rsidR="00683496" w:rsidRPr="00A36ABD" w:rsidRDefault="00683496" w:rsidP="002122BD">
      <w:pPr>
        <w:numPr>
          <w:ilvl w:val="0"/>
          <w:numId w:val="43"/>
        </w:numPr>
        <w:ind w:firstLine="284"/>
        <w:jc w:val="both"/>
        <w:rPr>
          <w:rFonts w:ascii="Verdana" w:hAnsi="Verdana"/>
        </w:rPr>
      </w:pPr>
      <w:r w:rsidRPr="00A36ABD">
        <w:rPr>
          <w:rFonts w:ascii="Verdana" w:hAnsi="Verdana"/>
        </w:rPr>
        <w:t>zawartość wolnych przestrzeni w</w:t>
      </w:r>
      <w:r>
        <w:rPr>
          <w:rFonts w:ascii="Verdana" w:hAnsi="Verdana"/>
        </w:rPr>
        <w:t xml:space="preserve"> mieszance</w:t>
      </w:r>
      <w:r w:rsidRPr="00A36ABD">
        <w:rPr>
          <w:rFonts w:ascii="Verdana" w:hAnsi="Verdana"/>
        </w:rPr>
        <w:t xml:space="preserve"> </w:t>
      </w:r>
      <w:r>
        <w:rPr>
          <w:rFonts w:ascii="Verdana" w:hAnsi="Verdana"/>
        </w:rPr>
        <w:t>M</w:t>
      </w:r>
      <w:r w:rsidRPr="00A36ABD">
        <w:rPr>
          <w:rFonts w:ascii="Verdana" w:hAnsi="Verdana"/>
        </w:rPr>
        <w:t xml:space="preserve">MA, </w:t>
      </w:r>
    </w:p>
    <w:p w:rsidR="00683496" w:rsidRPr="00896569" w:rsidRDefault="00683496" w:rsidP="002122BD">
      <w:pPr>
        <w:numPr>
          <w:ilvl w:val="0"/>
          <w:numId w:val="43"/>
        </w:numPr>
        <w:ind w:firstLine="284"/>
        <w:jc w:val="both"/>
        <w:rPr>
          <w:rFonts w:ascii="Verdana" w:hAnsi="Verdana"/>
        </w:rPr>
      </w:pPr>
      <w:r w:rsidRPr="00A36ABD">
        <w:rPr>
          <w:rFonts w:ascii="Verdana" w:hAnsi="Verdana"/>
        </w:rPr>
        <w:t>odporności na działanie wody i mrozu (</w:t>
      </w:r>
      <w:r w:rsidRPr="00A36ABD">
        <w:rPr>
          <w:rFonts w:ascii="Verdana" w:hAnsi="Verdana"/>
          <w:i/>
        </w:rPr>
        <w:t>ITSR</w:t>
      </w:r>
      <w:r w:rsidRPr="00A36ABD">
        <w:rPr>
          <w:rFonts w:ascii="Verdana" w:hAnsi="Verdana"/>
        </w:rPr>
        <w:t xml:space="preserve">). </w:t>
      </w:r>
    </w:p>
    <w:p w:rsidR="00683496" w:rsidRDefault="00683496" w:rsidP="00683496">
      <w:pPr>
        <w:jc w:val="both"/>
        <w:rPr>
          <w:rFonts w:ascii="Verdana" w:hAnsi="Verdana" w:cs="Arial"/>
        </w:rPr>
      </w:pPr>
      <w:r w:rsidRPr="009040B8">
        <w:rPr>
          <w:rFonts w:ascii="Verdana" w:hAnsi="Verdana" w:cs="Arial"/>
        </w:rPr>
        <w:t>Na podstawie uzyskanych wyników badań Wykonawcy z próby technologicznej Przedstawiciel Zamawiającego/Inspektor Nadzoru decyduje o przeprowadzeniu badań kontrolnych oraz podejmuje decyzję o wykonaniu odcinka próbnego w</w:t>
      </w:r>
      <w:r>
        <w:rPr>
          <w:rFonts w:ascii="Verdana" w:hAnsi="Verdana" w:cs="Arial"/>
        </w:rPr>
        <w:t xml:space="preserve"> miejscu przez niego wskazanym.</w:t>
      </w:r>
    </w:p>
    <w:p w:rsidR="00683496" w:rsidRDefault="00683496" w:rsidP="00683496">
      <w:pPr>
        <w:jc w:val="both"/>
        <w:rPr>
          <w:rFonts w:ascii="Verdana" w:hAnsi="Verdana" w:cs="Arial"/>
        </w:rPr>
      </w:pPr>
      <w:r>
        <w:rPr>
          <w:rFonts w:ascii="Verdana" w:hAnsi="Verdana" w:cs="Arial"/>
        </w:rPr>
        <w:t xml:space="preserve">Tolerancje zawartości składu MMA względem składu zaprojektowanego powinny być zgodne z wymaganiami podanymi w pkt. 6.4 niniejszej SST. </w:t>
      </w:r>
    </w:p>
    <w:p w:rsidR="00683496" w:rsidRPr="009040B8" w:rsidRDefault="00683496" w:rsidP="00683496">
      <w:pPr>
        <w:jc w:val="both"/>
        <w:rPr>
          <w:rFonts w:ascii="Verdana" w:hAnsi="Verdana" w:cs="Arial"/>
        </w:rPr>
      </w:pPr>
      <w:r w:rsidRPr="009040B8">
        <w:rPr>
          <w:rFonts w:ascii="Verdana" w:hAnsi="Verdana" w:cs="Arial"/>
        </w:rPr>
        <w:t xml:space="preserve">Ewentualne wykonanie </w:t>
      </w:r>
      <w:proofErr w:type="spellStart"/>
      <w:r w:rsidRPr="009040B8">
        <w:rPr>
          <w:rFonts w:ascii="Verdana" w:hAnsi="Verdana" w:cs="Arial"/>
        </w:rPr>
        <w:t>zarobu</w:t>
      </w:r>
      <w:proofErr w:type="spellEnd"/>
      <w:r w:rsidRPr="009040B8">
        <w:rPr>
          <w:rFonts w:ascii="Verdana" w:hAnsi="Verdana" w:cs="Arial"/>
        </w:rPr>
        <w:t xml:space="preserve"> próbnego i odcinka próbnego Wykonawca jest zobowiązany uwzględnić w cenie kontraktowej.</w:t>
      </w:r>
    </w:p>
    <w:p w:rsidR="00683496" w:rsidRPr="009040B8" w:rsidRDefault="00683496" w:rsidP="00683496">
      <w:pPr>
        <w:jc w:val="both"/>
        <w:rPr>
          <w:rFonts w:ascii="Verdana" w:hAnsi="Verdana" w:cs="Arial"/>
        </w:rPr>
      </w:pPr>
    </w:p>
    <w:p w:rsidR="00683496" w:rsidRPr="009040B8" w:rsidRDefault="00683496" w:rsidP="00683496">
      <w:pPr>
        <w:jc w:val="both"/>
        <w:rPr>
          <w:rFonts w:ascii="Verdana" w:hAnsi="Verdana" w:cs="Arial"/>
          <w:b/>
        </w:rPr>
      </w:pPr>
      <w:r w:rsidRPr="009040B8">
        <w:rPr>
          <w:rFonts w:ascii="Verdana" w:hAnsi="Verdana" w:cs="Arial"/>
          <w:b/>
        </w:rPr>
        <w:t xml:space="preserve">5.6. Połączenie </w:t>
      </w:r>
      <w:proofErr w:type="spellStart"/>
      <w:r w:rsidRPr="009040B8">
        <w:rPr>
          <w:rFonts w:ascii="Verdana" w:hAnsi="Verdana" w:cs="Arial"/>
          <w:b/>
        </w:rPr>
        <w:t>międzywarstwowe</w:t>
      </w:r>
      <w:proofErr w:type="spellEnd"/>
    </w:p>
    <w:p w:rsidR="00683496" w:rsidRPr="009040B8" w:rsidRDefault="00683496" w:rsidP="00683496">
      <w:pPr>
        <w:jc w:val="both"/>
        <w:rPr>
          <w:rFonts w:ascii="Verdana" w:hAnsi="Verdana" w:cs="Arial"/>
        </w:rPr>
      </w:pPr>
      <w:r w:rsidRPr="009040B8">
        <w:rPr>
          <w:rFonts w:ascii="Verdana" w:hAnsi="Verdana" w:cs="Arial"/>
        </w:rPr>
        <w:t>Uzyskanie wymaganej trwałości nawierzchni jest uzależnione od zapewnienia połączenia między warstwami i ich współpracy w przenoszeniu obciążenia nawierzchni ruchem.</w:t>
      </w:r>
    </w:p>
    <w:p w:rsidR="00683496" w:rsidRPr="009040B8" w:rsidRDefault="00683496" w:rsidP="00683496">
      <w:pPr>
        <w:jc w:val="both"/>
        <w:rPr>
          <w:rFonts w:ascii="Verdana" w:hAnsi="Verdana" w:cs="Arial"/>
        </w:rPr>
      </w:pPr>
      <w:r w:rsidRPr="009040B8">
        <w:rPr>
          <w:rFonts w:ascii="Verdana" w:hAnsi="Verdana" w:cs="Arial"/>
        </w:rPr>
        <w:t>Podłoże powinno być skropione lepiszczem. Ma to na celu zwiększenie połączenia między warstwami konstrukcyjnymi oraz zabezpieczenie przed wnikaniem i zaleganiem wody między warstwami.</w:t>
      </w:r>
    </w:p>
    <w:p w:rsidR="00683496" w:rsidRPr="009040B8" w:rsidRDefault="00683496" w:rsidP="00683496">
      <w:pPr>
        <w:jc w:val="both"/>
        <w:rPr>
          <w:rFonts w:ascii="Verdana" w:hAnsi="Verdana" w:cs="Arial"/>
        </w:rPr>
      </w:pPr>
      <w:r w:rsidRPr="009040B8">
        <w:rPr>
          <w:rFonts w:ascii="Verdana" w:hAnsi="Verdana" w:cs="Arial"/>
        </w:rPr>
        <w:t>Skropienie lepiszczem podłoża (np. podbudowa asfaltowa, stara warstwa nawierzchni</w:t>
      </w:r>
      <w:r>
        <w:rPr>
          <w:rFonts w:ascii="Verdana" w:hAnsi="Verdana" w:cs="Arial"/>
        </w:rPr>
        <w:t>, warstwa wyrównawcza)</w:t>
      </w:r>
      <w:r w:rsidRPr="009040B8">
        <w:rPr>
          <w:rFonts w:ascii="Verdana" w:hAnsi="Verdana" w:cs="Arial"/>
        </w:rPr>
        <w:t xml:space="preserve"> przed ułożeniem warstwy </w:t>
      </w:r>
      <w:r>
        <w:rPr>
          <w:rFonts w:ascii="Verdana" w:hAnsi="Verdana" w:cs="Arial"/>
        </w:rPr>
        <w:t>wiążącej</w:t>
      </w:r>
      <w:r w:rsidRPr="009040B8">
        <w:rPr>
          <w:rFonts w:ascii="Verdana" w:hAnsi="Verdana" w:cs="Arial"/>
        </w:rPr>
        <w:t xml:space="preserve"> z betonu asfaltowego powinno być wykonane w ilości podanej w przeliczeniu na pozostałe lepiszcze, tj. 0,3 ÷ 0,5 kg/m</w:t>
      </w:r>
      <w:r w:rsidRPr="009040B8">
        <w:rPr>
          <w:rFonts w:ascii="Verdana" w:hAnsi="Verdana" w:cs="Arial"/>
          <w:vertAlign w:val="superscript"/>
        </w:rPr>
        <w:t>2</w:t>
      </w:r>
      <w:r w:rsidRPr="009040B8">
        <w:rPr>
          <w:rFonts w:ascii="Verdana" w:hAnsi="Verdana" w:cs="Arial"/>
        </w:rPr>
        <w:t>, przy czym:</w:t>
      </w:r>
    </w:p>
    <w:p w:rsidR="00683496" w:rsidRPr="009040B8" w:rsidRDefault="00683496" w:rsidP="002122BD">
      <w:pPr>
        <w:numPr>
          <w:ilvl w:val="0"/>
          <w:numId w:val="34"/>
        </w:numPr>
        <w:overflowPunct w:val="0"/>
        <w:autoSpaceDE w:val="0"/>
        <w:autoSpaceDN w:val="0"/>
        <w:adjustRightInd w:val="0"/>
        <w:jc w:val="both"/>
        <w:textAlignment w:val="baseline"/>
        <w:rPr>
          <w:rFonts w:ascii="Verdana" w:hAnsi="Verdana" w:cs="Arial"/>
        </w:rPr>
      </w:pPr>
      <w:r w:rsidRPr="009040B8">
        <w:rPr>
          <w:rFonts w:ascii="Verdana" w:hAnsi="Verdana" w:cs="Arial"/>
        </w:rPr>
        <w:t>zaleca się stosować emulsję modyfikowaną polimerem,</w:t>
      </w:r>
    </w:p>
    <w:p w:rsidR="00683496" w:rsidRPr="009040B8" w:rsidRDefault="00683496" w:rsidP="002122BD">
      <w:pPr>
        <w:numPr>
          <w:ilvl w:val="0"/>
          <w:numId w:val="34"/>
        </w:numPr>
        <w:overflowPunct w:val="0"/>
        <w:autoSpaceDE w:val="0"/>
        <w:autoSpaceDN w:val="0"/>
        <w:adjustRightInd w:val="0"/>
        <w:jc w:val="both"/>
        <w:textAlignment w:val="baseline"/>
        <w:rPr>
          <w:rFonts w:ascii="Verdana" w:hAnsi="Verdana" w:cs="Arial"/>
        </w:rPr>
      </w:pPr>
      <w:r w:rsidRPr="009040B8">
        <w:rPr>
          <w:rFonts w:ascii="Verdana" w:hAnsi="Verdana" w:cs="Aria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683496" w:rsidRPr="009040B8" w:rsidRDefault="00683496" w:rsidP="002122BD">
      <w:pPr>
        <w:numPr>
          <w:ilvl w:val="0"/>
          <w:numId w:val="34"/>
        </w:numPr>
        <w:overflowPunct w:val="0"/>
        <w:autoSpaceDE w:val="0"/>
        <w:autoSpaceDN w:val="0"/>
        <w:adjustRightInd w:val="0"/>
        <w:jc w:val="both"/>
        <w:textAlignment w:val="baseline"/>
        <w:rPr>
          <w:rFonts w:ascii="Verdana" w:hAnsi="Verdana" w:cs="Arial"/>
        </w:rPr>
      </w:pPr>
      <w:r w:rsidRPr="009040B8">
        <w:rPr>
          <w:rFonts w:ascii="Verdana" w:hAnsi="Verdana" w:cs="Arial"/>
        </w:rPr>
        <w:t xml:space="preserve">dobrana ilość lepiszcza musi zapewnić wymaganą </w:t>
      </w:r>
      <w:proofErr w:type="spellStart"/>
      <w:r w:rsidRPr="009040B8">
        <w:rPr>
          <w:rFonts w:ascii="Verdana" w:hAnsi="Verdana" w:cs="Arial"/>
        </w:rPr>
        <w:t>sczepność</w:t>
      </w:r>
      <w:proofErr w:type="spellEnd"/>
      <w:r w:rsidRPr="009040B8">
        <w:rPr>
          <w:rFonts w:ascii="Verdana" w:hAnsi="Verdana" w:cs="Arial"/>
        </w:rPr>
        <w:t xml:space="preserve"> </w:t>
      </w:r>
      <w:proofErr w:type="spellStart"/>
      <w:r w:rsidRPr="009040B8">
        <w:rPr>
          <w:rFonts w:ascii="Verdana" w:hAnsi="Verdana" w:cs="Arial"/>
        </w:rPr>
        <w:t>międzywarstwową</w:t>
      </w:r>
      <w:proofErr w:type="spellEnd"/>
    </w:p>
    <w:p w:rsidR="00683496" w:rsidRPr="009040B8" w:rsidRDefault="00683496" w:rsidP="00683496">
      <w:pPr>
        <w:jc w:val="both"/>
        <w:rPr>
          <w:rFonts w:ascii="Verdana" w:hAnsi="Verdana" w:cs="Arial"/>
        </w:rPr>
      </w:pPr>
      <w:r w:rsidRPr="009040B8">
        <w:rPr>
          <w:rFonts w:ascii="Verdana" w:hAnsi="Verdana" w:cs="Aria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683496" w:rsidRPr="009040B8" w:rsidRDefault="00683496" w:rsidP="00683496">
      <w:pPr>
        <w:jc w:val="both"/>
        <w:rPr>
          <w:rFonts w:ascii="Verdana" w:hAnsi="Verdana" w:cs="Arial"/>
        </w:rPr>
      </w:pPr>
      <w:r w:rsidRPr="009040B8">
        <w:rPr>
          <w:rFonts w:ascii="Verdana" w:hAnsi="Verdana" w:cs="Arial"/>
        </w:rPr>
        <w:t>W wypadku stosowania emulsji asfaltowej podłoże powinno być skropione 0,5 h przed układaniem warstwy asfaltowej w celu odparowania wody.</w:t>
      </w:r>
    </w:p>
    <w:p w:rsidR="00683496" w:rsidRPr="009040B8" w:rsidRDefault="00683496" w:rsidP="00683496">
      <w:pPr>
        <w:jc w:val="both"/>
        <w:rPr>
          <w:rFonts w:ascii="Verdana" w:hAnsi="Verdana" w:cs="Arial"/>
        </w:rPr>
      </w:pPr>
      <w:r w:rsidRPr="009040B8">
        <w:rPr>
          <w:rFonts w:ascii="Verdana" w:hAnsi="Verdana" w:cs="Arial"/>
        </w:rPr>
        <w:t>Czas ten nie dotyczy skrapiania rampą zamontowaną na rozkładarce.</w:t>
      </w:r>
    </w:p>
    <w:p w:rsidR="00683496" w:rsidRPr="009040B8" w:rsidRDefault="00683496" w:rsidP="00683496">
      <w:pPr>
        <w:jc w:val="both"/>
        <w:rPr>
          <w:rFonts w:ascii="Verdana" w:hAnsi="Verdana" w:cs="Arial"/>
        </w:rPr>
      </w:pPr>
      <w:r w:rsidRPr="009040B8">
        <w:rPr>
          <w:rFonts w:ascii="Verdana" w:hAnsi="Verdana" w:cs="Arial"/>
        </w:rPr>
        <w:t>Wykonawca jest zobowiązany prowadzić badania wydatku skropienia i przedstawić je na żądanie Przedstawiciela Zamawiającego/Inspektora Nadzoru.</w:t>
      </w:r>
    </w:p>
    <w:p w:rsidR="00683496" w:rsidRDefault="00683496" w:rsidP="00683496">
      <w:pPr>
        <w:jc w:val="both"/>
        <w:rPr>
          <w:rFonts w:ascii="Verdana" w:hAnsi="Verdana" w:cs="Arial"/>
        </w:rPr>
      </w:pPr>
      <w:r>
        <w:rPr>
          <w:rFonts w:ascii="Verdana" w:hAnsi="Verdana" w:cs="Arial"/>
        </w:rPr>
        <w:t xml:space="preserve">Badanie </w:t>
      </w:r>
      <w:proofErr w:type="spellStart"/>
      <w:r>
        <w:rPr>
          <w:rFonts w:ascii="Verdana" w:hAnsi="Verdana" w:cs="Arial"/>
        </w:rPr>
        <w:t>sczepności</w:t>
      </w:r>
      <w:proofErr w:type="spellEnd"/>
      <w:r>
        <w:rPr>
          <w:rFonts w:ascii="Verdana" w:hAnsi="Verdana" w:cs="Arial"/>
        </w:rPr>
        <w:t xml:space="preserve"> </w:t>
      </w:r>
      <w:proofErr w:type="spellStart"/>
      <w:r>
        <w:rPr>
          <w:rFonts w:ascii="Verdana" w:hAnsi="Verdana" w:cs="Arial"/>
        </w:rPr>
        <w:t>międzywarstwowej</w:t>
      </w:r>
      <w:proofErr w:type="spellEnd"/>
      <w:r>
        <w:rPr>
          <w:rFonts w:ascii="Verdana" w:hAnsi="Verdana" w:cs="Arial"/>
        </w:rPr>
        <w:t xml:space="preserve"> należy wykonać wg metody </w:t>
      </w:r>
      <w:proofErr w:type="spellStart"/>
      <w:r>
        <w:rPr>
          <w:rFonts w:ascii="Verdana" w:hAnsi="Verdana" w:cs="Arial"/>
        </w:rPr>
        <w:t>Leutnera</w:t>
      </w:r>
      <w:proofErr w:type="spellEnd"/>
      <w:r>
        <w:rPr>
          <w:rFonts w:ascii="Verdana" w:hAnsi="Verdana" w:cs="Arial"/>
        </w:rPr>
        <w:t xml:space="preserve"> na próbkach cylindrycznych ø 150 mm lub za zgodą </w:t>
      </w:r>
      <w:r w:rsidRPr="006D2270">
        <w:rPr>
          <w:rFonts w:ascii="Verdana" w:hAnsi="Verdana" w:cs="Arial"/>
        </w:rPr>
        <w:t>Przedstawiciela Zamawiającego/Inspektor</w:t>
      </w:r>
      <w:r>
        <w:rPr>
          <w:rFonts w:ascii="Verdana" w:hAnsi="Verdana" w:cs="Arial"/>
        </w:rPr>
        <w:t>a Nadzoru na próbkach cylindrycznych</w:t>
      </w:r>
      <w:r w:rsidRPr="00295815">
        <w:rPr>
          <w:rFonts w:ascii="Verdana" w:hAnsi="Verdana" w:cs="Arial"/>
        </w:rPr>
        <w:t xml:space="preserve"> </w:t>
      </w:r>
      <w:r>
        <w:rPr>
          <w:rFonts w:ascii="Verdana" w:hAnsi="Verdana" w:cs="Arial"/>
        </w:rPr>
        <w:t xml:space="preserve">ø 100 mm, zgodnie z „Instrukcją laboratoryjnego badania </w:t>
      </w:r>
      <w:proofErr w:type="spellStart"/>
      <w:r>
        <w:rPr>
          <w:rFonts w:ascii="Verdana" w:hAnsi="Verdana" w:cs="Arial"/>
        </w:rPr>
        <w:t>sczepności</w:t>
      </w:r>
      <w:proofErr w:type="spellEnd"/>
      <w:r>
        <w:rPr>
          <w:rFonts w:ascii="Verdana" w:hAnsi="Verdana" w:cs="Arial"/>
        </w:rPr>
        <w:t xml:space="preserve"> </w:t>
      </w:r>
      <w:proofErr w:type="spellStart"/>
      <w:r>
        <w:rPr>
          <w:rFonts w:ascii="Verdana" w:hAnsi="Verdana" w:cs="Arial"/>
        </w:rPr>
        <w:t>międzywarstwowej</w:t>
      </w:r>
      <w:proofErr w:type="spellEnd"/>
      <w:r>
        <w:rPr>
          <w:rFonts w:ascii="Verdana" w:hAnsi="Verdana" w:cs="Arial"/>
        </w:rPr>
        <w:t xml:space="preserve"> warstw asfaltowych wg metody </w:t>
      </w:r>
      <w:proofErr w:type="spellStart"/>
      <w:r>
        <w:rPr>
          <w:rFonts w:ascii="Verdana" w:hAnsi="Verdana" w:cs="Arial"/>
        </w:rPr>
        <w:t>Leutnera</w:t>
      </w:r>
      <w:proofErr w:type="spellEnd"/>
      <w:r>
        <w:rPr>
          <w:rFonts w:ascii="Verdana" w:hAnsi="Verdana" w:cs="Arial"/>
        </w:rPr>
        <w:t xml:space="preserve"> i Wymagania techniczne </w:t>
      </w:r>
      <w:proofErr w:type="spellStart"/>
      <w:r>
        <w:rPr>
          <w:rFonts w:ascii="Verdana" w:hAnsi="Verdana" w:cs="Arial"/>
        </w:rPr>
        <w:t>sczepności</w:t>
      </w:r>
      <w:proofErr w:type="spellEnd"/>
      <w:r>
        <w:rPr>
          <w:rFonts w:ascii="Verdana" w:hAnsi="Verdana" w:cs="Arial"/>
        </w:rPr>
        <w:t xml:space="preserve">, Politechnika Gdańska 2014 [68]. </w:t>
      </w:r>
    </w:p>
    <w:p w:rsidR="00683496" w:rsidRDefault="00683496" w:rsidP="00683496">
      <w:pPr>
        <w:rPr>
          <w:rFonts w:ascii="Verdana" w:hAnsi="Verdana" w:cs="Arial"/>
        </w:rPr>
      </w:pPr>
      <w:r w:rsidRPr="009040B8">
        <w:rPr>
          <w:rFonts w:ascii="Verdana" w:hAnsi="Verdana" w:cs="Arial"/>
        </w:rPr>
        <w:t xml:space="preserve">Wymagania </w:t>
      </w:r>
      <w:r>
        <w:rPr>
          <w:rFonts w:ascii="Verdana" w:hAnsi="Verdana" w:cs="Arial"/>
        </w:rPr>
        <w:t>wytrzymałość na ścinanie połączenia pomiędzy</w:t>
      </w:r>
      <w:r w:rsidRPr="009040B8">
        <w:rPr>
          <w:rFonts w:ascii="Verdana" w:hAnsi="Verdana" w:cs="Arial"/>
        </w:rPr>
        <w:t>:</w:t>
      </w:r>
    </w:p>
    <w:p w:rsidR="00683496" w:rsidRPr="009040B8" w:rsidRDefault="00683496" w:rsidP="00683496">
      <w:pPr>
        <w:rPr>
          <w:rFonts w:ascii="Verdana" w:hAnsi="Verdana" w:cs="Arial"/>
        </w:rPr>
      </w:pPr>
      <w:r>
        <w:rPr>
          <w:rFonts w:ascii="Verdana" w:hAnsi="Verdana" w:cs="Arial"/>
        </w:rPr>
        <w:t xml:space="preserve">- warstwa podbudowy/wiążąca, wyrównawcza                         </w:t>
      </w:r>
      <w:r w:rsidRPr="009040B8">
        <w:rPr>
          <w:rFonts w:ascii="Verdana" w:hAnsi="Verdana" w:cs="Arial"/>
        </w:rPr>
        <w:t xml:space="preserve">≥ </w:t>
      </w:r>
      <w:r w:rsidRPr="009040B8">
        <w:rPr>
          <w:rFonts w:ascii="Verdana" w:hAnsi="Verdana" w:cs="Arial"/>
          <w:b/>
        </w:rPr>
        <w:t>0,</w:t>
      </w:r>
      <w:r>
        <w:rPr>
          <w:rFonts w:ascii="Verdana" w:hAnsi="Verdana" w:cs="Arial"/>
          <w:b/>
        </w:rPr>
        <w:t>7</w:t>
      </w:r>
      <w:r w:rsidRPr="009040B8">
        <w:rPr>
          <w:rFonts w:ascii="Verdana" w:hAnsi="Verdana" w:cs="Arial"/>
          <w:b/>
        </w:rPr>
        <w:t xml:space="preserve"> </w:t>
      </w:r>
      <w:proofErr w:type="spellStart"/>
      <w:r w:rsidRPr="009040B8">
        <w:rPr>
          <w:rFonts w:ascii="Verdana" w:hAnsi="Verdana" w:cs="Arial"/>
          <w:b/>
        </w:rPr>
        <w:t>MPa</w:t>
      </w:r>
      <w:proofErr w:type="spellEnd"/>
      <w:r w:rsidRPr="009040B8">
        <w:rPr>
          <w:rFonts w:ascii="Verdana" w:hAnsi="Verdana" w:cs="Arial"/>
          <w:b/>
        </w:rPr>
        <w:br/>
      </w:r>
      <w:r>
        <w:rPr>
          <w:rFonts w:ascii="Verdana" w:hAnsi="Verdana" w:cs="Arial"/>
        </w:rPr>
        <w:t xml:space="preserve">- </w:t>
      </w:r>
      <w:r w:rsidRPr="009040B8">
        <w:rPr>
          <w:rFonts w:ascii="Verdana" w:hAnsi="Verdana" w:cs="Arial"/>
        </w:rPr>
        <w:t xml:space="preserve">warstwa wyrównawcza/wiążąca </w:t>
      </w:r>
      <w:r w:rsidRPr="009040B8">
        <w:rPr>
          <w:rFonts w:ascii="Verdana" w:hAnsi="Verdana" w:cs="Arial"/>
        </w:rPr>
        <w:tab/>
      </w:r>
      <w:r w:rsidRPr="009040B8">
        <w:rPr>
          <w:rFonts w:ascii="Verdana" w:hAnsi="Verdana" w:cs="Arial"/>
        </w:rPr>
        <w:tab/>
      </w:r>
      <w:r w:rsidRPr="009040B8">
        <w:rPr>
          <w:rFonts w:ascii="Verdana" w:hAnsi="Verdana" w:cs="Arial"/>
        </w:rPr>
        <w:tab/>
      </w:r>
      <w:r>
        <w:rPr>
          <w:rFonts w:ascii="Verdana" w:hAnsi="Verdana" w:cs="Arial"/>
        </w:rPr>
        <w:t xml:space="preserve">                    </w:t>
      </w:r>
      <w:r w:rsidRPr="009040B8">
        <w:rPr>
          <w:rFonts w:ascii="Verdana" w:hAnsi="Verdana" w:cs="Arial"/>
        </w:rPr>
        <w:t xml:space="preserve">≥ </w:t>
      </w:r>
      <w:r w:rsidRPr="009040B8">
        <w:rPr>
          <w:rFonts w:ascii="Verdana" w:hAnsi="Verdana" w:cs="Arial"/>
          <w:b/>
        </w:rPr>
        <w:t xml:space="preserve">0,7 </w:t>
      </w:r>
      <w:proofErr w:type="spellStart"/>
      <w:r w:rsidRPr="009040B8">
        <w:rPr>
          <w:rFonts w:ascii="Verdana" w:hAnsi="Verdana" w:cs="Arial"/>
          <w:b/>
        </w:rPr>
        <w:t>MPa</w:t>
      </w:r>
      <w:proofErr w:type="spellEnd"/>
    </w:p>
    <w:p w:rsidR="00683496" w:rsidRPr="009040B8" w:rsidRDefault="00683496" w:rsidP="00683496">
      <w:pPr>
        <w:jc w:val="both"/>
        <w:rPr>
          <w:rFonts w:ascii="Verdana" w:hAnsi="Verdana" w:cs="Arial"/>
          <w:b/>
        </w:rPr>
      </w:pPr>
      <w:r>
        <w:rPr>
          <w:rFonts w:ascii="Verdana" w:hAnsi="Verdana" w:cs="Arial"/>
        </w:rPr>
        <w:t xml:space="preserve">- </w:t>
      </w:r>
      <w:r w:rsidRPr="009040B8">
        <w:rPr>
          <w:rFonts w:ascii="Verdana" w:hAnsi="Verdana" w:cs="Arial"/>
        </w:rPr>
        <w:t>stara warstwa nawierzchni/</w:t>
      </w:r>
      <w:proofErr w:type="spellStart"/>
      <w:r w:rsidRPr="009040B8">
        <w:rPr>
          <w:rFonts w:ascii="Verdana" w:hAnsi="Verdana" w:cs="Arial"/>
        </w:rPr>
        <w:t>geosiatka</w:t>
      </w:r>
      <w:proofErr w:type="spellEnd"/>
      <w:r w:rsidRPr="009040B8">
        <w:rPr>
          <w:rFonts w:ascii="Verdana" w:hAnsi="Verdana" w:cs="Arial"/>
        </w:rPr>
        <w:t>/wiążąca</w:t>
      </w:r>
      <w:r>
        <w:rPr>
          <w:rFonts w:ascii="Verdana" w:hAnsi="Verdana" w:cs="Arial"/>
        </w:rPr>
        <w:t>, wyrównawcza</w:t>
      </w:r>
      <w:r w:rsidRPr="009040B8">
        <w:rPr>
          <w:rFonts w:ascii="Verdana" w:hAnsi="Verdana" w:cs="Arial"/>
        </w:rPr>
        <w:tab/>
        <w:t xml:space="preserve">≥ </w:t>
      </w:r>
      <w:r w:rsidRPr="009040B8">
        <w:rPr>
          <w:rFonts w:ascii="Verdana" w:hAnsi="Verdana" w:cs="Arial"/>
          <w:b/>
        </w:rPr>
        <w:t xml:space="preserve">1,0 </w:t>
      </w:r>
      <w:proofErr w:type="spellStart"/>
      <w:r w:rsidRPr="009040B8">
        <w:rPr>
          <w:rFonts w:ascii="Verdana" w:hAnsi="Verdana" w:cs="Arial"/>
          <w:b/>
        </w:rPr>
        <w:t>MPa</w:t>
      </w:r>
      <w:proofErr w:type="spellEnd"/>
    </w:p>
    <w:p w:rsidR="00683496" w:rsidRPr="009040B8" w:rsidRDefault="00683496" w:rsidP="00683496">
      <w:pPr>
        <w:rPr>
          <w:rFonts w:ascii="Verdana" w:hAnsi="Verdana" w:cs="Arial"/>
        </w:rPr>
      </w:pPr>
    </w:p>
    <w:p w:rsidR="00683496" w:rsidRPr="009040B8" w:rsidRDefault="00683496" w:rsidP="00683496">
      <w:pPr>
        <w:pStyle w:val="Bullet"/>
        <w:spacing w:after="20"/>
        <w:rPr>
          <w:rFonts w:ascii="Verdana" w:hAnsi="Verdana" w:cs="Arial"/>
          <w:color w:val="auto"/>
          <w:sz w:val="20"/>
        </w:rPr>
      </w:pPr>
      <w:r w:rsidRPr="009040B8">
        <w:rPr>
          <w:rFonts w:ascii="Verdana" w:hAnsi="Verdana" w:cs="Arial"/>
          <w:color w:val="auto"/>
          <w:sz w:val="20"/>
        </w:rPr>
        <w:t xml:space="preserve">5.7. </w:t>
      </w:r>
      <w:r w:rsidRPr="009040B8">
        <w:rPr>
          <w:rFonts w:ascii="Verdana" w:hAnsi="Verdana" w:cs="Arial"/>
          <w:color w:val="auto"/>
          <w:sz w:val="20"/>
        </w:rPr>
        <w:tab/>
        <w:t>Odcinek próbny</w:t>
      </w:r>
    </w:p>
    <w:p w:rsidR="00683496" w:rsidRPr="009040B8" w:rsidRDefault="00683496" w:rsidP="00683496">
      <w:pPr>
        <w:shd w:val="clear" w:color="auto" w:fill="FFFFFF"/>
        <w:tabs>
          <w:tab w:val="left" w:pos="4962"/>
        </w:tabs>
        <w:spacing w:after="20"/>
        <w:jc w:val="both"/>
        <w:rPr>
          <w:rFonts w:ascii="Verdana" w:hAnsi="Verdana" w:cs="Arial"/>
        </w:rPr>
      </w:pPr>
      <w:r w:rsidRPr="009040B8">
        <w:rPr>
          <w:rFonts w:ascii="Verdana" w:hAnsi="Verdana" w:cs="Arial"/>
        </w:rPr>
        <w:lastRenderedPageBreak/>
        <w:t>Na co najmniej 5 dni roboczych przed przystąpieniem do wykonywania warstwy wiążącej, przewiduje się wykonanie odcinka próbnego. O wykonaniu odcinka próbnego decyduje Inspektor Nadzoru na podstawie wyników uzyskanych z próby technologicznej oraz doświadczenia w stosowaniu danej recepty na drogach krajowych województwa warmińsko-mazurskiego.</w:t>
      </w:r>
    </w:p>
    <w:p w:rsidR="00683496" w:rsidRPr="009040B8" w:rsidRDefault="00683496" w:rsidP="00683496">
      <w:pPr>
        <w:shd w:val="clear" w:color="auto" w:fill="FFFFFF"/>
        <w:spacing w:after="20"/>
        <w:jc w:val="both"/>
        <w:rPr>
          <w:rFonts w:ascii="Verdana" w:hAnsi="Verdana" w:cs="Arial"/>
        </w:rPr>
      </w:pPr>
      <w:r w:rsidRPr="009040B8">
        <w:rPr>
          <w:rFonts w:ascii="Verdana" w:hAnsi="Verdana" w:cs="Arial"/>
        </w:rPr>
        <w:t>Odcinek próbny powinien być zlokalizowany w miejscu zatwierdzonym przez Przedstawiciela Zamawiającego/Inspektora Nadzoru. Powierzchnia odcinka próbnego powinna wynosić co najmniej 150 m</w:t>
      </w:r>
      <w:r w:rsidRPr="009040B8">
        <w:rPr>
          <w:rFonts w:ascii="Verdana" w:hAnsi="Verdana" w:cs="Arial"/>
          <w:vertAlign w:val="superscript"/>
        </w:rPr>
        <w:t>2</w:t>
      </w:r>
      <w:r w:rsidRPr="009040B8">
        <w:rPr>
          <w:rFonts w:ascii="Verdana" w:hAnsi="Verdana" w:cs="Arial"/>
        </w:rPr>
        <w:t>, a długość co najmniej 50 m.</w:t>
      </w:r>
    </w:p>
    <w:p w:rsidR="00683496" w:rsidRPr="009040B8" w:rsidRDefault="00683496" w:rsidP="00683496">
      <w:pPr>
        <w:shd w:val="clear" w:color="auto" w:fill="FFFFFF"/>
        <w:spacing w:after="20"/>
        <w:jc w:val="both"/>
        <w:rPr>
          <w:rFonts w:ascii="Verdana" w:hAnsi="Verdana" w:cs="Arial"/>
          <w:u w:val="single"/>
        </w:rPr>
      </w:pPr>
      <w:r w:rsidRPr="009040B8">
        <w:rPr>
          <w:rFonts w:ascii="Verdana" w:hAnsi="Verdana" w:cs="Arial"/>
          <w:u w:val="single"/>
        </w:rPr>
        <w:t xml:space="preserve">Wartość wykonania odcinka próbnego należy wkalkulować w cenę jednostki obmiarowej. </w:t>
      </w:r>
    </w:p>
    <w:p w:rsidR="00683496" w:rsidRPr="009040B8" w:rsidRDefault="00683496" w:rsidP="00683496">
      <w:pPr>
        <w:shd w:val="clear" w:color="auto" w:fill="FFFFFF"/>
        <w:spacing w:after="20"/>
        <w:jc w:val="both"/>
        <w:rPr>
          <w:rFonts w:ascii="Verdana" w:hAnsi="Verdana" w:cs="Arial"/>
        </w:rPr>
      </w:pPr>
      <w:r w:rsidRPr="009040B8">
        <w:rPr>
          <w:rFonts w:ascii="Verdana" w:hAnsi="Verdana" w:cs="Arial"/>
        </w:rPr>
        <w:t>Każdorazowo odcinek próbny należy wykonać:</w:t>
      </w:r>
    </w:p>
    <w:p w:rsidR="00683496" w:rsidRPr="009040B8"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przy zmianie recepty mieszanki mineralno-asfaltowej,</w:t>
      </w:r>
    </w:p>
    <w:p w:rsidR="00683496" w:rsidRPr="009040B8"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przy zmianie wytwórni,</w:t>
      </w:r>
    </w:p>
    <w:p w:rsidR="00683496" w:rsidRPr="009040B8"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przy zmianie dostawcy kruszyw lub asfaltu,</w:t>
      </w:r>
    </w:p>
    <w:p w:rsidR="00683496" w:rsidRPr="009040B8" w:rsidRDefault="00683496" w:rsidP="002122BD">
      <w:pPr>
        <w:widowControl w:val="0"/>
        <w:numPr>
          <w:ilvl w:val="0"/>
          <w:numId w:val="38"/>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w wypadku zaistnienia wątpliwości co do jakości produkowanej mieszanki.</w:t>
      </w:r>
    </w:p>
    <w:p w:rsidR="00683496" w:rsidRPr="009040B8" w:rsidRDefault="00683496" w:rsidP="00683496">
      <w:pPr>
        <w:widowControl w:val="0"/>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Celem wykonania odcinka próbnego jest:</w:t>
      </w:r>
    </w:p>
    <w:p w:rsidR="00683496" w:rsidRPr="009040B8"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9040B8">
        <w:rPr>
          <w:rFonts w:ascii="Verdana" w:hAnsi="Verdana" w:cs="Arial"/>
        </w:rPr>
        <w:t>stwierdzenie czy użyty sprzęt jest właściwy,</w:t>
      </w:r>
    </w:p>
    <w:p w:rsidR="00683496" w:rsidRPr="009040B8" w:rsidRDefault="00683496" w:rsidP="002122BD">
      <w:pPr>
        <w:widowControl w:val="0"/>
        <w:numPr>
          <w:ilvl w:val="0"/>
          <w:numId w:val="39"/>
        </w:numPr>
        <w:shd w:val="clear" w:color="auto" w:fill="FFFFFF"/>
        <w:tabs>
          <w:tab w:val="left" w:pos="413"/>
        </w:tabs>
        <w:autoSpaceDE w:val="0"/>
        <w:autoSpaceDN w:val="0"/>
        <w:adjustRightInd w:val="0"/>
        <w:spacing w:after="20"/>
        <w:ind w:left="426" w:hanging="426"/>
        <w:jc w:val="both"/>
        <w:rPr>
          <w:rFonts w:ascii="Verdana" w:hAnsi="Verdana" w:cs="Arial"/>
        </w:rPr>
      </w:pPr>
      <w:r w:rsidRPr="009040B8">
        <w:rPr>
          <w:rFonts w:ascii="Verdana" w:hAnsi="Verdana" w:cs="Arial"/>
        </w:rPr>
        <w:t>określenie grubości warstwy mieszanki mineralno-asfaltowej przed zagęszczeniem, koniecznej do uzyskania wymaganej grubości warstwy,</w:t>
      </w:r>
    </w:p>
    <w:p w:rsidR="00683496" w:rsidRPr="009040B8" w:rsidRDefault="00683496" w:rsidP="00683496">
      <w:pPr>
        <w:widowControl w:val="0"/>
        <w:shd w:val="clear" w:color="auto" w:fill="FFFFFF"/>
        <w:tabs>
          <w:tab w:val="left" w:pos="426"/>
        </w:tabs>
        <w:autoSpaceDE w:val="0"/>
        <w:autoSpaceDN w:val="0"/>
        <w:adjustRightInd w:val="0"/>
        <w:ind w:left="426" w:hanging="426"/>
        <w:jc w:val="both"/>
        <w:rPr>
          <w:rFonts w:ascii="Verdana" w:hAnsi="Verdana" w:cs="Arial"/>
        </w:rPr>
      </w:pPr>
      <w:r>
        <w:rPr>
          <w:rFonts w:ascii="Verdana" w:hAnsi="Verdana" w:cs="Arial"/>
        </w:rPr>
        <w:t xml:space="preserve">-   </w:t>
      </w:r>
      <w:r w:rsidRPr="009040B8">
        <w:rPr>
          <w:rFonts w:ascii="Verdana" w:hAnsi="Verdana" w:cs="Arial"/>
        </w:rPr>
        <w:t>określenie potrzebnej ilości przejść walców dla uzyskania prawidłowego zagęszczenia warstwy,</w:t>
      </w:r>
    </w:p>
    <w:p w:rsidR="00683496" w:rsidRDefault="00683496" w:rsidP="00683496">
      <w:pPr>
        <w:widowControl w:val="0"/>
        <w:shd w:val="clear" w:color="auto" w:fill="FFFFFF"/>
        <w:tabs>
          <w:tab w:val="left" w:pos="426"/>
        </w:tabs>
        <w:autoSpaceDE w:val="0"/>
        <w:autoSpaceDN w:val="0"/>
        <w:adjustRightInd w:val="0"/>
        <w:ind w:left="426" w:hanging="426"/>
        <w:jc w:val="both"/>
        <w:rPr>
          <w:rFonts w:ascii="Verdana" w:hAnsi="Verdana" w:cs="Arial"/>
        </w:rPr>
      </w:pPr>
      <w:r w:rsidRPr="009040B8">
        <w:rPr>
          <w:rFonts w:ascii="Verdana" w:hAnsi="Verdana" w:cs="Arial"/>
        </w:rPr>
        <w:t>-</w:t>
      </w:r>
      <w:r w:rsidRPr="009040B8">
        <w:rPr>
          <w:rFonts w:ascii="Verdana" w:hAnsi="Verdana" w:cs="Arial"/>
        </w:rPr>
        <w:tab/>
        <w:t>sprawdzenie rzeczywistych parametrów wbudowanej warstwy uzyskanych w badaniu typu (np. koleinowanie).</w:t>
      </w:r>
    </w:p>
    <w:p w:rsidR="00683496" w:rsidRPr="002876EA" w:rsidRDefault="00683496" w:rsidP="00683496">
      <w:pPr>
        <w:shd w:val="clear" w:color="auto" w:fill="FFFFFF"/>
        <w:jc w:val="both"/>
        <w:rPr>
          <w:rFonts w:ascii="Verdana" w:hAnsi="Verdana" w:cs="Arial"/>
        </w:rPr>
      </w:pPr>
      <w:r w:rsidRPr="002876EA">
        <w:rPr>
          <w:rFonts w:ascii="Verdana" w:hAnsi="Verdana" w:cs="Arial"/>
        </w:rPr>
        <w:t xml:space="preserve">Do wykonania odcinka próbnego Wykonawca użyje takich materiałów oraz sprzętu, jakie będą stosowane do wykonania warstwy nawierzchni. </w:t>
      </w:r>
    </w:p>
    <w:p w:rsidR="00683496" w:rsidRPr="002876EA" w:rsidRDefault="00683496" w:rsidP="00683496">
      <w:pPr>
        <w:jc w:val="both"/>
        <w:rPr>
          <w:rFonts w:ascii="Verdana" w:hAnsi="Verdana" w:cs="Arial"/>
        </w:rPr>
      </w:pPr>
      <w:r w:rsidRPr="002876EA">
        <w:rPr>
          <w:rFonts w:ascii="Verdana" w:hAnsi="Verdana" w:cs="Arial"/>
        </w:rPr>
        <w:t>Wykonawca może przystąpić do wykonywania warstwy nawierzchni po zaakceptowaniu przez Przedstawiciela Zamawiającego/Inspektora Nadzoru wyników badań i prób z odcinka próbnego warstwy.</w:t>
      </w:r>
      <w:r>
        <w:rPr>
          <w:rFonts w:ascii="Verdana" w:hAnsi="Verdana" w:cs="Arial"/>
        </w:rPr>
        <w:t xml:space="preserve"> Tolerancje zawartości składu MMA względem składu zaprojektowanego powinny być zgodne z wymaganiami podanymi w pkt. 6.4 niniejszej SST. </w:t>
      </w:r>
    </w:p>
    <w:p w:rsidR="00683496" w:rsidRDefault="00683496" w:rsidP="00683496">
      <w:pPr>
        <w:pStyle w:val="Tekstpodstawowy"/>
        <w:spacing w:after="0"/>
        <w:jc w:val="both"/>
        <w:rPr>
          <w:rFonts w:ascii="Verdana" w:hAnsi="Verdana" w:cs="Arial"/>
        </w:rPr>
      </w:pPr>
      <w:r>
        <w:rPr>
          <w:rFonts w:ascii="Verdana" w:hAnsi="Verdana" w:cs="Arial"/>
        </w:rPr>
        <w:t>Z każdego odcinka próbnego</w:t>
      </w:r>
      <w:r w:rsidRPr="002876EA">
        <w:rPr>
          <w:rFonts w:ascii="Verdana" w:hAnsi="Verdana" w:cs="Arial"/>
        </w:rPr>
        <w:t xml:space="preserve"> pobiera się próbki, na bazie których przeprowadza się badania składu oraz właściwości mieszanki </w:t>
      </w:r>
      <w:r>
        <w:rPr>
          <w:rFonts w:ascii="Verdana" w:hAnsi="Verdana" w:cs="Arial"/>
        </w:rPr>
        <w:t>M</w:t>
      </w:r>
      <w:r w:rsidRPr="002876EA">
        <w:rPr>
          <w:rFonts w:ascii="Verdana" w:hAnsi="Verdana" w:cs="Arial"/>
        </w:rPr>
        <w:t>MA przewidzianych w niniejszej SST oraz</w:t>
      </w:r>
      <w:r>
        <w:rPr>
          <w:rFonts w:ascii="Verdana" w:hAnsi="Verdana" w:cs="Arial"/>
        </w:rPr>
        <w:t xml:space="preserve"> z wykonanych odwiertów badanie wskaźnika zagęszczenia i wolnej przestrzeni w warstwie,</w:t>
      </w:r>
      <w:r w:rsidRPr="002876EA">
        <w:rPr>
          <w:rFonts w:ascii="Verdana" w:hAnsi="Verdana" w:cs="Arial"/>
        </w:rPr>
        <w:t xml:space="preserve"> badanie </w:t>
      </w:r>
      <w:proofErr w:type="spellStart"/>
      <w:r w:rsidRPr="002876EA">
        <w:rPr>
          <w:rFonts w:ascii="Verdana" w:hAnsi="Verdana" w:cs="Arial"/>
        </w:rPr>
        <w:t>sczepności</w:t>
      </w:r>
      <w:proofErr w:type="spellEnd"/>
      <w:r w:rsidRPr="002876EA">
        <w:rPr>
          <w:rFonts w:ascii="Verdana" w:hAnsi="Verdana" w:cs="Arial"/>
        </w:rPr>
        <w:t xml:space="preserve"> </w:t>
      </w:r>
      <w:proofErr w:type="spellStart"/>
      <w:r w:rsidRPr="002876EA">
        <w:rPr>
          <w:rFonts w:ascii="Verdana" w:hAnsi="Verdana" w:cs="Arial"/>
        </w:rPr>
        <w:t>międzywarstwowej</w:t>
      </w:r>
      <w:proofErr w:type="spellEnd"/>
      <w:r>
        <w:rPr>
          <w:rFonts w:ascii="Verdana" w:hAnsi="Verdana" w:cs="Arial"/>
        </w:rPr>
        <w:t xml:space="preserve"> i odporności na deformacje trwałe.</w:t>
      </w:r>
      <w:r w:rsidRPr="002876EA">
        <w:rPr>
          <w:rFonts w:ascii="Verdana" w:hAnsi="Verdana" w:cs="Arial"/>
        </w:rPr>
        <w:t xml:space="preserve"> </w:t>
      </w:r>
    </w:p>
    <w:p w:rsidR="00683496" w:rsidRDefault="00683496" w:rsidP="00683496">
      <w:pPr>
        <w:jc w:val="both"/>
        <w:rPr>
          <w:rFonts w:ascii="Verdana" w:hAnsi="Verdana" w:cs="Arial"/>
        </w:rPr>
      </w:pPr>
      <w:r w:rsidRPr="006D2270">
        <w:rPr>
          <w:rFonts w:ascii="Verdana" w:hAnsi="Verdana" w:cs="Arial"/>
        </w:rPr>
        <w:t>Ewentualne wykonanie odcinka próbnego Wykonawca jest zobowiązany uwzględnić w cenie kontraktowej.</w:t>
      </w:r>
    </w:p>
    <w:p w:rsidR="00683496" w:rsidRPr="002876EA" w:rsidRDefault="00683496" w:rsidP="00683496">
      <w:pPr>
        <w:pStyle w:val="Tekstpodstawowy"/>
        <w:spacing w:after="0"/>
        <w:jc w:val="both"/>
        <w:rPr>
          <w:rFonts w:ascii="Verdana" w:hAnsi="Verdana" w:cs="Arial"/>
        </w:rPr>
      </w:pPr>
      <w:r w:rsidRPr="002876EA">
        <w:rPr>
          <w:rFonts w:ascii="Verdana" w:hAnsi="Verdana" w:cs="Arial"/>
        </w:rPr>
        <w:t xml:space="preserve">W wypadku wątpliwości, co do prawidłowości przeprowadzonych badań, Przedstawiciel Zamawiającego/Inspektor Nadzoru może zażądać badań uzupełniających lub zlecić je do innego laboratorium. </w:t>
      </w:r>
    </w:p>
    <w:p w:rsidR="00683496" w:rsidRPr="002876EA" w:rsidRDefault="00683496" w:rsidP="00683496">
      <w:pPr>
        <w:pStyle w:val="Tekstpodstawowy"/>
        <w:spacing w:after="0"/>
        <w:jc w:val="both"/>
        <w:rPr>
          <w:rFonts w:ascii="Verdana" w:hAnsi="Verdana" w:cs="Arial"/>
        </w:rPr>
      </w:pPr>
      <w:r w:rsidRPr="002876EA">
        <w:rPr>
          <w:rFonts w:ascii="Verdana" w:hAnsi="Verdana" w:cs="Arial"/>
        </w:rPr>
        <w:t>Zwiększenie ilości badań nie może rościć żądań Wykonawcy o dodatkową zapłatę.</w:t>
      </w:r>
    </w:p>
    <w:p w:rsidR="00683496" w:rsidRPr="009040B8" w:rsidRDefault="00683496" w:rsidP="00683496">
      <w:pPr>
        <w:jc w:val="both"/>
        <w:rPr>
          <w:rFonts w:ascii="Verdana" w:hAnsi="Verdana" w:cs="Arial"/>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5.8. Wbudowanie mieszanki mineralno-asfaltowej</w:t>
      </w:r>
    </w:p>
    <w:p w:rsidR="00683496" w:rsidRPr="009040B8" w:rsidRDefault="00683496" w:rsidP="00683496">
      <w:pPr>
        <w:tabs>
          <w:tab w:val="left" w:pos="567"/>
        </w:tabs>
        <w:jc w:val="both"/>
        <w:rPr>
          <w:rFonts w:ascii="Verdana" w:hAnsi="Verdana" w:cs="Arial"/>
        </w:rPr>
      </w:pPr>
      <w:r w:rsidRPr="009040B8">
        <w:rPr>
          <w:rFonts w:ascii="Verdana" w:hAnsi="Verdana" w:cs="Arial"/>
        </w:rPr>
        <w:t>Mieszankę mineralno-asfaltową można wbudowywać na podłożu przygotowanym zgodnie z zapisami w punktach 5.4 i 5.6.</w:t>
      </w:r>
    </w:p>
    <w:p w:rsidR="00683496" w:rsidRPr="009040B8" w:rsidRDefault="00683496" w:rsidP="00683496">
      <w:pPr>
        <w:tabs>
          <w:tab w:val="left" w:pos="567"/>
        </w:tabs>
        <w:jc w:val="both"/>
        <w:rPr>
          <w:rFonts w:ascii="Verdana" w:hAnsi="Verdana" w:cs="Arial"/>
        </w:rPr>
      </w:pPr>
      <w:r w:rsidRPr="009040B8">
        <w:rPr>
          <w:rFonts w:ascii="Verdana" w:hAnsi="Verdana" w:cs="Arial"/>
        </w:rPr>
        <w:t>Transport mieszanki mineralno-asfaltowej asfaltowej powinien być zgodny z zaleceniami podanymi w punkcie 4.2.</w:t>
      </w:r>
    </w:p>
    <w:p w:rsidR="00683496" w:rsidRPr="009040B8" w:rsidRDefault="00683496" w:rsidP="00683496">
      <w:pPr>
        <w:tabs>
          <w:tab w:val="left" w:pos="567"/>
        </w:tabs>
        <w:jc w:val="both"/>
        <w:rPr>
          <w:rFonts w:ascii="Verdana" w:hAnsi="Verdana" w:cs="Arial"/>
        </w:rPr>
      </w:pPr>
      <w:r w:rsidRPr="009040B8">
        <w:rPr>
          <w:rFonts w:ascii="Verdana" w:hAnsi="Verdana" w:cs="Arial"/>
        </w:rPr>
        <w:t>Mieszankę mineralno-asfaltową asfaltową należy wbudowywać w odpowiednich warunkach atmosferycznych.</w:t>
      </w:r>
    </w:p>
    <w:p w:rsidR="00683496" w:rsidRPr="009040B8" w:rsidRDefault="00683496" w:rsidP="00683496">
      <w:pPr>
        <w:tabs>
          <w:tab w:val="left" w:pos="567"/>
        </w:tabs>
        <w:jc w:val="both"/>
        <w:rPr>
          <w:rFonts w:ascii="Verdana" w:hAnsi="Verdana" w:cs="Arial"/>
        </w:rPr>
      </w:pPr>
      <w:r w:rsidRPr="009040B8">
        <w:rPr>
          <w:rFonts w:ascii="Verdana" w:hAnsi="Verdana" w:cs="Arial"/>
        </w:rPr>
        <w:t>Temperatura otoczenia w ciągu doby nie powinna być niższa od temperatury podanej w tab</w:t>
      </w:r>
      <w:r>
        <w:rPr>
          <w:rFonts w:ascii="Verdana" w:hAnsi="Verdana" w:cs="Arial"/>
        </w:rPr>
        <w:t>eli</w:t>
      </w:r>
      <w:r w:rsidRPr="009040B8">
        <w:rPr>
          <w:rFonts w:ascii="Verdana" w:hAnsi="Verdana" w:cs="Arial"/>
        </w:rPr>
        <w:t xml:space="preserve"> 1</w:t>
      </w:r>
      <w:r>
        <w:rPr>
          <w:rFonts w:ascii="Verdana" w:hAnsi="Verdana" w:cs="Arial"/>
        </w:rPr>
        <w:t>3</w:t>
      </w:r>
      <w:r w:rsidRPr="009040B8">
        <w:rPr>
          <w:rFonts w:ascii="Verdana" w:hAnsi="Verdana" w:cs="Arial"/>
        </w:rPr>
        <w:t>. Temperatura otoczenia może być niższa w wypadku stosowania ogrzewania podłoża. Nie dopuszcza się układania mieszanki mineralno-asfaltowej asfaltowej podczas silnego wiatru (V &gt; 16 m/s).</w:t>
      </w:r>
    </w:p>
    <w:p w:rsidR="00683496" w:rsidRPr="009040B8" w:rsidRDefault="00683496" w:rsidP="00683496">
      <w:pPr>
        <w:tabs>
          <w:tab w:val="left" w:pos="567"/>
        </w:tabs>
        <w:jc w:val="both"/>
        <w:rPr>
          <w:rFonts w:ascii="Verdana" w:hAnsi="Verdana" w:cs="Arial"/>
        </w:rPr>
      </w:pPr>
      <w:r w:rsidRPr="009040B8">
        <w:rPr>
          <w:rFonts w:ascii="Verdana" w:hAnsi="Verdana" w:cs="Arial"/>
        </w:rPr>
        <w:t>W wypadku stosowania mieszanek mineralno-asfaltowych z dodatkiem ob</w:t>
      </w:r>
      <w:r>
        <w:rPr>
          <w:rFonts w:ascii="Verdana" w:hAnsi="Verdana" w:cs="Arial"/>
        </w:rPr>
        <w:t xml:space="preserve">niżającym temperaturę mieszania </w:t>
      </w:r>
      <w:r w:rsidRPr="009040B8">
        <w:rPr>
          <w:rFonts w:ascii="Verdana" w:hAnsi="Verdana" w:cs="Arial"/>
        </w:rPr>
        <w:t>i wbudowania należy indywidualnie określić wymagane warunki otoczenia.</w:t>
      </w:r>
    </w:p>
    <w:p w:rsidR="00683496" w:rsidRPr="009040B8" w:rsidRDefault="00683496" w:rsidP="00683496">
      <w:pPr>
        <w:tabs>
          <w:tab w:val="left" w:pos="993"/>
        </w:tabs>
        <w:spacing w:before="120"/>
        <w:ind w:left="993" w:hanging="993"/>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3</w:t>
      </w:r>
      <w:r w:rsidRPr="009040B8">
        <w:rPr>
          <w:rFonts w:ascii="Verdana" w:hAnsi="Verdana" w:cs="Arial"/>
        </w:rPr>
        <w:t>.</w:t>
      </w:r>
      <w:r>
        <w:rPr>
          <w:rFonts w:ascii="Verdana" w:hAnsi="Verdana" w:cs="Arial"/>
        </w:rPr>
        <w:t xml:space="preserve"> </w:t>
      </w:r>
      <w:r w:rsidRPr="009040B8">
        <w:rPr>
          <w:rFonts w:ascii="Verdana" w:hAnsi="Verdana" w:cs="Arial"/>
        </w:rPr>
        <w:t>Minimalna temperatura otoczenia podczas wykonywania warstwy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551"/>
        <w:gridCol w:w="2410"/>
      </w:tblGrid>
      <w:tr w:rsidR="00683496" w:rsidRPr="009040B8" w:rsidTr="00683496">
        <w:tc>
          <w:tcPr>
            <w:tcW w:w="3227" w:type="dxa"/>
            <w:vMerge w:val="restart"/>
            <w:vAlign w:val="center"/>
          </w:tcPr>
          <w:p w:rsidR="00683496" w:rsidRPr="009040B8" w:rsidRDefault="00683496" w:rsidP="00683496">
            <w:pPr>
              <w:jc w:val="center"/>
              <w:rPr>
                <w:rFonts w:ascii="Verdana" w:hAnsi="Verdana" w:cs="Arial"/>
              </w:rPr>
            </w:pPr>
            <w:r w:rsidRPr="009040B8">
              <w:rPr>
                <w:rFonts w:ascii="Verdana" w:hAnsi="Verdana" w:cs="Arial"/>
              </w:rPr>
              <w:t>Rodzaj robót</w:t>
            </w:r>
          </w:p>
        </w:tc>
        <w:tc>
          <w:tcPr>
            <w:tcW w:w="4961" w:type="dxa"/>
            <w:gridSpan w:val="2"/>
          </w:tcPr>
          <w:p w:rsidR="00683496" w:rsidRPr="009040B8" w:rsidRDefault="00683496" w:rsidP="00683496">
            <w:pPr>
              <w:jc w:val="center"/>
              <w:rPr>
                <w:rFonts w:ascii="Verdana" w:hAnsi="Verdana" w:cs="Arial"/>
              </w:rPr>
            </w:pPr>
            <w:r w:rsidRPr="009040B8">
              <w:rPr>
                <w:rFonts w:ascii="Verdana" w:hAnsi="Verdana" w:cs="Arial"/>
              </w:rPr>
              <w:t>Minimalna temperatura otoczenia  [°C]</w:t>
            </w:r>
          </w:p>
        </w:tc>
      </w:tr>
      <w:tr w:rsidR="00683496" w:rsidRPr="009040B8" w:rsidTr="00683496">
        <w:tc>
          <w:tcPr>
            <w:tcW w:w="3227" w:type="dxa"/>
            <w:vMerge/>
          </w:tcPr>
          <w:p w:rsidR="00683496" w:rsidRPr="009040B8" w:rsidRDefault="00683496" w:rsidP="00683496">
            <w:pPr>
              <w:jc w:val="center"/>
              <w:rPr>
                <w:rFonts w:ascii="Verdana" w:hAnsi="Verdana" w:cs="Arial"/>
              </w:rPr>
            </w:pPr>
          </w:p>
        </w:tc>
        <w:tc>
          <w:tcPr>
            <w:tcW w:w="2551" w:type="dxa"/>
          </w:tcPr>
          <w:p w:rsidR="00683496" w:rsidRPr="009040B8" w:rsidRDefault="00683496" w:rsidP="00683496">
            <w:pPr>
              <w:jc w:val="center"/>
              <w:rPr>
                <w:rFonts w:ascii="Verdana" w:hAnsi="Verdana" w:cs="Arial"/>
              </w:rPr>
            </w:pPr>
            <w:r w:rsidRPr="009040B8">
              <w:rPr>
                <w:rFonts w:ascii="Verdana" w:hAnsi="Verdana" w:cs="Arial"/>
              </w:rPr>
              <w:t>przed przystąpieniem do robót</w:t>
            </w:r>
          </w:p>
        </w:tc>
        <w:tc>
          <w:tcPr>
            <w:tcW w:w="2410" w:type="dxa"/>
          </w:tcPr>
          <w:p w:rsidR="00683496" w:rsidRPr="009040B8" w:rsidRDefault="00683496" w:rsidP="00683496">
            <w:pPr>
              <w:jc w:val="center"/>
              <w:rPr>
                <w:rFonts w:ascii="Verdana" w:hAnsi="Verdana" w:cs="Arial"/>
              </w:rPr>
            </w:pPr>
            <w:r w:rsidRPr="009040B8">
              <w:rPr>
                <w:rFonts w:ascii="Verdana" w:hAnsi="Verdana" w:cs="Arial"/>
              </w:rPr>
              <w:t>w czasie robót</w:t>
            </w:r>
          </w:p>
        </w:tc>
      </w:tr>
      <w:tr w:rsidR="00683496" w:rsidRPr="009040B8" w:rsidTr="00683496">
        <w:tc>
          <w:tcPr>
            <w:tcW w:w="3227" w:type="dxa"/>
            <w:tcBorders>
              <w:top w:val="single" w:sz="4" w:space="0" w:color="auto"/>
              <w:left w:val="single" w:sz="4" w:space="0" w:color="auto"/>
              <w:bottom w:val="single" w:sz="4" w:space="0" w:color="auto"/>
              <w:right w:val="single" w:sz="4" w:space="0" w:color="auto"/>
            </w:tcBorders>
          </w:tcPr>
          <w:p w:rsidR="00683496" w:rsidRPr="009040B8" w:rsidRDefault="00683496" w:rsidP="00683496">
            <w:pPr>
              <w:jc w:val="center"/>
              <w:rPr>
                <w:rFonts w:ascii="Verdana" w:hAnsi="Verdana" w:cs="Arial"/>
              </w:rPr>
            </w:pPr>
            <w:r w:rsidRPr="009040B8">
              <w:rPr>
                <w:rFonts w:ascii="Verdana" w:hAnsi="Verdana" w:cs="Arial"/>
              </w:rPr>
              <w:t>Warstwa wiążąca</w:t>
            </w:r>
          </w:p>
        </w:tc>
        <w:tc>
          <w:tcPr>
            <w:tcW w:w="2551" w:type="dxa"/>
          </w:tcPr>
          <w:p w:rsidR="00683496" w:rsidRPr="009040B8" w:rsidRDefault="00683496" w:rsidP="00683496">
            <w:pPr>
              <w:jc w:val="center"/>
              <w:rPr>
                <w:rFonts w:ascii="Verdana" w:hAnsi="Verdana" w:cs="Arial"/>
              </w:rPr>
            </w:pPr>
            <w:r w:rsidRPr="009040B8">
              <w:rPr>
                <w:rFonts w:ascii="Verdana" w:hAnsi="Verdana" w:cs="Arial"/>
              </w:rPr>
              <w:t>+5</w:t>
            </w:r>
          </w:p>
        </w:tc>
        <w:tc>
          <w:tcPr>
            <w:tcW w:w="2410" w:type="dxa"/>
          </w:tcPr>
          <w:p w:rsidR="00683496" w:rsidRPr="009040B8" w:rsidRDefault="00683496" w:rsidP="00683496">
            <w:pPr>
              <w:jc w:val="center"/>
              <w:rPr>
                <w:rFonts w:ascii="Verdana" w:hAnsi="Verdana" w:cs="Arial"/>
              </w:rPr>
            </w:pPr>
            <w:r w:rsidRPr="009040B8">
              <w:rPr>
                <w:rFonts w:ascii="Verdana" w:hAnsi="Verdana" w:cs="Arial"/>
              </w:rPr>
              <w:t>&gt;+5</w:t>
            </w:r>
          </w:p>
        </w:tc>
      </w:tr>
    </w:tbl>
    <w:p w:rsidR="00683496" w:rsidRPr="009040B8" w:rsidRDefault="00683496" w:rsidP="00683496">
      <w:pPr>
        <w:spacing w:before="120" w:line="360" w:lineRule="auto"/>
        <w:jc w:val="both"/>
        <w:rPr>
          <w:rFonts w:ascii="Verdana" w:hAnsi="Verdana" w:cs="Arial"/>
        </w:rPr>
      </w:pPr>
      <w:r w:rsidRPr="009040B8">
        <w:rPr>
          <w:rFonts w:ascii="Verdana" w:hAnsi="Verdana" w:cs="Arial"/>
        </w:rPr>
        <w:t>Właściwości wykonanej warstwy powinny spełniać warunki podane w tablicy 1</w:t>
      </w:r>
      <w:r>
        <w:rPr>
          <w:rFonts w:ascii="Verdana" w:hAnsi="Verdana" w:cs="Arial"/>
        </w:rPr>
        <w:t>4</w:t>
      </w:r>
      <w:r w:rsidRPr="009040B8">
        <w:rPr>
          <w:rFonts w:ascii="Verdana" w:hAnsi="Verdana" w:cs="Arial"/>
        </w:rPr>
        <w:t>.</w:t>
      </w:r>
    </w:p>
    <w:p w:rsidR="00683496" w:rsidRPr="009040B8" w:rsidRDefault="00683496" w:rsidP="00683496">
      <w:pPr>
        <w:jc w:val="both"/>
        <w:rPr>
          <w:rFonts w:ascii="Verdana" w:hAnsi="Verdana" w:cs="Arial"/>
        </w:rPr>
      </w:pPr>
    </w:p>
    <w:p w:rsidR="00683496" w:rsidRPr="009040B8" w:rsidRDefault="00683496" w:rsidP="00683496">
      <w:pPr>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4</w:t>
      </w:r>
      <w:r w:rsidRPr="009040B8">
        <w:rPr>
          <w:rFonts w:ascii="Verdana" w:hAnsi="Verdana" w:cs="Arial"/>
        </w:rPr>
        <w:t xml:space="preserve">.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773"/>
        <w:gridCol w:w="2059"/>
        <w:gridCol w:w="2268"/>
      </w:tblGrid>
      <w:tr w:rsidR="00683496" w:rsidRPr="009040B8" w:rsidTr="00683496">
        <w:tc>
          <w:tcPr>
            <w:tcW w:w="2088" w:type="dxa"/>
            <w:vAlign w:val="center"/>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Typ i wymiar mieszanki</w:t>
            </w:r>
          </w:p>
        </w:tc>
        <w:tc>
          <w:tcPr>
            <w:tcW w:w="1773" w:type="dxa"/>
          </w:tcPr>
          <w:p w:rsidR="00683496" w:rsidRPr="009040B8" w:rsidRDefault="00683496" w:rsidP="00683496">
            <w:pPr>
              <w:jc w:val="center"/>
              <w:rPr>
                <w:rFonts w:ascii="Verdana" w:hAnsi="Verdana" w:cs="Arial"/>
              </w:rPr>
            </w:pPr>
            <w:r w:rsidRPr="009040B8">
              <w:rPr>
                <w:rFonts w:ascii="Verdana" w:hAnsi="Verdana" w:cs="Arial"/>
              </w:rPr>
              <w:t>Projektowana grubość warstwy technologicznej [mm]</w:t>
            </w:r>
          </w:p>
        </w:tc>
        <w:tc>
          <w:tcPr>
            <w:tcW w:w="2059" w:type="dxa"/>
          </w:tcPr>
          <w:p w:rsidR="00683496" w:rsidRPr="009040B8" w:rsidRDefault="00683496" w:rsidP="00683496">
            <w:pPr>
              <w:spacing w:before="120"/>
              <w:jc w:val="center"/>
              <w:rPr>
                <w:rFonts w:ascii="Verdana" w:hAnsi="Verdana" w:cs="Arial"/>
              </w:rPr>
            </w:pPr>
            <w:r w:rsidRPr="009040B8">
              <w:rPr>
                <w:rFonts w:ascii="Verdana" w:hAnsi="Verdana" w:cs="Arial"/>
              </w:rPr>
              <w:t>Wskaźnik zagęszczenia</w:t>
            </w:r>
          </w:p>
          <w:p w:rsidR="00683496" w:rsidRPr="009040B8" w:rsidRDefault="00683496" w:rsidP="00683496">
            <w:pPr>
              <w:jc w:val="center"/>
              <w:rPr>
                <w:rFonts w:ascii="Verdana" w:hAnsi="Verdana" w:cs="Arial"/>
              </w:rPr>
            </w:pPr>
            <w:r w:rsidRPr="009040B8">
              <w:rPr>
                <w:rFonts w:ascii="Verdana" w:hAnsi="Verdana" w:cs="Arial"/>
              </w:rPr>
              <w:t>[%]</w:t>
            </w:r>
          </w:p>
        </w:tc>
        <w:tc>
          <w:tcPr>
            <w:tcW w:w="2268" w:type="dxa"/>
          </w:tcPr>
          <w:p w:rsidR="00683496" w:rsidRPr="009040B8" w:rsidRDefault="00683496" w:rsidP="00683496">
            <w:pPr>
              <w:jc w:val="center"/>
              <w:rPr>
                <w:rFonts w:ascii="Verdana" w:hAnsi="Verdana" w:cs="Arial"/>
              </w:rPr>
            </w:pPr>
            <w:r w:rsidRPr="009040B8">
              <w:rPr>
                <w:rFonts w:ascii="Verdana" w:hAnsi="Verdana" w:cs="Arial"/>
              </w:rPr>
              <w:t>Zawartość wolnych przestrzeni                     w warstwie</w:t>
            </w:r>
          </w:p>
          <w:p w:rsidR="00683496" w:rsidRPr="009040B8" w:rsidRDefault="00683496" w:rsidP="00683496">
            <w:pPr>
              <w:jc w:val="center"/>
              <w:rPr>
                <w:rFonts w:ascii="Verdana" w:hAnsi="Verdana" w:cs="Arial"/>
              </w:rPr>
            </w:pPr>
            <w:r w:rsidRPr="009040B8">
              <w:rPr>
                <w:rFonts w:ascii="Verdana" w:hAnsi="Verdana" w:cs="Arial"/>
              </w:rPr>
              <w:t>[%(v/v)]</w:t>
            </w:r>
          </w:p>
        </w:tc>
      </w:tr>
      <w:tr w:rsidR="00683496" w:rsidRPr="009040B8" w:rsidTr="00683496">
        <w:tc>
          <w:tcPr>
            <w:tcW w:w="2088" w:type="dxa"/>
            <w:vAlign w:val="center"/>
          </w:tcPr>
          <w:p w:rsidR="00683496" w:rsidRPr="009040B8" w:rsidRDefault="00683496" w:rsidP="00683496">
            <w:pPr>
              <w:spacing w:before="60" w:after="60"/>
              <w:jc w:val="center"/>
              <w:rPr>
                <w:rFonts w:ascii="Verdana" w:hAnsi="Verdana" w:cs="Arial"/>
              </w:rPr>
            </w:pPr>
            <w:r w:rsidRPr="009040B8">
              <w:rPr>
                <w:rFonts w:ascii="Verdana" w:hAnsi="Verdana" w:cs="Arial"/>
              </w:rPr>
              <w:t>AC 16</w:t>
            </w:r>
            <w:r>
              <w:rPr>
                <w:rFonts w:ascii="Verdana" w:hAnsi="Verdana" w:cs="Arial"/>
              </w:rPr>
              <w:t xml:space="preserve"> </w:t>
            </w:r>
            <w:r w:rsidRPr="009040B8">
              <w:rPr>
                <w:rFonts w:ascii="Verdana" w:hAnsi="Verdana" w:cs="Arial"/>
              </w:rPr>
              <w:t>W,  KR 3</w:t>
            </w:r>
            <w:r>
              <w:rPr>
                <w:rFonts w:ascii="Verdana" w:hAnsi="Verdana" w:cs="Arial"/>
              </w:rPr>
              <w:t>÷</w:t>
            </w:r>
            <w:r w:rsidRPr="009040B8">
              <w:rPr>
                <w:rFonts w:ascii="Verdana" w:hAnsi="Verdana" w:cs="Arial"/>
              </w:rPr>
              <w:t>4</w:t>
            </w:r>
          </w:p>
        </w:tc>
        <w:tc>
          <w:tcPr>
            <w:tcW w:w="1773" w:type="dxa"/>
            <w:vAlign w:val="center"/>
          </w:tcPr>
          <w:p w:rsidR="00683496" w:rsidRPr="009040B8" w:rsidRDefault="00683496" w:rsidP="00683496">
            <w:pPr>
              <w:spacing w:before="60" w:after="60"/>
              <w:jc w:val="center"/>
              <w:rPr>
                <w:rFonts w:ascii="Verdana" w:hAnsi="Verdana" w:cs="Arial"/>
              </w:rPr>
            </w:pPr>
            <w:r w:rsidRPr="009040B8">
              <w:rPr>
                <w:rFonts w:ascii="Verdana" w:hAnsi="Verdana" w:cs="Arial"/>
              </w:rPr>
              <w:t>40 ÷ 70</w:t>
            </w:r>
          </w:p>
        </w:tc>
        <w:tc>
          <w:tcPr>
            <w:tcW w:w="2059" w:type="dxa"/>
            <w:vAlign w:val="center"/>
          </w:tcPr>
          <w:p w:rsidR="00683496" w:rsidRPr="009040B8" w:rsidRDefault="00683496" w:rsidP="00683496">
            <w:pPr>
              <w:spacing w:before="60" w:after="60"/>
              <w:jc w:val="center"/>
              <w:rPr>
                <w:rFonts w:ascii="Verdana" w:hAnsi="Verdana" w:cs="Arial"/>
              </w:rPr>
            </w:pPr>
            <w:r w:rsidRPr="009040B8">
              <w:rPr>
                <w:rFonts w:ascii="Verdana" w:hAnsi="Verdana" w:cs="Arial"/>
              </w:rPr>
              <w:t>≥ 98,0</w:t>
            </w:r>
          </w:p>
        </w:tc>
        <w:tc>
          <w:tcPr>
            <w:tcW w:w="2268" w:type="dxa"/>
            <w:vAlign w:val="center"/>
          </w:tcPr>
          <w:p w:rsidR="00683496" w:rsidRPr="009040B8" w:rsidRDefault="00683496" w:rsidP="00683496">
            <w:pPr>
              <w:spacing w:before="60" w:after="60"/>
              <w:jc w:val="center"/>
              <w:rPr>
                <w:rFonts w:ascii="Verdana" w:hAnsi="Verdana" w:cs="Arial"/>
              </w:rPr>
            </w:pPr>
            <w:r>
              <w:rPr>
                <w:rFonts w:ascii="Verdana" w:hAnsi="Verdana" w:cs="Arial"/>
              </w:rPr>
              <w:t>3</w:t>
            </w:r>
            <w:r w:rsidRPr="009040B8">
              <w:rPr>
                <w:rFonts w:ascii="Verdana" w:hAnsi="Verdana" w:cs="Arial"/>
              </w:rPr>
              <w:t xml:space="preserve">,0 ÷ </w:t>
            </w:r>
            <w:r>
              <w:rPr>
                <w:rFonts w:ascii="Verdana" w:hAnsi="Verdana" w:cs="Arial"/>
              </w:rPr>
              <w:t>8</w:t>
            </w:r>
            <w:r w:rsidRPr="009040B8">
              <w:rPr>
                <w:rFonts w:ascii="Verdana" w:hAnsi="Verdana" w:cs="Arial"/>
              </w:rPr>
              <w:t>,0</w:t>
            </w:r>
          </w:p>
        </w:tc>
      </w:tr>
    </w:tbl>
    <w:p w:rsidR="00683496" w:rsidRPr="009040B8" w:rsidRDefault="00683496" w:rsidP="00683496">
      <w:pPr>
        <w:spacing w:before="120"/>
        <w:jc w:val="both"/>
        <w:rPr>
          <w:rFonts w:ascii="Verdana" w:hAnsi="Verdana" w:cs="Arial"/>
        </w:rPr>
      </w:pPr>
      <w:r w:rsidRPr="009040B8">
        <w:rPr>
          <w:rFonts w:ascii="Verdana" w:hAnsi="Verdana" w:cs="Aria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683496" w:rsidRPr="009040B8" w:rsidRDefault="00683496" w:rsidP="00683496">
      <w:pPr>
        <w:jc w:val="both"/>
        <w:rPr>
          <w:rFonts w:ascii="Verdana" w:hAnsi="Verdana" w:cs="Arial"/>
        </w:rPr>
      </w:pPr>
      <w:r w:rsidRPr="009040B8">
        <w:rPr>
          <w:rFonts w:ascii="Verdana" w:hAnsi="Verdana" w:cs="Arial"/>
        </w:rPr>
        <w:t>Grubość wykonywanej warstwy powinna być sprawdzana co 25 m, w co najmniej trzech miejscach (w osi i przy brzegach warstwy).</w:t>
      </w:r>
    </w:p>
    <w:p w:rsidR="00683496" w:rsidRPr="009040B8" w:rsidRDefault="00683496" w:rsidP="00683496">
      <w:pPr>
        <w:jc w:val="both"/>
        <w:rPr>
          <w:rFonts w:ascii="Verdana" w:hAnsi="Verdana" w:cs="Arial"/>
        </w:rPr>
      </w:pPr>
      <w:r w:rsidRPr="009040B8">
        <w:rPr>
          <w:rFonts w:ascii="Verdana" w:hAnsi="Verdana" w:cs="Arial"/>
        </w:rPr>
        <w:t xml:space="preserve">Warstwy wałowane powinny być równomiernie zagęszczone walcami drogowymi. Do warstw z betonu asfaltowego należy stosować walce drogowe stalowe gładkie z możliwością wibracji, oscylacji lub walce ogumione. </w:t>
      </w:r>
    </w:p>
    <w:p w:rsidR="00683496" w:rsidRPr="009040B8" w:rsidRDefault="00683496" w:rsidP="00683496">
      <w:pPr>
        <w:jc w:val="both"/>
        <w:rPr>
          <w:rFonts w:ascii="Verdana" w:hAnsi="Verdana" w:cs="Arial"/>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5.8. Połączenia technologiczne</w:t>
      </w:r>
    </w:p>
    <w:p w:rsidR="00683496" w:rsidRPr="009040B8" w:rsidRDefault="00683496" w:rsidP="00683496">
      <w:pPr>
        <w:jc w:val="both"/>
        <w:rPr>
          <w:rFonts w:ascii="Verdana" w:hAnsi="Verdana" w:cs="Arial"/>
          <w:color w:val="000000"/>
        </w:rPr>
      </w:pPr>
      <w:r w:rsidRPr="009040B8">
        <w:rPr>
          <w:rFonts w:ascii="Verdana" w:hAnsi="Verdana" w:cs="Arial"/>
          <w:color w:val="000000"/>
        </w:rPr>
        <w:t xml:space="preserve">Połączenia technologiczne należy wykonać  wg  pkt. 2.5 niniejszej SST .  </w:t>
      </w:r>
    </w:p>
    <w:p w:rsidR="00683496" w:rsidRPr="00A05C32" w:rsidRDefault="00683496" w:rsidP="00683496">
      <w:pPr>
        <w:jc w:val="both"/>
        <w:rPr>
          <w:rFonts w:ascii="Verdana" w:hAnsi="Verdana" w:cs="Arial"/>
        </w:rPr>
      </w:pPr>
    </w:p>
    <w:p w:rsidR="00683496" w:rsidRPr="009040B8" w:rsidRDefault="00683496" w:rsidP="00683496">
      <w:pPr>
        <w:keepNext/>
        <w:widowControl w:val="0"/>
        <w:jc w:val="both"/>
        <w:outlineLvl w:val="0"/>
        <w:rPr>
          <w:rFonts w:ascii="Verdana" w:hAnsi="Verdana" w:cs="Arial"/>
          <w:b/>
          <w:snapToGrid w:val="0"/>
        </w:rPr>
      </w:pPr>
      <w:r w:rsidRPr="009040B8">
        <w:rPr>
          <w:rFonts w:ascii="Verdana" w:hAnsi="Verdana" w:cs="Arial"/>
          <w:b/>
          <w:snapToGrid w:val="0"/>
        </w:rPr>
        <w:t>6. Kontrola jakości robót</w:t>
      </w: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6.1. Ogólne zasady kontroli jakości robót</w:t>
      </w:r>
    </w:p>
    <w:p w:rsidR="00683496" w:rsidRPr="009040B8" w:rsidRDefault="00683496" w:rsidP="00683496">
      <w:pPr>
        <w:numPr>
          <w:ilvl w:val="12"/>
          <w:numId w:val="0"/>
        </w:numPr>
        <w:jc w:val="both"/>
        <w:rPr>
          <w:rFonts w:ascii="Verdana" w:hAnsi="Verdana" w:cs="Arial"/>
        </w:rPr>
      </w:pPr>
      <w:r w:rsidRPr="009040B8">
        <w:rPr>
          <w:rFonts w:ascii="Verdana" w:hAnsi="Verdana" w:cs="Arial"/>
        </w:rPr>
        <w:t>Ogólne zasady kontroli jakości robót podano w SST   D-M-00.00.00 „Wymagania ogólne” [1] pkt 6.</w:t>
      </w:r>
    </w:p>
    <w:p w:rsidR="00683496" w:rsidRPr="009040B8" w:rsidRDefault="00683496" w:rsidP="00683496">
      <w:pPr>
        <w:numPr>
          <w:ilvl w:val="12"/>
          <w:numId w:val="0"/>
        </w:numPr>
        <w:jc w:val="both"/>
        <w:rPr>
          <w:rFonts w:ascii="Verdana" w:hAnsi="Verdana" w:cs="Arial"/>
        </w:rPr>
      </w:pP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6.2. Badania przed przystąpieniem do robót</w:t>
      </w:r>
    </w:p>
    <w:p w:rsidR="00683496" w:rsidRPr="006D2270" w:rsidRDefault="00683496" w:rsidP="00683496">
      <w:pPr>
        <w:numPr>
          <w:ilvl w:val="12"/>
          <w:numId w:val="0"/>
        </w:numPr>
        <w:rPr>
          <w:rFonts w:ascii="Verdana" w:hAnsi="Verdana" w:cs="Arial"/>
        </w:rPr>
      </w:pPr>
      <w:r w:rsidRPr="006D2270">
        <w:rPr>
          <w:rFonts w:ascii="Verdana" w:hAnsi="Verdana" w:cs="Arial"/>
        </w:rPr>
        <w:t>Przed przystąpieniem do robót Wykonawca powinien:</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uzyskać wymagane dokumenty, dopuszczające wyroby budowlane do obrotu i powszechnego stosowania (stwierdzenie o oznakowaniu materiału znakiem CE lub znakiem budowlanym B, certyfikat zgodności, deklarację zgodności, aprobatę techniczną, ew. badania materiałów wykonane przez dostawców itp.),</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przeprowadzić badania typu mieszanki MMA na zgodność niniejszą SST i przedstawić do akceptacji dla Przedstawiciela Zamawiającego/Inspektora Nadzoru</w:t>
      </w:r>
      <w:r>
        <w:rPr>
          <w:rFonts w:ascii="Verdana" w:hAnsi="Verdana" w:cs="Arial"/>
        </w:rPr>
        <w:t>,</w:t>
      </w:r>
    </w:p>
    <w:p w:rsidR="00683496"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wykonać własne badania </w:t>
      </w:r>
      <w:r>
        <w:rPr>
          <w:rFonts w:ascii="Verdana" w:hAnsi="Verdana" w:cs="Arial"/>
        </w:rPr>
        <w:t xml:space="preserve">wszystkich </w:t>
      </w:r>
      <w:r w:rsidRPr="006D2270">
        <w:rPr>
          <w:rFonts w:ascii="Verdana" w:hAnsi="Verdana" w:cs="Arial"/>
        </w:rPr>
        <w:t xml:space="preserve">właściwości materiałów przeznaczonych do wykonania robót, </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Pr>
          <w:rFonts w:ascii="Verdana" w:hAnsi="Verdana" w:cs="Arial"/>
        </w:rPr>
        <w:t>Producent MMA powinien prowadzić bieżącą kontrolę wszystkich materiałów wsadowych użytych do produkcji mieszanki mineralno-asfaltowej.</w:t>
      </w:r>
    </w:p>
    <w:p w:rsidR="00683496" w:rsidRDefault="00683496" w:rsidP="00683496">
      <w:pPr>
        <w:numPr>
          <w:ilvl w:val="12"/>
          <w:numId w:val="0"/>
        </w:numPr>
        <w:jc w:val="both"/>
        <w:rPr>
          <w:rFonts w:ascii="Verdana" w:hAnsi="Verdana" w:cs="Arial"/>
        </w:rPr>
      </w:pPr>
      <w:r>
        <w:rPr>
          <w:rFonts w:ascii="Verdana" w:hAnsi="Verdana" w:cs="Arial"/>
        </w:rPr>
        <w:t xml:space="preserve">Badania wszystkich materiałów wsadowych, wykonane przez Producenta MMA, niezależnie od Producenta danego wyrobu, nie mogą być starsze niż 6 miesięcy w chwili złożenia. Badania materiałów wsadowych w ramach badań własnych Producenta MMA należy powtarzać jeden raz na rok. </w:t>
      </w:r>
    </w:p>
    <w:p w:rsidR="00683496" w:rsidRPr="009040B8" w:rsidRDefault="00683496" w:rsidP="00683496">
      <w:pPr>
        <w:numPr>
          <w:ilvl w:val="12"/>
          <w:numId w:val="0"/>
        </w:numPr>
        <w:jc w:val="both"/>
        <w:rPr>
          <w:rFonts w:ascii="Verdana" w:hAnsi="Verdana" w:cs="Arial"/>
        </w:rPr>
      </w:pPr>
      <w:r w:rsidRPr="009040B8">
        <w:rPr>
          <w:rFonts w:ascii="Verdana" w:hAnsi="Verdana" w:cs="Arial"/>
        </w:rPr>
        <w:t>Wszystkie dokumenty oraz wyniki badań Wykonawca przedstawia Przedstawicielowi Zamawiającego/ Inspektorowi Nadzoru do akceptacji.</w:t>
      </w:r>
    </w:p>
    <w:p w:rsidR="00683496" w:rsidRPr="009040B8" w:rsidRDefault="00683496" w:rsidP="00683496">
      <w:pPr>
        <w:numPr>
          <w:ilvl w:val="12"/>
          <w:numId w:val="0"/>
        </w:numPr>
        <w:jc w:val="both"/>
        <w:rPr>
          <w:rFonts w:ascii="Verdana" w:hAnsi="Verdana" w:cs="Arial"/>
        </w:rPr>
      </w:pPr>
    </w:p>
    <w:p w:rsidR="00683496" w:rsidRPr="009040B8" w:rsidRDefault="00683496" w:rsidP="00683496">
      <w:pPr>
        <w:keepNext/>
        <w:numPr>
          <w:ilvl w:val="12"/>
          <w:numId w:val="0"/>
        </w:numPr>
        <w:outlineLvl w:val="1"/>
        <w:rPr>
          <w:rFonts w:ascii="Verdana" w:hAnsi="Verdana" w:cs="Arial"/>
          <w:b/>
          <w:bCs/>
          <w:iCs/>
        </w:rPr>
      </w:pPr>
      <w:r w:rsidRPr="009040B8">
        <w:rPr>
          <w:rFonts w:ascii="Verdana" w:hAnsi="Verdana" w:cs="Arial"/>
          <w:b/>
          <w:bCs/>
          <w:iCs/>
        </w:rPr>
        <w:t>6.3. Badania w czasie robót</w:t>
      </w:r>
    </w:p>
    <w:p w:rsidR="00683496" w:rsidRPr="009040B8" w:rsidRDefault="00683496" w:rsidP="00683496">
      <w:pPr>
        <w:rPr>
          <w:rFonts w:ascii="Verdana" w:hAnsi="Verdana" w:cs="Arial"/>
        </w:rPr>
      </w:pPr>
      <w:r w:rsidRPr="009040B8">
        <w:rPr>
          <w:rFonts w:ascii="Verdana" w:hAnsi="Verdana" w:cs="Arial"/>
          <w:b/>
        </w:rPr>
        <w:t>6.3.1. Uwagi ogólne</w:t>
      </w:r>
    </w:p>
    <w:p w:rsidR="00683496" w:rsidRPr="009040B8" w:rsidRDefault="00683496" w:rsidP="00683496">
      <w:pPr>
        <w:rPr>
          <w:rFonts w:ascii="Verdana" w:hAnsi="Verdana" w:cs="Arial"/>
        </w:rPr>
      </w:pPr>
      <w:r w:rsidRPr="009040B8">
        <w:rPr>
          <w:rFonts w:ascii="Verdana" w:hAnsi="Verdana" w:cs="Arial"/>
        </w:rPr>
        <w:t>Badania dzielą się na:</w:t>
      </w:r>
    </w:p>
    <w:p w:rsidR="00683496" w:rsidRPr="009040B8" w:rsidRDefault="00683496" w:rsidP="002122BD">
      <w:pPr>
        <w:numPr>
          <w:ilvl w:val="0"/>
          <w:numId w:val="35"/>
        </w:numPr>
        <w:overflowPunct w:val="0"/>
        <w:autoSpaceDE w:val="0"/>
        <w:autoSpaceDN w:val="0"/>
        <w:adjustRightInd w:val="0"/>
        <w:jc w:val="both"/>
        <w:textAlignment w:val="baseline"/>
        <w:rPr>
          <w:rFonts w:ascii="Verdana" w:hAnsi="Verdana" w:cs="Arial"/>
        </w:rPr>
      </w:pPr>
      <w:r w:rsidRPr="009040B8">
        <w:rPr>
          <w:rFonts w:ascii="Verdana" w:hAnsi="Verdana" w:cs="Arial"/>
        </w:rPr>
        <w:t>badania wykonawcy (w ramach własnego nadzoru),</w:t>
      </w:r>
    </w:p>
    <w:p w:rsidR="00683496" w:rsidRPr="009040B8" w:rsidRDefault="00683496" w:rsidP="002122BD">
      <w:pPr>
        <w:numPr>
          <w:ilvl w:val="0"/>
          <w:numId w:val="35"/>
        </w:numPr>
        <w:overflowPunct w:val="0"/>
        <w:autoSpaceDE w:val="0"/>
        <w:autoSpaceDN w:val="0"/>
        <w:adjustRightInd w:val="0"/>
        <w:jc w:val="both"/>
        <w:textAlignment w:val="baseline"/>
        <w:rPr>
          <w:rFonts w:ascii="Verdana" w:hAnsi="Verdana" w:cs="Arial"/>
        </w:rPr>
      </w:pPr>
      <w:r w:rsidRPr="009040B8">
        <w:rPr>
          <w:rFonts w:ascii="Verdana" w:hAnsi="Verdana" w:cs="Arial"/>
        </w:rPr>
        <w:t>badania kontrolne (w ramach nadzoru Zleceniodawcy – Przedstawiciela Zamawiającego/Inspektora Nadzoru).</w:t>
      </w:r>
    </w:p>
    <w:p w:rsidR="00683496" w:rsidRPr="009040B8" w:rsidRDefault="00683496" w:rsidP="00683496">
      <w:pPr>
        <w:overflowPunct w:val="0"/>
        <w:autoSpaceDE w:val="0"/>
        <w:autoSpaceDN w:val="0"/>
        <w:adjustRightInd w:val="0"/>
        <w:jc w:val="both"/>
        <w:textAlignment w:val="baseline"/>
        <w:rPr>
          <w:rFonts w:ascii="Verdana" w:hAnsi="Verdana" w:cs="Arial"/>
        </w:rPr>
      </w:pPr>
    </w:p>
    <w:p w:rsidR="00683496" w:rsidRPr="009040B8" w:rsidRDefault="00683496" w:rsidP="00683496">
      <w:pPr>
        <w:rPr>
          <w:rFonts w:ascii="Verdana" w:hAnsi="Verdana" w:cs="Arial"/>
        </w:rPr>
      </w:pPr>
      <w:r w:rsidRPr="009040B8">
        <w:rPr>
          <w:rFonts w:ascii="Verdana" w:hAnsi="Verdana" w:cs="Arial"/>
          <w:b/>
        </w:rPr>
        <w:lastRenderedPageBreak/>
        <w:t>6.3.2. Badania Wykonawcy</w:t>
      </w:r>
    </w:p>
    <w:p w:rsidR="00683496" w:rsidRPr="009040B8" w:rsidRDefault="00683496" w:rsidP="00683496">
      <w:pPr>
        <w:jc w:val="both"/>
        <w:rPr>
          <w:rFonts w:ascii="Verdana" w:hAnsi="Verdana" w:cs="Arial"/>
        </w:rPr>
      </w:pPr>
      <w:r w:rsidRPr="009040B8">
        <w:rPr>
          <w:rFonts w:ascii="Verdana" w:hAnsi="Verdana" w:cs="Arial"/>
        </w:rPr>
        <w:t>Badania Wykonawcy są wykonywane przez Wykonawcę lub jego zleceniobiorców celem sprawdzenia, czy jakość materiałów budowlanych (mieszanek mineralno-asfaltowych i ich składników, lepiszczy, materiałów do uszczelnień itp.) oraz gotowej warstwy (wbudowane warstwy asfaltowe, połączenia itp.) spełniają wymagania określone w SST.</w:t>
      </w:r>
    </w:p>
    <w:p w:rsidR="00683496" w:rsidRDefault="00683496" w:rsidP="00683496">
      <w:pPr>
        <w:jc w:val="both"/>
        <w:rPr>
          <w:rFonts w:ascii="Verdana" w:hAnsi="Verdana" w:cs="Arial"/>
        </w:rPr>
      </w:pPr>
      <w:r>
        <w:rPr>
          <w:rFonts w:ascii="Verdana" w:hAnsi="Verdana" w:cs="Arial"/>
        </w:rPr>
        <w:t xml:space="preserve">Badania wykonywane przez Wykonawcę w ramach kontroli jakości w rozumieniu niniejszych SST należy przeprowadzać na próbkach pobranych podczas wbudowywania mieszanki na budowie z częstotliwością zgodną z SST. </w:t>
      </w:r>
    </w:p>
    <w:p w:rsidR="00683496" w:rsidRDefault="00683496" w:rsidP="00683496">
      <w:pPr>
        <w:jc w:val="both"/>
        <w:rPr>
          <w:rFonts w:ascii="Verdana" w:hAnsi="Verdana" w:cs="Arial"/>
        </w:rPr>
      </w:pPr>
      <w:r>
        <w:rPr>
          <w:rFonts w:ascii="Verdana" w:hAnsi="Verdana" w:cs="Arial"/>
        </w:rPr>
        <w:t xml:space="preserve">Tolerancje zawartości składników MMA, dla próbek pobranych z miejsca wbudowania oraz pobranych na WMA, względem składu zaprojektowanego powinny być zgodne </w:t>
      </w:r>
      <w:r>
        <w:rPr>
          <w:rFonts w:ascii="Verdana" w:hAnsi="Verdana" w:cs="Arial"/>
        </w:rPr>
        <w:br/>
        <w:t>z wymaganiami podanymi w niniejszej SST.</w:t>
      </w:r>
    </w:p>
    <w:p w:rsidR="00683496" w:rsidRPr="009040B8" w:rsidRDefault="00683496" w:rsidP="00683496">
      <w:pPr>
        <w:jc w:val="both"/>
        <w:rPr>
          <w:rFonts w:ascii="Verdana" w:hAnsi="Verdana" w:cs="Arial"/>
        </w:rPr>
      </w:pPr>
      <w:r w:rsidRPr="009040B8">
        <w:rPr>
          <w:rFonts w:ascii="Verdana" w:hAnsi="Verdana" w:cs="Arial"/>
        </w:rPr>
        <w:t>Wykonawca powinien wykonywać te badania podczas realizacji robót, z niezbędną starannością i w wymaganym zakresie. Wyniki należy zapisywać w protokołach. W razie stwierdzenia uchybień w stosunku do wymagań SST, ich przyczyny należy niezwłocznie usunąć.</w:t>
      </w:r>
    </w:p>
    <w:p w:rsidR="00683496" w:rsidRPr="009040B8" w:rsidRDefault="00683496" w:rsidP="00683496">
      <w:pPr>
        <w:jc w:val="both"/>
        <w:rPr>
          <w:rFonts w:ascii="Verdana" w:hAnsi="Verdana" w:cs="Arial"/>
        </w:rPr>
      </w:pPr>
      <w:r w:rsidRPr="009040B8">
        <w:rPr>
          <w:rFonts w:ascii="Verdana" w:hAnsi="Verdana" w:cs="Arial"/>
        </w:rPr>
        <w:t>Wykonawca jest zobowiązany prowadzić Zakładową Kontrolę Produkcji zgodnie z normą PN-EN 13108-21 [63.1].</w:t>
      </w:r>
      <w:r w:rsidRPr="00836366">
        <w:rPr>
          <w:rFonts w:ascii="Verdana" w:hAnsi="Verdana" w:cs="Arial"/>
        </w:rPr>
        <w:t xml:space="preserve"> </w:t>
      </w:r>
    </w:p>
    <w:p w:rsidR="00683496" w:rsidRPr="009040B8" w:rsidRDefault="00683496" w:rsidP="00683496">
      <w:pPr>
        <w:jc w:val="both"/>
        <w:rPr>
          <w:rFonts w:ascii="Verdana" w:hAnsi="Verdana" w:cs="Arial"/>
        </w:rPr>
      </w:pPr>
      <w:r w:rsidRPr="006D2270">
        <w:rPr>
          <w:rFonts w:ascii="Verdana" w:hAnsi="Verdana" w:cs="Arial"/>
        </w:rPr>
        <w:t>Wyniki badań Wykonawcy należy przekazywać Przedstawiciel</w:t>
      </w:r>
      <w:r>
        <w:rPr>
          <w:rFonts w:ascii="Verdana" w:hAnsi="Verdana" w:cs="Arial"/>
        </w:rPr>
        <w:t xml:space="preserve">owi </w:t>
      </w:r>
      <w:r w:rsidRPr="006D2270">
        <w:rPr>
          <w:rFonts w:ascii="Verdana" w:hAnsi="Verdana" w:cs="Arial"/>
        </w:rPr>
        <w:t>Zamawiającego</w:t>
      </w:r>
      <w:r>
        <w:rPr>
          <w:rFonts w:ascii="Verdana" w:hAnsi="Verdana" w:cs="Arial"/>
        </w:rPr>
        <w:t xml:space="preserve">/ Inspektorowi </w:t>
      </w:r>
      <w:r w:rsidRPr="006D2270">
        <w:rPr>
          <w:rFonts w:ascii="Verdana" w:hAnsi="Verdana" w:cs="Arial"/>
        </w:rPr>
        <w:t>Nadzoru na jego żądanie. Przedstawiciel Zamawiającego/Inspektor Nadzoru może zdecydować o dokonaniu odbioru na podstawie badań Wykonawcy. W razie zastrzeżeń Przedstawiciel Zamawiającego/Inspektor Nadzoru może przeprowadzić badania kontrolne według punktu 6.3.3.</w:t>
      </w:r>
    </w:p>
    <w:p w:rsidR="00683496" w:rsidRPr="009040B8" w:rsidRDefault="00683496" w:rsidP="00683496">
      <w:pPr>
        <w:jc w:val="both"/>
        <w:rPr>
          <w:rFonts w:ascii="Verdana" w:hAnsi="Verdana" w:cs="Arial"/>
        </w:rPr>
      </w:pPr>
      <w:r w:rsidRPr="009040B8">
        <w:rPr>
          <w:rFonts w:ascii="Verdana" w:hAnsi="Verdana" w:cs="Arial"/>
        </w:rPr>
        <w:t>Rodzaje badań Wykonawcy mieszanki mineralno-asfaltowej i wykonanej z niej warstwy podano w tab</w:t>
      </w:r>
      <w:r>
        <w:rPr>
          <w:rFonts w:ascii="Verdana" w:hAnsi="Verdana" w:cs="Arial"/>
        </w:rPr>
        <w:t>eli</w:t>
      </w:r>
      <w:r w:rsidRPr="009040B8">
        <w:rPr>
          <w:rFonts w:ascii="Verdana" w:hAnsi="Verdana" w:cs="Arial"/>
        </w:rPr>
        <w:t xml:space="preserve"> 1</w:t>
      </w:r>
      <w:r>
        <w:rPr>
          <w:rFonts w:ascii="Verdana" w:hAnsi="Verdana" w:cs="Arial"/>
        </w:rPr>
        <w:t>5</w:t>
      </w:r>
      <w:r w:rsidRPr="009040B8">
        <w:rPr>
          <w:rFonts w:ascii="Verdana" w:hAnsi="Verdana" w:cs="Arial"/>
        </w:rPr>
        <w:t>.</w:t>
      </w:r>
    </w:p>
    <w:p w:rsidR="00683496" w:rsidRPr="009040B8" w:rsidRDefault="00683496" w:rsidP="00683496">
      <w:pPr>
        <w:spacing w:before="120"/>
        <w:rPr>
          <w:rFonts w:ascii="Verdana" w:hAnsi="Verdana" w:cs="Arial"/>
        </w:rPr>
      </w:pPr>
      <w:r w:rsidRPr="009040B8">
        <w:rPr>
          <w:rFonts w:ascii="Verdana" w:hAnsi="Verdana" w:cs="Arial"/>
        </w:rPr>
        <w:t>Tab</w:t>
      </w:r>
      <w:r>
        <w:rPr>
          <w:rFonts w:ascii="Verdana" w:hAnsi="Verdana" w:cs="Arial"/>
        </w:rPr>
        <w:t>eli</w:t>
      </w:r>
      <w:r w:rsidRPr="009040B8">
        <w:rPr>
          <w:rFonts w:ascii="Verdana" w:hAnsi="Verdana" w:cs="Arial"/>
        </w:rPr>
        <w:t xml:space="preserve"> 1</w:t>
      </w:r>
      <w:r>
        <w:rPr>
          <w:rFonts w:ascii="Verdana" w:hAnsi="Verdana" w:cs="Arial"/>
        </w:rPr>
        <w:t>5</w:t>
      </w:r>
      <w:r w:rsidRPr="009040B8">
        <w:rPr>
          <w:rFonts w:ascii="Verdana" w:hAnsi="Verdana" w:cs="Arial"/>
        </w:rPr>
        <w:t>. Rodzaje badań Wykonawcy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718"/>
        <w:gridCol w:w="2654"/>
      </w:tblGrid>
      <w:tr w:rsidR="00683496" w:rsidRPr="009040B8" w:rsidTr="00683496">
        <w:tc>
          <w:tcPr>
            <w:tcW w:w="790" w:type="dxa"/>
          </w:tcPr>
          <w:p w:rsidR="00683496" w:rsidRPr="009040B8" w:rsidRDefault="00683496" w:rsidP="00683496">
            <w:pPr>
              <w:spacing w:before="40" w:after="40"/>
              <w:jc w:val="center"/>
              <w:rPr>
                <w:rFonts w:ascii="Verdana" w:hAnsi="Verdana" w:cs="Arial"/>
              </w:rPr>
            </w:pPr>
            <w:r w:rsidRPr="009040B8">
              <w:rPr>
                <w:rFonts w:ascii="Verdana" w:hAnsi="Verdana" w:cs="Arial"/>
              </w:rPr>
              <w:t>Lp.</w:t>
            </w:r>
          </w:p>
        </w:tc>
        <w:tc>
          <w:tcPr>
            <w:tcW w:w="5731"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Rodzaj badań</w:t>
            </w:r>
          </w:p>
        </w:tc>
        <w:tc>
          <w:tcPr>
            <w:tcW w:w="2657" w:type="dxa"/>
          </w:tcPr>
          <w:p w:rsidR="00683496" w:rsidRPr="009040B8" w:rsidRDefault="00683496" w:rsidP="00683496">
            <w:pPr>
              <w:spacing w:before="40" w:after="40"/>
              <w:jc w:val="center"/>
              <w:rPr>
                <w:rFonts w:ascii="Verdana" w:hAnsi="Verdana" w:cs="Arial"/>
              </w:rPr>
            </w:pPr>
            <w:r w:rsidRPr="009040B8">
              <w:rPr>
                <w:rFonts w:ascii="Verdana" w:hAnsi="Verdana" w:cs="Arial"/>
              </w:rPr>
              <w:t>Minimalna częstotliwość badań i pomiarów</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b/>
              </w:rPr>
            </w:pPr>
            <w:r w:rsidRPr="009040B8">
              <w:rPr>
                <w:rFonts w:ascii="Verdana" w:hAnsi="Verdana" w:cs="Arial"/>
                <w:b/>
              </w:rPr>
              <w:t>1</w:t>
            </w:r>
          </w:p>
        </w:tc>
        <w:tc>
          <w:tcPr>
            <w:tcW w:w="8388" w:type="dxa"/>
            <w:gridSpan w:val="2"/>
            <w:vAlign w:val="center"/>
          </w:tcPr>
          <w:p w:rsidR="00683496" w:rsidRPr="009040B8" w:rsidRDefault="00683496" w:rsidP="00683496">
            <w:pPr>
              <w:ind w:left="-38" w:right="-57"/>
              <w:rPr>
                <w:rFonts w:ascii="Verdana" w:hAnsi="Verdana" w:cs="Arial"/>
              </w:rPr>
            </w:pPr>
            <w:r w:rsidRPr="009040B8">
              <w:rPr>
                <w:rFonts w:ascii="Verdana" w:hAnsi="Verdana" w:cs="Arial"/>
                <w:b/>
              </w:rPr>
              <w:t>Przygotowanie do ułożenia warstwy</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1.1</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Pomiar temperatury powietrza i prędkości wiatru</w:t>
            </w:r>
          </w:p>
        </w:tc>
        <w:tc>
          <w:tcPr>
            <w:tcW w:w="2657" w:type="dxa"/>
            <w:vMerge w:val="restart"/>
            <w:vAlign w:val="center"/>
          </w:tcPr>
          <w:p w:rsidR="00683496" w:rsidRPr="009040B8" w:rsidRDefault="00683496" w:rsidP="00683496">
            <w:pPr>
              <w:spacing w:before="40" w:after="40"/>
              <w:jc w:val="center"/>
              <w:rPr>
                <w:rFonts w:ascii="Verdana" w:hAnsi="Verdana" w:cs="Arial"/>
              </w:rPr>
            </w:pPr>
            <w:r>
              <w:rPr>
                <w:rFonts w:ascii="Verdana" w:hAnsi="Verdana" w:cs="Arial"/>
              </w:rPr>
              <w:t>d</w:t>
            </w:r>
            <w:r w:rsidRPr="009040B8">
              <w:rPr>
                <w:rFonts w:ascii="Verdana" w:hAnsi="Verdana" w:cs="Arial"/>
              </w:rPr>
              <w:t>la każdej działki roboczej</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1.2</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Badanie wydatku skropienia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b/>
              </w:rPr>
            </w:pPr>
            <w:r w:rsidRPr="009040B8">
              <w:rPr>
                <w:rFonts w:ascii="Verdana" w:hAnsi="Verdana" w:cs="Arial"/>
                <w:b/>
              </w:rPr>
              <w:t>2</w:t>
            </w:r>
          </w:p>
        </w:tc>
        <w:tc>
          <w:tcPr>
            <w:tcW w:w="8388" w:type="dxa"/>
            <w:gridSpan w:val="2"/>
            <w:vAlign w:val="center"/>
          </w:tcPr>
          <w:p w:rsidR="00683496" w:rsidRPr="009040B8" w:rsidRDefault="00683496" w:rsidP="00683496">
            <w:pPr>
              <w:spacing w:before="40" w:after="40"/>
              <w:rPr>
                <w:rFonts w:ascii="Verdana" w:hAnsi="Verdana" w:cs="Arial"/>
              </w:rPr>
            </w:pPr>
            <w:r w:rsidRPr="009040B8">
              <w:rPr>
                <w:rFonts w:ascii="Verdana" w:hAnsi="Verdana" w:cs="Arial"/>
                <w:b/>
              </w:rPr>
              <w:t>Mieszanka mineralno-asfaltowa</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2.1</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Uziarnienie</w:t>
            </w:r>
          </w:p>
        </w:tc>
        <w:tc>
          <w:tcPr>
            <w:tcW w:w="2657" w:type="dxa"/>
            <w:vMerge w:val="restart"/>
            <w:vAlign w:val="center"/>
          </w:tcPr>
          <w:p w:rsidR="00683496" w:rsidRPr="009040B8" w:rsidRDefault="00683496" w:rsidP="00683496">
            <w:pPr>
              <w:ind w:left="-38" w:right="-57"/>
              <w:jc w:val="center"/>
              <w:rPr>
                <w:rFonts w:ascii="Verdana" w:hAnsi="Verdana" w:cs="Arial"/>
              </w:rPr>
            </w:pPr>
            <w:r>
              <w:rPr>
                <w:rFonts w:ascii="Verdana" w:hAnsi="Verdana" w:cs="Arial"/>
              </w:rPr>
              <w:t>dla każdej działki roboczej (na próbce pobranej w miejscu wbudowania) i na każde rozpoczęte 1000 Mg wyprodukowanej MMA</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2.2</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Zawartość lepiszcza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2.3</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 xml:space="preserve">Gęstość i zawartość wolnych przestrzeni w próbce </w:t>
            </w:r>
            <w:proofErr w:type="spellStart"/>
            <w:r w:rsidRPr="009040B8">
              <w:rPr>
                <w:rFonts w:ascii="Verdana" w:hAnsi="Verdana" w:cs="Arial"/>
              </w:rPr>
              <w:t>Marshall’a</w:t>
            </w:r>
            <w:proofErr w:type="spellEnd"/>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2.4</w:t>
            </w:r>
          </w:p>
        </w:tc>
        <w:tc>
          <w:tcPr>
            <w:tcW w:w="5731" w:type="dxa"/>
            <w:vAlign w:val="center"/>
          </w:tcPr>
          <w:p w:rsidR="00683496" w:rsidRDefault="00683496" w:rsidP="00683496">
            <w:pPr>
              <w:rPr>
                <w:rFonts w:ascii="Verdana" w:hAnsi="Verdana" w:cs="Arial"/>
              </w:rPr>
            </w:pPr>
            <w:r w:rsidRPr="006D2270">
              <w:rPr>
                <w:rFonts w:ascii="Verdana" w:hAnsi="Verdana" w:cs="Arial"/>
              </w:rPr>
              <w:t>Właściwości lepiszcza</w:t>
            </w:r>
          </w:p>
          <w:p w:rsidR="00683496" w:rsidRDefault="00683496" w:rsidP="00683496">
            <w:pPr>
              <w:rPr>
                <w:rFonts w:ascii="Verdana" w:hAnsi="Verdana" w:cs="Arial"/>
              </w:rPr>
            </w:pPr>
            <w:r>
              <w:rPr>
                <w:rFonts w:ascii="Verdana" w:hAnsi="Verdana" w:cs="Arial"/>
              </w:rPr>
              <w:t>- penetracja w 25</w:t>
            </w:r>
            <w:r>
              <w:rPr>
                <w:rFonts w:ascii="Verdana" w:hAnsi="Verdana" w:cs="Arial"/>
                <w:vertAlign w:val="superscript"/>
              </w:rPr>
              <w:t>o</w:t>
            </w:r>
            <w:r>
              <w:rPr>
                <w:rFonts w:ascii="Verdana" w:hAnsi="Verdana" w:cs="Arial"/>
              </w:rPr>
              <w:t xml:space="preserve">C lub temp. mięknienia wg </w:t>
            </w:r>
            <w:proofErr w:type="spellStart"/>
            <w:r>
              <w:rPr>
                <w:rFonts w:ascii="Verdana" w:hAnsi="Verdana" w:cs="Arial"/>
              </w:rPr>
              <w:t>PiK</w:t>
            </w:r>
            <w:proofErr w:type="spellEnd"/>
            <w:r>
              <w:rPr>
                <w:rFonts w:ascii="Verdana" w:hAnsi="Verdana" w:cs="Arial"/>
              </w:rPr>
              <w:t>,</w:t>
            </w:r>
          </w:p>
          <w:p w:rsidR="00683496" w:rsidRPr="00986D0B" w:rsidRDefault="00683496" w:rsidP="00683496">
            <w:pPr>
              <w:rPr>
                <w:rFonts w:ascii="Verdana" w:hAnsi="Verdana" w:cs="Arial"/>
                <w:strike/>
              </w:rPr>
            </w:pPr>
            <w:r>
              <w:rPr>
                <w:rFonts w:ascii="Verdana" w:hAnsi="Verdana" w:cs="Arial"/>
              </w:rPr>
              <w:t>- nawrót sprężysty w 25</w:t>
            </w:r>
            <w:r>
              <w:rPr>
                <w:rFonts w:ascii="Verdana" w:hAnsi="Verdana" w:cs="Arial"/>
                <w:vertAlign w:val="superscript"/>
              </w:rPr>
              <w:t>o</w:t>
            </w:r>
            <w:r>
              <w:rPr>
                <w:rFonts w:ascii="Verdana" w:hAnsi="Verdana" w:cs="Arial"/>
              </w:rPr>
              <w:t>C</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1 raz na 300 Mg</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2.5</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Właściwości kruszyw</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 xml:space="preserve">uziarnienie, kształt kruszywa, zawartość ziaren o powierzchni </w:t>
            </w:r>
            <w:proofErr w:type="spellStart"/>
            <w:r>
              <w:rPr>
                <w:rFonts w:ascii="Verdana" w:hAnsi="Verdana" w:cs="Arial"/>
              </w:rPr>
              <w:t>przekruszonej</w:t>
            </w:r>
            <w:proofErr w:type="spellEnd"/>
            <w:r>
              <w:rPr>
                <w:rFonts w:ascii="Verdana" w:hAnsi="Verdana" w:cs="Arial"/>
              </w:rPr>
              <w:t xml:space="preserve"> i łamanej 1 raz na 2000 Mg</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2.6</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Właściwości wypełniacza</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uziarnienie i wilgotność 1 raz na 300 Mg</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2.7</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Właściwości pyłów z odpylania (w przypadku stosowania)</w:t>
            </w:r>
          </w:p>
        </w:tc>
        <w:tc>
          <w:tcPr>
            <w:tcW w:w="2657" w:type="dxa"/>
            <w:vAlign w:val="center"/>
          </w:tcPr>
          <w:p w:rsidR="00683496" w:rsidRPr="009040B8" w:rsidRDefault="00683496" w:rsidP="00683496">
            <w:pPr>
              <w:spacing w:before="40" w:after="40"/>
              <w:jc w:val="center"/>
              <w:rPr>
                <w:rFonts w:ascii="Verdana" w:hAnsi="Verdana" w:cs="Arial"/>
              </w:rPr>
            </w:pPr>
            <w:r>
              <w:rPr>
                <w:rFonts w:ascii="Verdana" w:hAnsi="Verdana" w:cs="Arial"/>
              </w:rPr>
              <w:t>1 r</w:t>
            </w:r>
            <w:r w:rsidRPr="009040B8">
              <w:rPr>
                <w:rFonts w:ascii="Verdana" w:hAnsi="Verdana" w:cs="Arial"/>
              </w:rPr>
              <w:t xml:space="preserve">az na 100 </w:t>
            </w:r>
            <w:r>
              <w:rPr>
                <w:rFonts w:ascii="Verdana" w:hAnsi="Verdana" w:cs="Arial"/>
              </w:rPr>
              <w:t>Mg</w:t>
            </w:r>
            <w:r w:rsidRPr="009040B8">
              <w:rPr>
                <w:rFonts w:ascii="Verdana" w:hAnsi="Verdana" w:cs="Arial"/>
              </w:rPr>
              <w:t xml:space="preserve"> pyłów</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2.8</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Ocena wizualna mieszanki mineralno-asfaltowej</w:t>
            </w:r>
          </w:p>
        </w:tc>
        <w:tc>
          <w:tcPr>
            <w:tcW w:w="2657" w:type="dxa"/>
            <w:vMerge w:val="restart"/>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każdy pojazd przy załadunku i w czasie wbudowywania</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2.9</w:t>
            </w:r>
          </w:p>
        </w:tc>
        <w:tc>
          <w:tcPr>
            <w:tcW w:w="5731" w:type="dxa"/>
            <w:vAlign w:val="center"/>
          </w:tcPr>
          <w:p w:rsidR="00683496" w:rsidRPr="009040B8" w:rsidRDefault="00683496" w:rsidP="00683496">
            <w:pPr>
              <w:rPr>
                <w:rFonts w:ascii="Verdana" w:hAnsi="Verdana" w:cs="Arial"/>
                <w:b/>
              </w:rPr>
            </w:pPr>
            <w:r w:rsidRPr="009040B8">
              <w:rPr>
                <w:rFonts w:ascii="Verdana" w:hAnsi="Verdana" w:cs="Arial"/>
              </w:rPr>
              <w:t xml:space="preserve">Pomiar temperatury MMA podczas wykonywania nawierzchni (wg PN-EN 12697-13 [36]), </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lastRenderedPageBreak/>
              <w:t>2.10</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Odporność na działanie wody i mrozu (ITSR)</w:t>
            </w:r>
          </w:p>
        </w:tc>
        <w:tc>
          <w:tcPr>
            <w:tcW w:w="2657" w:type="dxa"/>
            <w:vAlign w:val="center"/>
          </w:tcPr>
          <w:p w:rsidR="00683496" w:rsidRPr="009040B8" w:rsidRDefault="00683496" w:rsidP="00683496">
            <w:pPr>
              <w:spacing w:before="40" w:after="40"/>
              <w:jc w:val="center"/>
              <w:rPr>
                <w:rFonts w:ascii="Verdana" w:hAnsi="Verdana" w:cs="Arial"/>
              </w:rPr>
            </w:pPr>
            <w:r>
              <w:rPr>
                <w:rFonts w:ascii="Verdana" w:hAnsi="Verdana" w:cs="Arial"/>
              </w:rPr>
              <w:t>d</w:t>
            </w:r>
            <w:r w:rsidRPr="009040B8">
              <w:rPr>
                <w:rFonts w:ascii="Verdana" w:hAnsi="Verdana" w:cs="Arial"/>
              </w:rPr>
              <w:t>la próby technologicznej</w:t>
            </w:r>
            <w:r w:rsidRPr="009040B8">
              <w:rPr>
                <w:rFonts w:ascii="Verdana" w:hAnsi="Verdana" w:cs="Arial"/>
              </w:rPr>
              <w:br/>
              <w:t xml:space="preserve"> </w:t>
            </w:r>
            <w:r>
              <w:rPr>
                <w:rFonts w:ascii="Verdana" w:hAnsi="Verdana" w:cs="Arial"/>
              </w:rPr>
              <w:t>lub</w:t>
            </w:r>
            <w:r w:rsidRPr="009040B8">
              <w:rPr>
                <w:rFonts w:ascii="Verdana" w:hAnsi="Verdana" w:cs="Arial"/>
              </w:rPr>
              <w:t xml:space="preserve"> odcinka próbnego</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b/>
              </w:rPr>
            </w:pPr>
            <w:r w:rsidRPr="009040B8">
              <w:rPr>
                <w:rFonts w:ascii="Verdana" w:hAnsi="Verdana" w:cs="Arial"/>
                <w:b/>
              </w:rPr>
              <w:t>3</w:t>
            </w:r>
          </w:p>
        </w:tc>
        <w:tc>
          <w:tcPr>
            <w:tcW w:w="8388" w:type="dxa"/>
            <w:gridSpan w:val="2"/>
            <w:vAlign w:val="center"/>
          </w:tcPr>
          <w:p w:rsidR="00683496" w:rsidRPr="009040B8" w:rsidRDefault="00683496" w:rsidP="00683496">
            <w:pPr>
              <w:spacing w:before="40" w:after="40"/>
              <w:rPr>
                <w:rFonts w:ascii="Verdana" w:hAnsi="Verdana" w:cs="Arial"/>
              </w:rPr>
            </w:pPr>
            <w:r w:rsidRPr="009040B8">
              <w:rPr>
                <w:rFonts w:ascii="Verdana" w:hAnsi="Verdana" w:cs="Arial"/>
                <w:b/>
              </w:rPr>
              <w:t>Warstwa asfaltowa</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3.1</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Ocena wizualna jednorodności powierzchni warstwy</w:t>
            </w:r>
          </w:p>
        </w:tc>
        <w:tc>
          <w:tcPr>
            <w:tcW w:w="2657" w:type="dxa"/>
            <w:vMerge w:val="restart"/>
            <w:vAlign w:val="center"/>
          </w:tcPr>
          <w:p w:rsidR="00683496" w:rsidRPr="009040B8" w:rsidRDefault="00683496" w:rsidP="00683496">
            <w:pPr>
              <w:spacing w:before="40" w:after="40"/>
              <w:jc w:val="center"/>
              <w:rPr>
                <w:rFonts w:ascii="Verdana" w:hAnsi="Verdana" w:cs="Arial"/>
              </w:rPr>
            </w:pPr>
            <w:r>
              <w:rPr>
                <w:rFonts w:ascii="Verdana" w:hAnsi="Verdana" w:cs="Arial"/>
              </w:rPr>
              <w:t>o</w:t>
            </w:r>
            <w:r w:rsidRPr="009040B8">
              <w:rPr>
                <w:rFonts w:ascii="Verdana" w:hAnsi="Verdana" w:cs="Arial"/>
              </w:rPr>
              <w:t>cena ciągła</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3.2</w:t>
            </w:r>
          </w:p>
        </w:tc>
        <w:tc>
          <w:tcPr>
            <w:tcW w:w="5731" w:type="dxa"/>
            <w:vAlign w:val="center"/>
          </w:tcPr>
          <w:p w:rsidR="00683496" w:rsidRPr="009040B8" w:rsidRDefault="00683496" w:rsidP="00683496">
            <w:pPr>
              <w:overflowPunct w:val="0"/>
              <w:autoSpaceDE w:val="0"/>
              <w:autoSpaceDN w:val="0"/>
              <w:adjustRightInd w:val="0"/>
              <w:ind w:right="-108"/>
              <w:jc w:val="both"/>
              <w:textAlignment w:val="baseline"/>
              <w:rPr>
                <w:rFonts w:ascii="Verdana" w:hAnsi="Verdana" w:cs="Arial"/>
              </w:rPr>
            </w:pPr>
            <w:r w:rsidRPr="009040B8">
              <w:rPr>
                <w:rFonts w:ascii="Verdana" w:hAnsi="Verdana" w:cs="Arial"/>
              </w:rPr>
              <w:t>Ocena wizualna jakości wykonania połączeń technologicznych.</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3.3</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Wskaźnik zagęszczenia</w:t>
            </w:r>
          </w:p>
        </w:tc>
        <w:tc>
          <w:tcPr>
            <w:tcW w:w="2657" w:type="dxa"/>
            <w:vMerge w:val="restart"/>
            <w:vAlign w:val="center"/>
          </w:tcPr>
          <w:p w:rsidR="00683496" w:rsidRPr="009040B8" w:rsidRDefault="00683496" w:rsidP="00683496">
            <w:pPr>
              <w:ind w:left="-38" w:right="-57"/>
              <w:jc w:val="center"/>
              <w:rPr>
                <w:rFonts w:ascii="Verdana" w:hAnsi="Verdana" w:cs="Arial"/>
              </w:rPr>
            </w:pPr>
            <w:r>
              <w:rPr>
                <w:rFonts w:ascii="Verdana" w:hAnsi="Verdana" w:cs="Arial"/>
              </w:rPr>
              <w:t>d</w:t>
            </w:r>
            <w:r w:rsidRPr="006D2270">
              <w:rPr>
                <w:rFonts w:ascii="Verdana" w:hAnsi="Verdana" w:cs="Arial"/>
              </w:rPr>
              <w:t>la każdej działki roboczej</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3.4</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Grubość warstwy</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3.5</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Zawartość wolnych przestrzeni w warstwie</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3.6</w:t>
            </w:r>
          </w:p>
        </w:tc>
        <w:tc>
          <w:tcPr>
            <w:tcW w:w="5731" w:type="dxa"/>
            <w:vAlign w:val="center"/>
          </w:tcPr>
          <w:p w:rsidR="00683496" w:rsidRPr="009040B8" w:rsidRDefault="00683496" w:rsidP="00683496">
            <w:pPr>
              <w:overflowPunct w:val="0"/>
              <w:autoSpaceDE w:val="0"/>
              <w:autoSpaceDN w:val="0"/>
              <w:adjustRightInd w:val="0"/>
              <w:jc w:val="both"/>
              <w:textAlignment w:val="baseline"/>
              <w:rPr>
                <w:rFonts w:ascii="Verdana" w:hAnsi="Verdana" w:cs="Arial"/>
              </w:rPr>
            </w:pPr>
            <w:r w:rsidRPr="009040B8">
              <w:rPr>
                <w:rFonts w:ascii="Verdana" w:hAnsi="Verdana" w:cs="Arial"/>
              </w:rPr>
              <w:t xml:space="preserve">Połączenia </w:t>
            </w:r>
            <w:proofErr w:type="spellStart"/>
            <w:r w:rsidRPr="009040B8">
              <w:rPr>
                <w:rFonts w:ascii="Verdana" w:hAnsi="Verdana" w:cs="Arial"/>
              </w:rPr>
              <w:t>międzywarstwowe</w:t>
            </w:r>
            <w:proofErr w:type="spellEnd"/>
          </w:p>
        </w:tc>
        <w:tc>
          <w:tcPr>
            <w:tcW w:w="2657" w:type="dxa"/>
            <w:vAlign w:val="center"/>
          </w:tcPr>
          <w:p w:rsidR="00683496" w:rsidRPr="009040B8" w:rsidRDefault="00683496" w:rsidP="00683496">
            <w:pPr>
              <w:spacing w:before="40" w:after="40"/>
              <w:jc w:val="center"/>
              <w:rPr>
                <w:rFonts w:ascii="Verdana" w:hAnsi="Verdana" w:cs="Arial"/>
              </w:rPr>
            </w:pPr>
            <w:r>
              <w:rPr>
                <w:rFonts w:ascii="Verdana" w:hAnsi="Verdana" w:cs="Arial"/>
              </w:rPr>
              <w:t>d</w:t>
            </w:r>
            <w:r w:rsidRPr="006D2270">
              <w:rPr>
                <w:rFonts w:ascii="Verdana" w:hAnsi="Verdana" w:cs="Arial"/>
              </w:rPr>
              <w:t>la każdej działki roboczej</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3.7</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Odporność na deformacje trwałe</w:t>
            </w:r>
          </w:p>
        </w:tc>
        <w:tc>
          <w:tcPr>
            <w:tcW w:w="2657" w:type="dxa"/>
            <w:vAlign w:val="center"/>
          </w:tcPr>
          <w:p w:rsidR="00683496" w:rsidRPr="009040B8" w:rsidRDefault="00683496" w:rsidP="00683496">
            <w:pPr>
              <w:spacing w:before="40" w:after="40"/>
              <w:jc w:val="center"/>
              <w:rPr>
                <w:rFonts w:ascii="Verdana" w:hAnsi="Verdana" w:cs="Arial"/>
              </w:rPr>
            </w:pPr>
            <w:r>
              <w:rPr>
                <w:rFonts w:ascii="Verdana" w:hAnsi="Verdana" w:cs="Arial"/>
              </w:rPr>
              <w:t>na każdy rozpoczęty kilometr</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3.8</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Spadki poprzeczne</w:t>
            </w:r>
          </w:p>
        </w:tc>
        <w:tc>
          <w:tcPr>
            <w:tcW w:w="2657"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co 50 m oraz w punktach głównych łuków poziomych</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3.9</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Równość podłużna</w:t>
            </w:r>
          </w:p>
        </w:tc>
        <w:tc>
          <w:tcPr>
            <w:tcW w:w="2657" w:type="dxa"/>
            <w:vAlign w:val="center"/>
          </w:tcPr>
          <w:p w:rsidR="00683496" w:rsidRPr="009040B8" w:rsidRDefault="00683496" w:rsidP="00683496">
            <w:pPr>
              <w:spacing w:before="40" w:after="40"/>
              <w:jc w:val="center"/>
              <w:rPr>
                <w:rFonts w:ascii="Verdana" w:hAnsi="Verdana" w:cs="Arial"/>
              </w:rPr>
            </w:pPr>
            <w:r>
              <w:rPr>
                <w:rFonts w:ascii="Verdana" w:hAnsi="Verdana" w:cs="Arial"/>
              </w:rPr>
              <w:t>k</w:t>
            </w:r>
            <w:r w:rsidRPr="009040B8">
              <w:rPr>
                <w:rFonts w:ascii="Verdana" w:hAnsi="Verdana" w:cs="Arial"/>
              </w:rPr>
              <w:t xml:space="preserve">ażdy pas ruchu </w:t>
            </w:r>
            <w:r w:rsidRPr="009040B8">
              <w:rPr>
                <w:rFonts w:ascii="Verdana" w:hAnsi="Verdana" w:cs="Arial"/>
              </w:rPr>
              <w:br/>
              <w:t>wg p. 6.4.2.4.</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3.10</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Równość poprzeczna</w:t>
            </w:r>
          </w:p>
        </w:tc>
        <w:tc>
          <w:tcPr>
            <w:tcW w:w="2657" w:type="dxa"/>
            <w:vAlign w:val="center"/>
          </w:tcPr>
          <w:p w:rsidR="00683496" w:rsidRPr="009040B8" w:rsidRDefault="00683496" w:rsidP="00683496">
            <w:pPr>
              <w:spacing w:before="40" w:after="40"/>
              <w:jc w:val="center"/>
              <w:rPr>
                <w:rFonts w:ascii="Verdana" w:hAnsi="Verdana" w:cs="Arial"/>
              </w:rPr>
            </w:pPr>
            <w:r>
              <w:rPr>
                <w:rFonts w:ascii="Verdana" w:hAnsi="Verdana" w:cs="Arial"/>
              </w:rPr>
              <w:t>k</w:t>
            </w:r>
            <w:r w:rsidRPr="009040B8">
              <w:rPr>
                <w:rFonts w:ascii="Verdana" w:hAnsi="Verdana" w:cs="Arial"/>
              </w:rPr>
              <w:t xml:space="preserve">ażdy pas ruchu </w:t>
            </w:r>
            <w:r w:rsidRPr="009040B8">
              <w:rPr>
                <w:rFonts w:ascii="Verdana" w:hAnsi="Verdana" w:cs="Arial"/>
              </w:rPr>
              <w:br/>
              <w:t>wg p. 6.4.2.5.</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3.11</w:t>
            </w:r>
          </w:p>
        </w:tc>
        <w:tc>
          <w:tcPr>
            <w:tcW w:w="5731" w:type="dxa"/>
            <w:vAlign w:val="center"/>
          </w:tcPr>
          <w:p w:rsidR="00683496" w:rsidRPr="009040B8" w:rsidRDefault="00683496" w:rsidP="00683496">
            <w:pPr>
              <w:overflowPunct w:val="0"/>
              <w:autoSpaceDE w:val="0"/>
              <w:autoSpaceDN w:val="0"/>
              <w:adjustRightInd w:val="0"/>
              <w:jc w:val="both"/>
              <w:textAlignment w:val="baseline"/>
              <w:rPr>
                <w:rFonts w:ascii="Verdana" w:hAnsi="Verdana" w:cs="Arial"/>
              </w:rPr>
            </w:pPr>
            <w:r w:rsidRPr="009040B8">
              <w:rPr>
                <w:rFonts w:ascii="Verdana" w:hAnsi="Verdana" w:cs="Arial"/>
              </w:rPr>
              <w:t>Szerokość warstwy i rzędne wysokościowe</w:t>
            </w:r>
          </w:p>
        </w:tc>
        <w:tc>
          <w:tcPr>
            <w:tcW w:w="2657"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wg 6.4.2.6.</w:t>
            </w:r>
          </w:p>
        </w:tc>
      </w:tr>
    </w:tbl>
    <w:p w:rsidR="00683496" w:rsidRPr="009040B8" w:rsidRDefault="00683496" w:rsidP="00683496">
      <w:pPr>
        <w:rPr>
          <w:rFonts w:ascii="Verdana" w:hAnsi="Verdana" w:cs="Arial"/>
          <w:b/>
        </w:rPr>
      </w:pPr>
    </w:p>
    <w:p w:rsidR="00683496" w:rsidRDefault="00683496" w:rsidP="00683496">
      <w:pPr>
        <w:jc w:val="both"/>
        <w:rPr>
          <w:rFonts w:ascii="Verdana" w:hAnsi="Verdana" w:cs="Arial"/>
        </w:rPr>
      </w:pPr>
      <w:r w:rsidRPr="009040B8">
        <w:rPr>
          <w:rFonts w:ascii="Verdana" w:hAnsi="Verdana" w:cs="Arial"/>
        </w:rPr>
        <w:t>Wszystkie wymienione w tabeli nr 1</w:t>
      </w:r>
      <w:r>
        <w:rPr>
          <w:rFonts w:ascii="Verdana" w:hAnsi="Verdana" w:cs="Arial"/>
        </w:rPr>
        <w:t>5</w:t>
      </w:r>
      <w:r w:rsidRPr="009040B8">
        <w:rPr>
          <w:rFonts w:ascii="Verdana" w:hAnsi="Verdana" w:cs="Arial"/>
        </w:rPr>
        <w:t xml:space="preserve"> badania i pomiary Wykonawcy powinny </w:t>
      </w:r>
      <w:r>
        <w:rPr>
          <w:rFonts w:ascii="Verdana" w:hAnsi="Verdana" w:cs="Arial"/>
        </w:rPr>
        <w:t>spełniać wymagania niniejszej SST,</w:t>
      </w:r>
      <w:r w:rsidRPr="006D2270">
        <w:rPr>
          <w:rFonts w:ascii="Verdana" w:hAnsi="Verdana" w:cs="Arial"/>
        </w:rPr>
        <w:t xml:space="preserve"> </w:t>
      </w:r>
      <w:r>
        <w:rPr>
          <w:rFonts w:ascii="Verdana" w:hAnsi="Verdana" w:cs="Arial"/>
        </w:rPr>
        <w:t>oraz</w:t>
      </w:r>
      <w:r w:rsidRPr="006D2270">
        <w:rPr>
          <w:rFonts w:ascii="Verdana" w:hAnsi="Verdana" w:cs="Arial"/>
        </w:rPr>
        <w:t xml:space="preserve"> udokumentowane w formie papierowej i załączone do dokumentów odbiorowych. Forma dokumentacji z powyższych badań i pomiarów powinna być uzgodniona z Inspektorem Nadzoru.</w:t>
      </w:r>
    </w:p>
    <w:p w:rsidR="00683496" w:rsidRDefault="00683496" w:rsidP="00683496">
      <w:pPr>
        <w:jc w:val="both"/>
        <w:rPr>
          <w:rFonts w:ascii="Verdana" w:hAnsi="Verdana" w:cs="Arial"/>
        </w:rPr>
      </w:pPr>
    </w:p>
    <w:p w:rsidR="00683496" w:rsidRPr="009040B8" w:rsidRDefault="00683496" w:rsidP="00683496">
      <w:pPr>
        <w:jc w:val="both"/>
        <w:rPr>
          <w:rFonts w:ascii="Verdana" w:hAnsi="Verdana" w:cs="Arial"/>
          <w:b/>
        </w:rPr>
      </w:pPr>
      <w:r w:rsidRPr="009040B8">
        <w:rPr>
          <w:rFonts w:ascii="Verdana" w:hAnsi="Verdana" w:cs="Arial"/>
          <w:b/>
        </w:rPr>
        <w:t>6.3.3. Badania kontrolne</w:t>
      </w:r>
    </w:p>
    <w:p w:rsidR="00683496" w:rsidRPr="009040B8" w:rsidRDefault="00683496" w:rsidP="00683496">
      <w:pPr>
        <w:jc w:val="both"/>
        <w:rPr>
          <w:rFonts w:ascii="Verdana" w:hAnsi="Verdana" w:cs="Arial"/>
        </w:rPr>
      </w:pPr>
      <w:r w:rsidRPr="009040B8">
        <w:rPr>
          <w:rFonts w:ascii="Verdana" w:hAnsi="Verdana" w:cs="Arial"/>
        </w:rPr>
        <w:t>Badania kontrolne są badaniami Przedstawiciela Zamawiającego/Inspektora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SST. Badania kontrolne prowadzone są w laboratorium Zamawiającego. Wyniki tych badań są podstawą odbioru. Nadzór nad pobieraniem próbek i wykonaniem badań na miejscu budowy zajmuje się Przedstawiciel Zamawiającego/ Inspektor Nadzoru w obecności Wykonawcy. Wykonawca ma obowiązek swoim sprzętem pobrać wszystkie możliwe próbki do badań kontrolnych, w miejscach wskazanych przez Przedstawiciela Zamawiającego/Inspektora Nadzoru. Badania odbywają się również wtedy, gdy Wykonawca zostanie w porę powiadomiony o ich terminie, jednak nie będzie przy nich obecny.</w:t>
      </w:r>
    </w:p>
    <w:p w:rsidR="00683496" w:rsidRPr="009040B8" w:rsidRDefault="00683496" w:rsidP="00683496">
      <w:pPr>
        <w:jc w:val="both"/>
        <w:rPr>
          <w:rFonts w:ascii="Verdana" w:hAnsi="Verdana" w:cs="Arial"/>
        </w:rPr>
      </w:pPr>
      <w:r w:rsidRPr="009040B8">
        <w:rPr>
          <w:rFonts w:ascii="Verdana" w:hAnsi="Verdana" w:cs="Arial"/>
        </w:rPr>
        <w:t>Rodzaj badań kontrolnych mieszanki mineralno-asfaltowej i wykonanej z niej warstwy podano w tab</w:t>
      </w:r>
      <w:r>
        <w:rPr>
          <w:rFonts w:ascii="Verdana" w:hAnsi="Verdana" w:cs="Arial"/>
        </w:rPr>
        <w:t>eli</w:t>
      </w:r>
      <w:r w:rsidRPr="009040B8">
        <w:rPr>
          <w:rFonts w:ascii="Verdana" w:hAnsi="Verdana" w:cs="Arial"/>
        </w:rPr>
        <w:t xml:space="preserve"> 1</w:t>
      </w:r>
      <w:r>
        <w:rPr>
          <w:rFonts w:ascii="Verdana" w:hAnsi="Verdana" w:cs="Arial"/>
        </w:rPr>
        <w:t>6</w:t>
      </w:r>
      <w:r w:rsidRPr="009040B8">
        <w:rPr>
          <w:rFonts w:ascii="Verdana" w:hAnsi="Verdana" w:cs="Arial"/>
        </w:rPr>
        <w:t>.</w:t>
      </w:r>
    </w:p>
    <w:p w:rsidR="00683496" w:rsidRPr="009040B8" w:rsidRDefault="00683496" w:rsidP="00683496">
      <w:pPr>
        <w:jc w:val="both"/>
        <w:rPr>
          <w:rFonts w:ascii="Verdana" w:hAnsi="Verdana" w:cs="Arial"/>
        </w:rPr>
      </w:pPr>
    </w:p>
    <w:p w:rsidR="00683496" w:rsidRPr="009040B8" w:rsidRDefault="00683496" w:rsidP="00683496">
      <w:pPr>
        <w:rPr>
          <w:rFonts w:ascii="Verdana" w:hAnsi="Verdana" w:cs="Arial"/>
        </w:rPr>
      </w:pPr>
      <w:r w:rsidRPr="009040B8">
        <w:rPr>
          <w:rFonts w:ascii="Verdana" w:hAnsi="Verdana" w:cs="Arial"/>
        </w:rPr>
        <w:t>Tab</w:t>
      </w:r>
      <w:r>
        <w:rPr>
          <w:rFonts w:ascii="Verdana" w:hAnsi="Verdana" w:cs="Arial"/>
        </w:rPr>
        <w:t>eli</w:t>
      </w:r>
      <w:r w:rsidRPr="009040B8">
        <w:rPr>
          <w:rFonts w:ascii="Verdana" w:hAnsi="Verdana" w:cs="Arial"/>
        </w:rPr>
        <w:t xml:space="preserve"> 1</w:t>
      </w:r>
      <w:r>
        <w:rPr>
          <w:rFonts w:ascii="Verdana" w:hAnsi="Verdana" w:cs="Arial"/>
        </w:rPr>
        <w:t>6</w:t>
      </w:r>
      <w:r w:rsidRPr="009040B8">
        <w:rPr>
          <w:rFonts w:ascii="Verdana" w:hAnsi="Verdana" w:cs="Arial"/>
        </w:rPr>
        <w:t>. Rodzaje badań kontrolnych (Zamawiającego)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719"/>
        <w:gridCol w:w="2653"/>
      </w:tblGrid>
      <w:tr w:rsidR="00683496" w:rsidRPr="009040B8" w:rsidTr="00683496">
        <w:tc>
          <w:tcPr>
            <w:tcW w:w="790" w:type="dxa"/>
          </w:tcPr>
          <w:p w:rsidR="00683496" w:rsidRPr="009040B8" w:rsidRDefault="00683496" w:rsidP="00683496">
            <w:pPr>
              <w:spacing w:before="40" w:after="40"/>
              <w:jc w:val="center"/>
              <w:rPr>
                <w:rFonts w:ascii="Verdana" w:hAnsi="Verdana" w:cs="Arial"/>
              </w:rPr>
            </w:pPr>
            <w:r w:rsidRPr="009040B8">
              <w:rPr>
                <w:rFonts w:ascii="Verdana" w:hAnsi="Verdana" w:cs="Arial"/>
              </w:rPr>
              <w:t>Lp.</w:t>
            </w:r>
          </w:p>
        </w:tc>
        <w:tc>
          <w:tcPr>
            <w:tcW w:w="5731"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Rodzaj badań</w:t>
            </w:r>
          </w:p>
        </w:tc>
        <w:tc>
          <w:tcPr>
            <w:tcW w:w="2657" w:type="dxa"/>
          </w:tcPr>
          <w:p w:rsidR="00683496" w:rsidRPr="009040B8" w:rsidRDefault="00683496" w:rsidP="00683496">
            <w:pPr>
              <w:spacing w:before="40" w:after="40"/>
              <w:jc w:val="center"/>
              <w:rPr>
                <w:rFonts w:ascii="Verdana" w:hAnsi="Verdana" w:cs="Arial"/>
              </w:rPr>
            </w:pPr>
            <w:r w:rsidRPr="009040B8">
              <w:rPr>
                <w:rFonts w:ascii="Verdana" w:hAnsi="Verdana" w:cs="Arial"/>
              </w:rPr>
              <w:t>Minimalna częstotliwość badań i pomiarów</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b/>
              </w:rPr>
            </w:pPr>
            <w:r w:rsidRPr="009040B8">
              <w:rPr>
                <w:rFonts w:ascii="Verdana" w:hAnsi="Verdana" w:cs="Arial"/>
                <w:b/>
              </w:rPr>
              <w:t>1</w:t>
            </w:r>
          </w:p>
        </w:tc>
        <w:tc>
          <w:tcPr>
            <w:tcW w:w="8388" w:type="dxa"/>
            <w:gridSpan w:val="2"/>
            <w:vAlign w:val="center"/>
          </w:tcPr>
          <w:p w:rsidR="00683496" w:rsidRPr="009040B8" w:rsidRDefault="00683496" w:rsidP="00683496">
            <w:pPr>
              <w:ind w:left="-38" w:right="-57"/>
              <w:rPr>
                <w:rFonts w:ascii="Verdana" w:hAnsi="Verdana" w:cs="Arial"/>
              </w:rPr>
            </w:pPr>
            <w:r w:rsidRPr="009040B8">
              <w:rPr>
                <w:rFonts w:ascii="Verdana" w:hAnsi="Verdana" w:cs="Arial"/>
                <w:b/>
              </w:rPr>
              <w:t>Przygotowanie do ułożenia warstwy</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1.1</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Pomiar temperatury powietrza i prędkości wiatru</w:t>
            </w:r>
          </w:p>
        </w:tc>
        <w:tc>
          <w:tcPr>
            <w:tcW w:w="2657" w:type="dxa"/>
            <w:vMerge w:val="restart"/>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Wg potrzeb na polecenie Inspektora Nadzoru</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1.2</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Badanie wydatku skropienia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b/>
              </w:rPr>
            </w:pPr>
            <w:r w:rsidRPr="009040B8">
              <w:rPr>
                <w:rFonts w:ascii="Verdana" w:hAnsi="Verdana" w:cs="Arial"/>
                <w:b/>
              </w:rPr>
              <w:t>2</w:t>
            </w:r>
          </w:p>
        </w:tc>
        <w:tc>
          <w:tcPr>
            <w:tcW w:w="8388" w:type="dxa"/>
            <w:gridSpan w:val="2"/>
            <w:vAlign w:val="center"/>
          </w:tcPr>
          <w:p w:rsidR="00683496" w:rsidRPr="009040B8" w:rsidRDefault="00683496" w:rsidP="00683496">
            <w:pPr>
              <w:spacing w:before="40" w:after="40"/>
              <w:rPr>
                <w:rFonts w:ascii="Verdana" w:hAnsi="Verdana" w:cs="Arial"/>
              </w:rPr>
            </w:pPr>
            <w:r w:rsidRPr="009040B8">
              <w:rPr>
                <w:rFonts w:ascii="Verdana" w:hAnsi="Verdana" w:cs="Arial"/>
                <w:b/>
              </w:rPr>
              <w:t>Mieszanka mineralno-asfaltowa</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lastRenderedPageBreak/>
              <w:t>2.1</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Uziarnienie</w:t>
            </w:r>
          </w:p>
        </w:tc>
        <w:tc>
          <w:tcPr>
            <w:tcW w:w="2657" w:type="dxa"/>
            <w:vMerge w:val="restart"/>
            <w:vAlign w:val="center"/>
          </w:tcPr>
          <w:p w:rsidR="00683496" w:rsidRPr="009040B8" w:rsidRDefault="00683496" w:rsidP="00683496">
            <w:pPr>
              <w:ind w:left="-38" w:right="-57"/>
              <w:jc w:val="center"/>
              <w:rPr>
                <w:rFonts w:ascii="Verdana" w:hAnsi="Verdana" w:cs="Arial"/>
              </w:rPr>
            </w:pPr>
            <w:r w:rsidRPr="009040B8">
              <w:rPr>
                <w:rFonts w:ascii="Verdana" w:hAnsi="Verdana" w:cs="Arial"/>
              </w:rPr>
              <w:t xml:space="preserve">Jedno badanie na zadaniu i/lub na każde rozpoczęte </w:t>
            </w:r>
            <w:r w:rsidRPr="009040B8">
              <w:rPr>
                <w:rFonts w:ascii="Verdana" w:hAnsi="Verdana" w:cs="Arial"/>
              </w:rPr>
              <w:br/>
              <w:t>1</w:t>
            </w:r>
            <w:r>
              <w:rPr>
                <w:rFonts w:ascii="Verdana" w:hAnsi="Verdana" w:cs="Arial"/>
              </w:rPr>
              <w:t>5</w:t>
            </w:r>
            <w:r w:rsidRPr="009040B8">
              <w:rPr>
                <w:rFonts w:ascii="Verdana" w:hAnsi="Verdana" w:cs="Arial"/>
              </w:rPr>
              <w:t xml:space="preserve"> 000 m</w:t>
            </w:r>
            <w:r w:rsidRPr="009040B8">
              <w:rPr>
                <w:rFonts w:ascii="Verdana" w:hAnsi="Verdana" w:cs="Arial"/>
                <w:vertAlign w:val="superscript"/>
              </w:rPr>
              <w:t>2</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2.2</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Zawartość lepiszcza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2.3</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 xml:space="preserve">Gęstość i zawartość wolnych przestrzeni w próbce </w:t>
            </w:r>
            <w:proofErr w:type="spellStart"/>
            <w:r w:rsidRPr="009040B8">
              <w:rPr>
                <w:rFonts w:ascii="Verdana" w:hAnsi="Verdana" w:cs="Arial"/>
              </w:rPr>
              <w:t>Marshall’a</w:t>
            </w:r>
            <w:proofErr w:type="spellEnd"/>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2.4</w:t>
            </w:r>
          </w:p>
        </w:tc>
        <w:tc>
          <w:tcPr>
            <w:tcW w:w="5731" w:type="dxa"/>
            <w:vAlign w:val="center"/>
          </w:tcPr>
          <w:p w:rsidR="00683496" w:rsidRPr="009040B8" w:rsidRDefault="00683496" w:rsidP="00683496">
            <w:pPr>
              <w:rPr>
                <w:rFonts w:ascii="Verdana" w:hAnsi="Verdana" w:cs="Arial"/>
                <w:strike/>
              </w:rPr>
            </w:pPr>
            <w:r w:rsidRPr="009040B8">
              <w:rPr>
                <w:rFonts w:ascii="Verdana" w:hAnsi="Verdana" w:cs="Arial"/>
              </w:rPr>
              <w:t>Właściwości lepiszcza</w:t>
            </w:r>
          </w:p>
        </w:tc>
        <w:tc>
          <w:tcPr>
            <w:tcW w:w="2657" w:type="dxa"/>
            <w:vMerge w:val="restart"/>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Wg potrzeb na polecenie Inspektora Nadzoru</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2.5</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Właściwości kruszyw</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2.6</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Właściwości wypełniacza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2.7</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Właściwości pyłów z odpylania (w przypadku stosowania)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2.8</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Ocena wizualna mieszanki mineralno-asfaltowej</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2.9</w:t>
            </w:r>
          </w:p>
        </w:tc>
        <w:tc>
          <w:tcPr>
            <w:tcW w:w="5731" w:type="dxa"/>
            <w:vAlign w:val="center"/>
          </w:tcPr>
          <w:p w:rsidR="00683496" w:rsidRPr="009040B8" w:rsidRDefault="00683496" w:rsidP="00683496">
            <w:pPr>
              <w:rPr>
                <w:rFonts w:ascii="Verdana" w:hAnsi="Verdana" w:cs="Arial"/>
                <w:b/>
              </w:rPr>
            </w:pPr>
            <w:r w:rsidRPr="009040B8">
              <w:rPr>
                <w:rFonts w:ascii="Verdana" w:hAnsi="Verdana" w:cs="Arial"/>
              </w:rPr>
              <w:t>Pomiar temperatury MMA podczas wykonywania nawierzchni (wg PN-EN 12697-13 [36] oraz pomiar powierzchniowy z wykorzystaniem kamery termowizyjnej)</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2.10</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Odporność na działanie wody i mrozu (ITSR)</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b/>
              </w:rPr>
            </w:pPr>
            <w:r w:rsidRPr="009040B8">
              <w:rPr>
                <w:rFonts w:ascii="Verdana" w:hAnsi="Verdana" w:cs="Arial"/>
                <w:b/>
              </w:rPr>
              <w:t>3</w:t>
            </w:r>
          </w:p>
        </w:tc>
        <w:tc>
          <w:tcPr>
            <w:tcW w:w="8388" w:type="dxa"/>
            <w:gridSpan w:val="2"/>
            <w:vAlign w:val="center"/>
          </w:tcPr>
          <w:p w:rsidR="00683496" w:rsidRPr="009040B8" w:rsidRDefault="00683496" w:rsidP="00683496">
            <w:pPr>
              <w:spacing w:before="40" w:after="40"/>
              <w:rPr>
                <w:rFonts w:ascii="Verdana" w:hAnsi="Verdana" w:cs="Arial"/>
              </w:rPr>
            </w:pPr>
            <w:r w:rsidRPr="009040B8">
              <w:rPr>
                <w:rFonts w:ascii="Verdana" w:hAnsi="Verdana" w:cs="Arial"/>
                <w:b/>
              </w:rPr>
              <w:t>Warstwa asfaltowa</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3.1</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Ocena wizualna jednorodności powierzchni warstwy</w:t>
            </w:r>
          </w:p>
        </w:tc>
        <w:tc>
          <w:tcPr>
            <w:tcW w:w="2657" w:type="dxa"/>
            <w:vMerge w:val="restart"/>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Wg potrzeb na polecenie Inspektora Nadzoru</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3.2</w:t>
            </w:r>
          </w:p>
        </w:tc>
        <w:tc>
          <w:tcPr>
            <w:tcW w:w="5731" w:type="dxa"/>
            <w:vAlign w:val="center"/>
          </w:tcPr>
          <w:p w:rsidR="00683496" w:rsidRPr="009040B8" w:rsidRDefault="00683496" w:rsidP="00683496">
            <w:pPr>
              <w:overflowPunct w:val="0"/>
              <w:autoSpaceDE w:val="0"/>
              <w:autoSpaceDN w:val="0"/>
              <w:adjustRightInd w:val="0"/>
              <w:ind w:right="-108"/>
              <w:jc w:val="both"/>
              <w:textAlignment w:val="baseline"/>
              <w:rPr>
                <w:rFonts w:ascii="Verdana" w:hAnsi="Verdana" w:cs="Arial"/>
              </w:rPr>
            </w:pPr>
            <w:r w:rsidRPr="009040B8">
              <w:rPr>
                <w:rFonts w:ascii="Verdana" w:hAnsi="Verdana" w:cs="Arial"/>
              </w:rPr>
              <w:t>Ocena wizualna jakości wykonania połączeń technologicznych.</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3.3</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Wskaźnik zagęszczenia</w:t>
            </w:r>
          </w:p>
        </w:tc>
        <w:tc>
          <w:tcPr>
            <w:tcW w:w="2657" w:type="dxa"/>
            <w:vMerge w:val="restart"/>
            <w:vAlign w:val="center"/>
          </w:tcPr>
          <w:p w:rsidR="00683496" w:rsidRPr="009040B8" w:rsidRDefault="00683496" w:rsidP="00683496">
            <w:pPr>
              <w:ind w:left="-38" w:right="-57"/>
              <w:jc w:val="center"/>
              <w:rPr>
                <w:rFonts w:ascii="Verdana" w:hAnsi="Verdana" w:cs="Arial"/>
              </w:rPr>
            </w:pPr>
            <w:r w:rsidRPr="009040B8">
              <w:rPr>
                <w:rFonts w:ascii="Verdana" w:hAnsi="Verdana" w:cs="Arial"/>
              </w:rPr>
              <w:t xml:space="preserve">Jedno badanie na zadaniu i/lub na każde rozpoczęte </w:t>
            </w:r>
            <w:r w:rsidRPr="009040B8">
              <w:rPr>
                <w:rFonts w:ascii="Verdana" w:hAnsi="Verdana" w:cs="Arial"/>
              </w:rPr>
              <w:br/>
              <w:t>1</w:t>
            </w:r>
            <w:r>
              <w:rPr>
                <w:rFonts w:ascii="Verdana" w:hAnsi="Verdana" w:cs="Arial"/>
              </w:rPr>
              <w:t>5</w:t>
            </w:r>
            <w:r w:rsidRPr="009040B8">
              <w:rPr>
                <w:rFonts w:ascii="Verdana" w:hAnsi="Verdana" w:cs="Arial"/>
              </w:rPr>
              <w:t xml:space="preserve"> 000 m</w:t>
            </w:r>
            <w:r w:rsidRPr="009040B8">
              <w:rPr>
                <w:rFonts w:ascii="Verdana" w:hAnsi="Verdana" w:cs="Arial"/>
                <w:vertAlign w:val="superscript"/>
              </w:rPr>
              <w:t>2</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3.4</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Grubość warstwy</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3.5</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Zawartość wolnych przestrzeni w warstwie</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3.6</w:t>
            </w:r>
          </w:p>
        </w:tc>
        <w:tc>
          <w:tcPr>
            <w:tcW w:w="5731" w:type="dxa"/>
            <w:vAlign w:val="center"/>
          </w:tcPr>
          <w:p w:rsidR="00683496" w:rsidRPr="009040B8" w:rsidRDefault="00683496" w:rsidP="00683496">
            <w:pPr>
              <w:overflowPunct w:val="0"/>
              <w:autoSpaceDE w:val="0"/>
              <w:autoSpaceDN w:val="0"/>
              <w:adjustRightInd w:val="0"/>
              <w:jc w:val="both"/>
              <w:textAlignment w:val="baseline"/>
              <w:rPr>
                <w:rFonts w:ascii="Verdana" w:hAnsi="Verdana" w:cs="Arial"/>
              </w:rPr>
            </w:pPr>
            <w:r w:rsidRPr="009040B8">
              <w:rPr>
                <w:rFonts w:ascii="Verdana" w:hAnsi="Verdana" w:cs="Arial"/>
              </w:rPr>
              <w:t xml:space="preserve">Połączenia </w:t>
            </w:r>
            <w:proofErr w:type="spellStart"/>
            <w:r w:rsidRPr="009040B8">
              <w:rPr>
                <w:rFonts w:ascii="Verdana" w:hAnsi="Verdana" w:cs="Arial"/>
              </w:rPr>
              <w:t>międzywarstwowe</w:t>
            </w:r>
            <w:proofErr w:type="spellEnd"/>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3.7</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Odporność na deformacje trwałe</w:t>
            </w:r>
          </w:p>
        </w:tc>
        <w:tc>
          <w:tcPr>
            <w:tcW w:w="2657" w:type="dxa"/>
            <w:vMerge w:val="restart"/>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Wg potrzeb na polecenie Inspektora Nadzoru</w:t>
            </w: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3.8</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Spadki poprzeczne</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3.9</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Równość podłużna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3.10</w:t>
            </w:r>
          </w:p>
        </w:tc>
        <w:tc>
          <w:tcPr>
            <w:tcW w:w="5731" w:type="dxa"/>
            <w:vAlign w:val="center"/>
          </w:tcPr>
          <w:p w:rsidR="00683496" w:rsidRPr="009040B8" w:rsidRDefault="00683496" w:rsidP="00683496">
            <w:pPr>
              <w:rPr>
                <w:rFonts w:ascii="Verdana" w:hAnsi="Verdana" w:cs="Arial"/>
              </w:rPr>
            </w:pPr>
            <w:r w:rsidRPr="009040B8">
              <w:rPr>
                <w:rFonts w:ascii="Verdana" w:hAnsi="Verdana" w:cs="Arial"/>
              </w:rPr>
              <w:t>Równość poprzeczna</w:t>
            </w:r>
          </w:p>
        </w:tc>
        <w:tc>
          <w:tcPr>
            <w:tcW w:w="2657" w:type="dxa"/>
            <w:vMerge/>
            <w:vAlign w:val="center"/>
          </w:tcPr>
          <w:p w:rsidR="00683496" w:rsidRPr="009040B8" w:rsidRDefault="00683496" w:rsidP="00683496">
            <w:pPr>
              <w:spacing w:before="40" w:after="40"/>
              <w:jc w:val="center"/>
              <w:rPr>
                <w:rFonts w:ascii="Verdana" w:hAnsi="Verdana" w:cs="Arial"/>
              </w:rPr>
            </w:pPr>
          </w:p>
        </w:tc>
      </w:tr>
      <w:tr w:rsidR="00683496" w:rsidRPr="009040B8" w:rsidTr="00683496">
        <w:tc>
          <w:tcPr>
            <w:tcW w:w="790" w:type="dxa"/>
            <w:vAlign w:val="center"/>
          </w:tcPr>
          <w:p w:rsidR="00683496" w:rsidRPr="009040B8" w:rsidRDefault="00683496" w:rsidP="00683496">
            <w:pPr>
              <w:spacing w:before="40" w:after="40"/>
              <w:jc w:val="center"/>
              <w:rPr>
                <w:rFonts w:ascii="Verdana" w:hAnsi="Verdana" w:cs="Arial"/>
              </w:rPr>
            </w:pPr>
            <w:r w:rsidRPr="009040B8">
              <w:rPr>
                <w:rFonts w:ascii="Verdana" w:hAnsi="Verdana" w:cs="Arial"/>
              </w:rPr>
              <w:t>3.11</w:t>
            </w:r>
          </w:p>
        </w:tc>
        <w:tc>
          <w:tcPr>
            <w:tcW w:w="5731" w:type="dxa"/>
            <w:vAlign w:val="center"/>
          </w:tcPr>
          <w:p w:rsidR="00683496" w:rsidRPr="009040B8" w:rsidRDefault="00683496" w:rsidP="00683496">
            <w:pPr>
              <w:overflowPunct w:val="0"/>
              <w:autoSpaceDE w:val="0"/>
              <w:autoSpaceDN w:val="0"/>
              <w:adjustRightInd w:val="0"/>
              <w:jc w:val="both"/>
              <w:textAlignment w:val="baseline"/>
              <w:rPr>
                <w:rFonts w:ascii="Verdana" w:hAnsi="Verdana" w:cs="Arial"/>
              </w:rPr>
            </w:pPr>
            <w:r w:rsidRPr="009040B8">
              <w:rPr>
                <w:rFonts w:ascii="Verdana" w:hAnsi="Verdana" w:cs="Arial"/>
              </w:rPr>
              <w:t>Szerokość warstwy i rzędne wysokościowe</w:t>
            </w:r>
          </w:p>
        </w:tc>
        <w:tc>
          <w:tcPr>
            <w:tcW w:w="2657" w:type="dxa"/>
            <w:vMerge/>
            <w:vAlign w:val="center"/>
          </w:tcPr>
          <w:p w:rsidR="00683496" w:rsidRPr="009040B8" w:rsidRDefault="00683496" w:rsidP="00683496">
            <w:pPr>
              <w:spacing w:before="40" w:after="40"/>
              <w:jc w:val="center"/>
              <w:rPr>
                <w:rFonts w:ascii="Verdana" w:hAnsi="Verdana" w:cs="Arial"/>
              </w:rPr>
            </w:pPr>
          </w:p>
        </w:tc>
      </w:tr>
    </w:tbl>
    <w:p w:rsidR="00683496" w:rsidRPr="009040B8" w:rsidRDefault="00683496" w:rsidP="00683496">
      <w:pPr>
        <w:rPr>
          <w:rFonts w:ascii="Verdana" w:hAnsi="Verdana" w:cs="Arial"/>
          <w:b/>
        </w:rPr>
      </w:pPr>
    </w:p>
    <w:p w:rsidR="00683496" w:rsidRPr="009040B8" w:rsidRDefault="00683496" w:rsidP="00683496">
      <w:pPr>
        <w:jc w:val="both"/>
        <w:rPr>
          <w:rFonts w:ascii="Verdana" w:hAnsi="Verdana" w:cs="Arial"/>
        </w:rPr>
      </w:pPr>
      <w:r w:rsidRPr="009040B8">
        <w:rPr>
          <w:rFonts w:ascii="Verdana" w:hAnsi="Verdana" w:cs="Arial"/>
          <w:b/>
        </w:rPr>
        <w:t>6.3.4. Badania kontrolne dodatkowe</w:t>
      </w:r>
      <w:r w:rsidRPr="009040B8">
        <w:rPr>
          <w:rFonts w:ascii="Verdana" w:hAnsi="Verdana" w:cs="Arial"/>
        </w:rPr>
        <w:t xml:space="preserve">  </w:t>
      </w:r>
    </w:p>
    <w:p w:rsidR="00683496" w:rsidRPr="009040B8" w:rsidRDefault="00683496" w:rsidP="00683496">
      <w:pPr>
        <w:jc w:val="both"/>
        <w:rPr>
          <w:rFonts w:ascii="Verdana" w:hAnsi="Verdana" w:cs="Arial"/>
        </w:rPr>
      </w:pPr>
      <w:r w:rsidRPr="009040B8">
        <w:rPr>
          <w:rFonts w:ascii="Verdana" w:hAnsi="Verdana" w:cs="Arial"/>
        </w:rPr>
        <w:t>W wypadku uznania, że jeden z wyników badań kontrolnych nie jest reprezentatywny dla ocenianego odcinka budowy, Wykonawca ma prawo żądać przeprowadzenia badań kontrolnych dodatkowych.</w:t>
      </w:r>
    </w:p>
    <w:p w:rsidR="00683496" w:rsidRPr="009040B8" w:rsidRDefault="00683496" w:rsidP="00683496">
      <w:pPr>
        <w:jc w:val="both"/>
        <w:rPr>
          <w:rFonts w:ascii="Verdana" w:hAnsi="Verdana" w:cs="Arial"/>
        </w:rPr>
      </w:pPr>
      <w:r w:rsidRPr="009040B8">
        <w:rPr>
          <w:rFonts w:ascii="Verdana" w:hAnsi="Verdana" w:cs="Arial"/>
        </w:rPr>
        <w:t>Przedstawiciel Zamawiającego/Inspektor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683496" w:rsidRPr="009040B8" w:rsidRDefault="00683496" w:rsidP="00683496">
      <w:pPr>
        <w:jc w:val="both"/>
        <w:rPr>
          <w:rFonts w:ascii="Verdana" w:hAnsi="Verdana" w:cs="Arial"/>
        </w:rPr>
      </w:pPr>
      <w:r w:rsidRPr="009040B8">
        <w:rPr>
          <w:rFonts w:ascii="Verdana" w:hAnsi="Verdana" w:cs="Arial"/>
        </w:rPr>
        <w:t>Do odbioru uwzględniane są wyniki badań kontrolnych i badań kontrolnych dodatkowych do wyznaczonych odcinków częściowych.</w:t>
      </w:r>
    </w:p>
    <w:p w:rsidR="00683496" w:rsidRPr="009040B8" w:rsidRDefault="00683496" w:rsidP="00683496">
      <w:pPr>
        <w:jc w:val="both"/>
        <w:rPr>
          <w:rFonts w:ascii="Verdana" w:hAnsi="Verdana" w:cs="Arial"/>
        </w:rPr>
      </w:pPr>
      <w:r w:rsidRPr="009040B8">
        <w:rPr>
          <w:rFonts w:ascii="Verdana" w:hAnsi="Verdana" w:cs="Arial"/>
        </w:rPr>
        <w:t>Koszty badań kontrolnych dodatkowych zażądanych przez Wykonawcę ponosi Wykonawca.</w:t>
      </w:r>
    </w:p>
    <w:p w:rsidR="00683496" w:rsidRPr="009040B8" w:rsidRDefault="00683496" w:rsidP="00683496">
      <w:pPr>
        <w:spacing w:before="120"/>
        <w:rPr>
          <w:rFonts w:ascii="Verdana" w:hAnsi="Verdana" w:cs="Arial"/>
          <w:b/>
        </w:rPr>
      </w:pPr>
      <w:r w:rsidRPr="009040B8">
        <w:rPr>
          <w:rFonts w:ascii="Verdana" w:hAnsi="Verdana" w:cs="Arial"/>
          <w:b/>
        </w:rPr>
        <w:t>6.3.5. Badania arbitrażowe</w:t>
      </w:r>
    </w:p>
    <w:p w:rsidR="00683496" w:rsidRPr="009040B8" w:rsidRDefault="00683496" w:rsidP="00683496">
      <w:pPr>
        <w:spacing w:before="120"/>
        <w:jc w:val="both"/>
        <w:rPr>
          <w:rFonts w:ascii="Verdana" w:hAnsi="Verdana" w:cs="Arial"/>
        </w:rPr>
      </w:pPr>
      <w:r w:rsidRPr="009040B8">
        <w:rPr>
          <w:rFonts w:ascii="Verdana" w:hAnsi="Verdana" w:cs="Arial"/>
        </w:rPr>
        <w:t>Badania arbitrażowe są powtórzeniem badań kontrolnych, co do których istnieją uzasadnione wątpliwości ze strony Przedstawiciela Zamawiającego/Inspektora Nadzoru lub Wykonawcy (np. na podstawie własnych badań). Badania arbitrażowe wykonuje na wniosek strony kontraktu niezależne, akredytowane laboratorium, które nie wykonywało badań kontrolnych.</w:t>
      </w:r>
    </w:p>
    <w:p w:rsidR="00683496" w:rsidRPr="009040B8" w:rsidRDefault="00683496" w:rsidP="00683496">
      <w:pPr>
        <w:spacing w:before="120"/>
        <w:jc w:val="both"/>
        <w:rPr>
          <w:rFonts w:ascii="Verdana" w:hAnsi="Verdana" w:cs="Arial"/>
        </w:rPr>
      </w:pPr>
      <w:r w:rsidRPr="009040B8">
        <w:rPr>
          <w:rFonts w:ascii="Verdana" w:hAnsi="Verdana" w:cs="Arial"/>
        </w:rPr>
        <w:t xml:space="preserve">Koszty badań arbitrażowych wraz ze wszystkimi kosztami ubocznymi ponosi Wykonawca. </w:t>
      </w:r>
    </w:p>
    <w:p w:rsidR="00683496" w:rsidRPr="009040B8" w:rsidRDefault="00683496" w:rsidP="00683496">
      <w:pPr>
        <w:jc w:val="both"/>
        <w:rPr>
          <w:rFonts w:ascii="Verdana" w:hAnsi="Verdana" w:cs="Arial"/>
        </w:rPr>
      </w:pPr>
      <w:r w:rsidRPr="009040B8">
        <w:rPr>
          <w:rFonts w:ascii="Verdana" w:hAnsi="Verdana" w:cs="Arial"/>
        </w:rPr>
        <w:t>Wniosek o przeprowadzenie badań arbitrażowych dotyczących zawartości wolnych przestrzeni lub wskaźnika zagęszczenia należy złożyć w ciągu 1 miesiąca od wpływu reklamacji ze strony Zamawiającego.</w:t>
      </w:r>
    </w:p>
    <w:p w:rsidR="00683496" w:rsidRPr="009040B8" w:rsidRDefault="00683496" w:rsidP="00683496">
      <w:pPr>
        <w:jc w:val="both"/>
        <w:rPr>
          <w:rFonts w:ascii="Verdana" w:hAnsi="Verdana" w:cs="Arial"/>
        </w:rPr>
      </w:pPr>
    </w:p>
    <w:p w:rsidR="00683496" w:rsidRPr="009040B8" w:rsidRDefault="00683496" w:rsidP="00683496">
      <w:pPr>
        <w:rPr>
          <w:rFonts w:ascii="Verdana" w:hAnsi="Verdana" w:cs="Arial"/>
          <w:b/>
        </w:rPr>
      </w:pPr>
      <w:r w:rsidRPr="009040B8">
        <w:rPr>
          <w:rFonts w:ascii="Verdana" w:hAnsi="Verdana" w:cs="Arial"/>
          <w:b/>
        </w:rPr>
        <w:t>6.4. Właściwości i dopuszczalne odchyłki mieszanki mineralno-asfaltowej oraz wykonanej warstwy.</w:t>
      </w:r>
    </w:p>
    <w:p w:rsidR="00683496" w:rsidRPr="009040B8" w:rsidRDefault="00683496" w:rsidP="00683496">
      <w:pPr>
        <w:rPr>
          <w:rFonts w:ascii="Verdana" w:hAnsi="Verdana" w:cs="Arial"/>
          <w:b/>
        </w:rPr>
      </w:pPr>
    </w:p>
    <w:p w:rsidR="00683496" w:rsidRPr="009040B8" w:rsidRDefault="00683496" w:rsidP="00683496">
      <w:pPr>
        <w:spacing w:after="120"/>
        <w:jc w:val="both"/>
        <w:rPr>
          <w:rFonts w:ascii="Verdana" w:hAnsi="Verdana" w:cs="Arial"/>
          <w:b/>
        </w:rPr>
      </w:pPr>
      <w:r w:rsidRPr="009040B8">
        <w:rPr>
          <w:rFonts w:ascii="Verdana" w:hAnsi="Verdana" w:cs="Arial"/>
          <w:b/>
        </w:rPr>
        <w:t xml:space="preserve">6.4.1. Mieszanka mineralno-asfaltowa </w:t>
      </w:r>
    </w:p>
    <w:p w:rsidR="00683496" w:rsidRPr="00F61EA3" w:rsidRDefault="00683496" w:rsidP="00683496">
      <w:pPr>
        <w:spacing w:after="120"/>
        <w:jc w:val="both"/>
        <w:rPr>
          <w:rFonts w:ascii="Verdana" w:hAnsi="Verdana" w:cs="Arial"/>
          <w:b/>
        </w:rPr>
      </w:pPr>
      <w:r w:rsidRPr="009040B8">
        <w:rPr>
          <w:rFonts w:ascii="Verdana" w:hAnsi="Verdana" w:cs="Arial"/>
        </w:rPr>
        <w:t>Właściwości materiałów należy oceniać na podstawie badań pobranych próbek mieszanki mineralno-asfaltowej przed wbudowaniem (wbudowanie oznacza wykonanie warstwy asfaltowej). Wyjątkowo dopuszcza się badania próbek pobranych z wykonanej warstwy asfaltowej.</w:t>
      </w:r>
      <w:r w:rsidRPr="009040B8">
        <w:rPr>
          <w:rFonts w:ascii="Verdana" w:hAnsi="Verdana" w:cs="Arial"/>
          <w:b/>
        </w:rPr>
        <w:t xml:space="preserve">                                                                                                                   </w:t>
      </w:r>
      <w:r w:rsidRPr="009040B8">
        <w:rPr>
          <w:rFonts w:ascii="Verdana" w:hAnsi="Verdana" w:cs="Aria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683496" w:rsidRPr="009040B8" w:rsidRDefault="00683496" w:rsidP="00683496">
      <w:pPr>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1</w:t>
      </w:r>
      <w:r>
        <w:rPr>
          <w:rFonts w:ascii="Verdana" w:hAnsi="Verdana" w:cs="Arial"/>
        </w:rPr>
        <w:t>7</w:t>
      </w:r>
      <w:r w:rsidRPr="009040B8">
        <w:rPr>
          <w:rFonts w:ascii="Verdana" w:hAnsi="Verdana" w:cs="Arial"/>
        </w:rPr>
        <w:t xml:space="preserve">. Dopuszczalne odchyłki dotyczące zawartości </w:t>
      </w:r>
      <w:r>
        <w:rPr>
          <w:rFonts w:ascii="Verdana" w:hAnsi="Verdana" w:cs="Arial"/>
        </w:rPr>
        <w:t>asfaltu</w:t>
      </w:r>
      <w:r w:rsidRPr="009040B8">
        <w:rPr>
          <w:rFonts w:ascii="Verdana" w:hAnsi="Verdana" w:cs="Arial"/>
        </w:rPr>
        <w:t xml:space="preserve"> rozpuszczalnego, [%(m/m)]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2313"/>
        <w:gridCol w:w="2330"/>
        <w:gridCol w:w="2302"/>
      </w:tblGrid>
      <w:tr w:rsidR="00683496" w:rsidRPr="009040B8" w:rsidTr="00683496">
        <w:trPr>
          <w:trHeight w:val="340"/>
        </w:trPr>
        <w:tc>
          <w:tcPr>
            <w:tcW w:w="2445" w:type="dxa"/>
            <w:vMerge w:val="restart"/>
            <w:vAlign w:val="center"/>
          </w:tcPr>
          <w:p w:rsidR="00683496" w:rsidRPr="009040B8" w:rsidRDefault="00683496" w:rsidP="00683496">
            <w:pPr>
              <w:jc w:val="center"/>
              <w:rPr>
                <w:rFonts w:ascii="Verdana" w:hAnsi="Verdana" w:cs="Arial"/>
              </w:rPr>
            </w:pPr>
            <w:r w:rsidRPr="009040B8">
              <w:rPr>
                <w:rFonts w:ascii="Verdana" w:hAnsi="Verdana" w:cs="Arial"/>
              </w:rPr>
              <w:t>Rodzaj mieszanki</w:t>
            </w:r>
          </w:p>
        </w:tc>
        <w:tc>
          <w:tcPr>
            <w:tcW w:w="7336" w:type="dxa"/>
            <w:gridSpan w:val="3"/>
            <w:vAlign w:val="center"/>
          </w:tcPr>
          <w:p w:rsidR="00683496" w:rsidRPr="009040B8" w:rsidRDefault="00683496" w:rsidP="00683496">
            <w:pPr>
              <w:jc w:val="center"/>
              <w:rPr>
                <w:rFonts w:ascii="Verdana" w:hAnsi="Verdana" w:cs="Arial"/>
              </w:rPr>
            </w:pPr>
            <w:r w:rsidRPr="009040B8">
              <w:rPr>
                <w:rFonts w:ascii="Verdana" w:hAnsi="Verdana" w:cs="Arial"/>
              </w:rPr>
              <w:t>Odchyłki od wartości projektowanej</w:t>
            </w:r>
          </w:p>
        </w:tc>
      </w:tr>
      <w:tr w:rsidR="00683496" w:rsidRPr="009040B8" w:rsidTr="00683496">
        <w:trPr>
          <w:trHeight w:val="340"/>
        </w:trPr>
        <w:tc>
          <w:tcPr>
            <w:tcW w:w="2445" w:type="dxa"/>
            <w:vMerge/>
            <w:vAlign w:val="center"/>
          </w:tcPr>
          <w:p w:rsidR="00683496" w:rsidRPr="009040B8" w:rsidRDefault="00683496" w:rsidP="00683496">
            <w:pPr>
              <w:jc w:val="center"/>
              <w:rPr>
                <w:rFonts w:ascii="Verdana" w:hAnsi="Verdana" w:cs="Arial"/>
              </w:rPr>
            </w:pPr>
          </w:p>
        </w:tc>
        <w:tc>
          <w:tcPr>
            <w:tcW w:w="2445" w:type="dxa"/>
            <w:vAlign w:val="center"/>
          </w:tcPr>
          <w:p w:rsidR="00683496" w:rsidRPr="009040B8" w:rsidRDefault="00683496" w:rsidP="00683496">
            <w:pPr>
              <w:jc w:val="center"/>
              <w:rPr>
                <w:rFonts w:ascii="Verdana" w:hAnsi="Verdana" w:cs="Arial"/>
              </w:rPr>
            </w:pPr>
            <w:r w:rsidRPr="009040B8">
              <w:rPr>
                <w:rFonts w:ascii="Verdana" w:hAnsi="Verdana" w:cs="Arial"/>
              </w:rPr>
              <w:t>Bez potrąceń</w:t>
            </w:r>
          </w:p>
        </w:tc>
        <w:tc>
          <w:tcPr>
            <w:tcW w:w="2445" w:type="dxa"/>
            <w:vAlign w:val="center"/>
          </w:tcPr>
          <w:p w:rsidR="00683496" w:rsidRPr="009040B8" w:rsidRDefault="00683496" w:rsidP="00683496">
            <w:pPr>
              <w:jc w:val="center"/>
              <w:rPr>
                <w:rFonts w:ascii="Verdana" w:hAnsi="Verdana" w:cs="Arial"/>
              </w:rPr>
            </w:pPr>
            <w:r w:rsidRPr="009040B8">
              <w:rPr>
                <w:rFonts w:ascii="Verdana" w:hAnsi="Verdana" w:cs="Arial"/>
              </w:rPr>
              <w:t>Stosuje się potrącenia</w:t>
            </w:r>
          </w:p>
        </w:tc>
        <w:tc>
          <w:tcPr>
            <w:tcW w:w="2446" w:type="dxa"/>
            <w:vAlign w:val="center"/>
          </w:tcPr>
          <w:p w:rsidR="00683496" w:rsidRPr="009040B8" w:rsidRDefault="00683496" w:rsidP="00683496">
            <w:pPr>
              <w:jc w:val="center"/>
              <w:rPr>
                <w:rFonts w:ascii="Verdana" w:hAnsi="Verdana" w:cs="Arial"/>
              </w:rPr>
            </w:pPr>
            <w:r w:rsidRPr="009040B8">
              <w:rPr>
                <w:rFonts w:ascii="Verdana" w:hAnsi="Verdana" w:cs="Arial"/>
              </w:rPr>
              <w:t>Nie do odbioru</w:t>
            </w:r>
          </w:p>
        </w:tc>
      </w:tr>
      <w:tr w:rsidR="00683496" w:rsidRPr="009040B8" w:rsidTr="00683496">
        <w:trPr>
          <w:trHeight w:val="340"/>
        </w:trPr>
        <w:tc>
          <w:tcPr>
            <w:tcW w:w="2445" w:type="dxa"/>
            <w:vAlign w:val="center"/>
          </w:tcPr>
          <w:p w:rsidR="00683496" w:rsidRPr="009040B8" w:rsidRDefault="00683496" w:rsidP="00683496">
            <w:pPr>
              <w:jc w:val="center"/>
              <w:rPr>
                <w:rFonts w:ascii="Verdana" w:hAnsi="Verdana" w:cs="Arial"/>
              </w:rPr>
            </w:pPr>
            <w:r w:rsidRPr="009040B8">
              <w:rPr>
                <w:rFonts w:ascii="Verdana" w:hAnsi="Verdana" w:cs="Arial"/>
              </w:rPr>
              <w:t>AC</w:t>
            </w:r>
            <w:r>
              <w:rPr>
                <w:rFonts w:ascii="Verdana" w:hAnsi="Verdana" w:cs="Arial"/>
              </w:rPr>
              <w:t xml:space="preserve"> </w:t>
            </w:r>
            <w:r w:rsidRPr="009040B8">
              <w:rPr>
                <w:rFonts w:ascii="Verdana" w:hAnsi="Verdana" w:cs="Arial"/>
              </w:rPr>
              <w:t>W</w:t>
            </w:r>
          </w:p>
        </w:tc>
        <w:tc>
          <w:tcPr>
            <w:tcW w:w="2445" w:type="dxa"/>
            <w:vAlign w:val="center"/>
          </w:tcPr>
          <w:p w:rsidR="00683496" w:rsidRPr="009040B8" w:rsidRDefault="00683496" w:rsidP="00683496">
            <w:pPr>
              <w:jc w:val="center"/>
              <w:rPr>
                <w:rFonts w:ascii="Verdana" w:hAnsi="Verdana" w:cs="Arial"/>
              </w:rPr>
            </w:pPr>
            <w:r w:rsidRPr="009040B8">
              <w:rPr>
                <w:rFonts w:ascii="Verdana" w:hAnsi="Verdana" w:cs="Arial"/>
              </w:rPr>
              <w:t>≤ ±0,3</w:t>
            </w:r>
          </w:p>
        </w:tc>
        <w:tc>
          <w:tcPr>
            <w:tcW w:w="2445" w:type="dxa"/>
            <w:vAlign w:val="center"/>
          </w:tcPr>
          <w:p w:rsidR="00683496" w:rsidRPr="009040B8" w:rsidRDefault="00683496" w:rsidP="00683496">
            <w:pPr>
              <w:jc w:val="center"/>
              <w:rPr>
                <w:rFonts w:ascii="Verdana" w:hAnsi="Verdana" w:cs="Arial"/>
              </w:rPr>
            </w:pPr>
            <w:r w:rsidRPr="009040B8">
              <w:rPr>
                <w:rFonts w:ascii="Verdana" w:hAnsi="Verdana" w:cs="Arial"/>
              </w:rPr>
              <w:t>±0,4 ÷ ±0,5</w:t>
            </w:r>
          </w:p>
        </w:tc>
        <w:tc>
          <w:tcPr>
            <w:tcW w:w="2446" w:type="dxa"/>
            <w:vAlign w:val="center"/>
          </w:tcPr>
          <w:p w:rsidR="00683496" w:rsidRPr="009040B8" w:rsidRDefault="00683496" w:rsidP="00683496">
            <w:pPr>
              <w:jc w:val="center"/>
              <w:rPr>
                <w:rFonts w:ascii="Verdana" w:hAnsi="Verdana" w:cs="Arial"/>
              </w:rPr>
            </w:pPr>
            <w:r w:rsidRPr="009040B8">
              <w:rPr>
                <w:rFonts w:ascii="Verdana" w:hAnsi="Verdana" w:cs="Arial"/>
              </w:rPr>
              <w:t>≥ ±0,6</w:t>
            </w:r>
          </w:p>
        </w:tc>
      </w:tr>
    </w:tbl>
    <w:p w:rsidR="00683496" w:rsidRPr="009040B8" w:rsidRDefault="00683496" w:rsidP="00683496">
      <w:pPr>
        <w:spacing w:after="120"/>
        <w:jc w:val="both"/>
        <w:rPr>
          <w:rFonts w:ascii="Verdana" w:hAnsi="Verdana" w:cs="Arial"/>
        </w:rPr>
      </w:pPr>
    </w:p>
    <w:p w:rsidR="00683496" w:rsidRPr="009040B8" w:rsidRDefault="00683496" w:rsidP="00683496">
      <w:pPr>
        <w:ind w:left="1276" w:hanging="1276"/>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w:t>
      </w:r>
      <w:r>
        <w:rPr>
          <w:rFonts w:ascii="Verdana" w:hAnsi="Verdana" w:cs="Arial"/>
        </w:rPr>
        <w:t>18</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&lt; 0,063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683496" w:rsidRPr="009040B8" w:rsidTr="00683496">
        <w:trPr>
          <w:trHeight w:val="340"/>
        </w:trPr>
        <w:tc>
          <w:tcPr>
            <w:tcW w:w="2552" w:type="dxa"/>
            <w:vMerge w:val="restart"/>
            <w:vAlign w:val="center"/>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Rodzaj mieszanki</w:t>
            </w:r>
          </w:p>
          <w:p w:rsidR="00683496" w:rsidRPr="009040B8" w:rsidRDefault="00683496" w:rsidP="00683496">
            <w:pPr>
              <w:jc w:val="center"/>
              <w:rPr>
                <w:rFonts w:ascii="Verdana" w:hAnsi="Verdana" w:cs="Arial"/>
              </w:rPr>
            </w:pPr>
          </w:p>
        </w:tc>
        <w:tc>
          <w:tcPr>
            <w:tcW w:w="7229"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Odchyłka od wartości projektowanej</w:t>
            </w:r>
          </w:p>
        </w:tc>
      </w:tr>
      <w:tr w:rsidR="00683496" w:rsidRPr="009040B8" w:rsidTr="00683496">
        <w:trPr>
          <w:trHeight w:val="340"/>
        </w:trPr>
        <w:tc>
          <w:tcPr>
            <w:tcW w:w="2552" w:type="dxa"/>
            <w:vMerge/>
            <w:vAlign w:val="center"/>
          </w:tcPr>
          <w:p w:rsidR="00683496" w:rsidRPr="009040B8" w:rsidRDefault="00683496" w:rsidP="00683496">
            <w:pPr>
              <w:jc w:val="center"/>
              <w:rPr>
                <w:rFonts w:ascii="Verdana" w:hAnsi="Verdana" w:cs="Arial"/>
              </w:rPr>
            </w:pP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Bez potrąceń</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Stosuje się potrącenia</w:t>
            </w:r>
          </w:p>
        </w:tc>
      </w:tr>
      <w:tr w:rsidR="00683496" w:rsidRPr="009040B8" w:rsidTr="00683496">
        <w:trPr>
          <w:trHeight w:val="340"/>
        </w:trPr>
        <w:tc>
          <w:tcPr>
            <w:tcW w:w="2552" w:type="dxa"/>
            <w:vAlign w:val="center"/>
          </w:tcPr>
          <w:p w:rsidR="00683496" w:rsidRPr="009040B8" w:rsidRDefault="00683496" w:rsidP="00683496">
            <w:pPr>
              <w:jc w:val="center"/>
              <w:rPr>
                <w:rFonts w:ascii="Verdana" w:hAnsi="Verdana" w:cs="Arial"/>
              </w:rPr>
            </w:pPr>
            <w:r w:rsidRPr="009040B8">
              <w:rPr>
                <w:rFonts w:ascii="Verdana" w:hAnsi="Verdana" w:cs="Arial"/>
              </w:rPr>
              <w:t>AC</w:t>
            </w:r>
            <w:r>
              <w:rPr>
                <w:rFonts w:ascii="Verdana" w:hAnsi="Verdana" w:cs="Arial"/>
              </w:rPr>
              <w:t xml:space="preserve"> </w:t>
            </w:r>
            <w:r w:rsidRPr="009040B8">
              <w:rPr>
                <w:rFonts w:ascii="Verdana" w:hAnsi="Verdana" w:cs="Arial"/>
              </w:rPr>
              <w:t>W</w:t>
            </w: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 ±1,5</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±1,6 ÷ ±3,0</w:t>
            </w:r>
          </w:p>
        </w:tc>
      </w:tr>
    </w:tbl>
    <w:p w:rsidR="00683496" w:rsidRPr="009040B8" w:rsidRDefault="00683496" w:rsidP="00683496">
      <w:pPr>
        <w:jc w:val="both"/>
        <w:rPr>
          <w:rFonts w:ascii="Verdana" w:hAnsi="Verdana" w:cs="Arial"/>
        </w:rPr>
      </w:pPr>
    </w:p>
    <w:p w:rsidR="00683496" w:rsidRPr="009040B8" w:rsidRDefault="00683496" w:rsidP="00683496">
      <w:pPr>
        <w:ind w:left="1276" w:hanging="1276"/>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w:t>
      </w:r>
      <w:r>
        <w:rPr>
          <w:rFonts w:ascii="Verdana" w:hAnsi="Verdana" w:cs="Arial"/>
        </w:rPr>
        <w:t>19</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&lt; 0,125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683496" w:rsidRPr="009040B8" w:rsidTr="00683496">
        <w:trPr>
          <w:trHeight w:val="340"/>
        </w:trPr>
        <w:tc>
          <w:tcPr>
            <w:tcW w:w="2552" w:type="dxa"/>
            <w:vMerge w:val="restart"/>
            <w:vAlign w:val="center"/>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Rodzaj mieszanki</w:t>
            </w:r>
          </w:p>
          <w:p w:rsidR="00683496" w:rsidRPr="009040B8" w:rsidRDefault="00683496" w:rsidP="00683496">
            <w:pPr>
              <w:jc w:val="center"/>
              <w:rPr>
                <w:rFonts w:ascii="Verdana" w:hAnsi="Verdana" w:cs="Arial"/>
              </w:rPr>
            </w:pPr>
          </w:p>
        </w:tc>
        <w:tc>
          <w:tcPr>
            <w:tcW w:w="7229"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Odchyłka od wartości projektowanej</w:t>
            </w:r>
          </w:p>
        </w:tc>
      </w:tr>
      <w:tr w:rsidR="00683496" w:rsidRPr="009040B8" w:rsidTr="00683496">
        <w:trPr>
          <w:trHeight w:val="340"/>
        </w:trPr>
        <w:tc>
          <w:tcPr>
            <w:tcW w:w="2552" w:type="dxa"/>
            <w:vMerge/>
            <w:vAlign w:val="center"/>
          </w:tcPr>
          <w:p w:rsidR="00683496" w:rsidRPr="009040B8" w:rsidRDefault="00683496" w:rsidP="00683496">
            <w:pPr>
              <w:jc w:val="center"/>
              <w:rPr>
                <w:rFonts w:ascii="Verdana" w:hAnsi="Verdana" w:cs="Arial"/>
              </w:rPr>
            </w:pP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Bez potrąceń</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Stosuje się potrącenia</w:t>
            </w:r>
          </w:p>
        </w:tc>
      </w:tr>
      <w:tr w:rsidR="00683496" w:rsidRPr="009040B8" w:rsidTr="00683496">
        <w:trPr>
          <w:trHeight w:val="340"/>
        </w:trPr>
        <w:tc>
          <w:tcPr>
            <w:tcW w:w="2552" w:type="dxa"/>
            <w:vAlign w:val="center"/>
          </w:tcPr>
          <w:p w:rsidR="00683496" w:rsidRPr="009040B8" w:rsidRDefault="00683496" w:rsidP="00683496">
            <w:pPr>
              <w:jc w:val="center"/>
              <w:rPr>
                <w:rFonts w:ascii="Verdana" w:hAnsi="Verdana" w:cs="Arial"/>
              </w:rPr>
            </w:pPr>
            <w:r w:rsidRPr="009040B8">
              <w:rPr>
                <w:rFonts w:ascii="Verdana" w:hAnsi="Verdana" w:cs="Arial"/>
              </w:rPr>
              <w:t>AC</w:t>
            </w:r>
            <w:r>
              <w:rPr>
                <w:rFonts w:ascii="Verdana" w:hAnsi="Verdana" w:cs="Arial"/>
              </w:rPr>
              <w:t xml:space="preserve"> </w:t>
            </w:r>
            <w:r w:rsidRPr="009040B8">
              <w:rPr>
                <w:rFonts w:ascii="Verdana" w:hAnsi="Verdana" w:cs="Arial"/>
              </w:rPr>
              <w:t>W</w:t>
            </w: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 ±2</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±3 ÷ ±4</w:t>
            </w:r>
          </w:p>
        </w:tc>
      </w:tr>
    </w:tbl>
    <w:p w:rsidR="00683496" w:rsidRPr="009040B8" w:rsidRDefault="00683496" w:rsidP="00683496">
      <w:pPr>
        <w:rPr>
          <w:rFonts w:ascii="Verdana" w:hAnsi="Verdana" w:cs="Arial"/>
        </w:rPr>
      </w:pPr>
    </w:p>
    <w:p w:rsidR="00683496" w:rsidRPr="009040B8" w:rsidRDefault="00683496" w:rsidP="00683496">
      <w:pPr>
        <w:ind w:left="1134" w:hanging="1134"/>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w:t>
      </w:r>
      <w:r>
        <w:rPr>
          <w:rFonts w:ascii="Verdana" w:hAnsi="Verdana" w:cs="Arial"/>
        </w:rPr>
        <w:t>0</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&lt; 2,0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683496" w:rsidRPr="009040B8" w:rsidTr="00683496">
        <w:trPr>
          <w:trHeight w:val="340"/>
        </w:trPr>
        <w:tc>
          <w:tcPr>
            <w:tcW w:w="2552" w:type="dxa"/>
            <w:vMerge w:val="restart"/>
            <w:vAlign w:val="center"/>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Rodzaj mieszanki</w:t>
            </w:r>
          </w:p>
          <w:p w:rsidR="00683496" w:rsidRPr="009040B8" w:rsidRDefault="00683496" w:rsidP="00683496">
            <w:pPr>
              <w:jc w:val="center"/>
              <w:rPr>
                <w:rFonts w:ascii="Verdana" w:hAnsi="Verdana" w:cs="Arial"/>
              </w:rPr>
            </w:pPr>
          </w:p>
        </w:tc>
        <w:tc>
          <w:tcPr>
            <w:tcW w:w="7229"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Odchyłka od wartości projektowanej</w:t>
            </w:r>
          </w:p>
        </w:tc>
      </w:tr>
      <w:tr w:rsidR="00683496" w:rsidRPr="009040B8" w:rsidTr="00683496">
        <w:trPr>
          <w:trHeight w:val="340"/>
        </w:trPr>
        <w:tc>
          <w:tcPr>
            <w:tcW w:w="2552" w:type="dxa"/>
            <w:vMerge/>
            <w:vAlign w:val="center"/>
          </w:tcPr>
          <w:p w:rsidR="00683496" w:rsidRPr="009040B8" w:rsidRDefault="00683496" w:rsidP="00683496">
            <w:pPr>
              <w:jc w:val="center"/>
              <w:rPr>
                <w:rFonts w:ascii="Verdana" w:hAnsi="Verdana" w:cs="Arial"/>
              </w:rPr>
            </w:pP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Bez potrąceń</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Stosuje się potrącenia</w:t>
            </w:r>
          </w:p>
        </w:tc>
      </w:tr>
      <w:tr w:rsidR="00683496" w:rsidRPr="009040B8" w:rsidTr="00683496">
        <w:trPr>
          <w:trHeight w:val="340"/>
        </w:trPr>
        <w:tc>
          <w:tcPr>
            <w:tcW w:w="2552" w:type="dxa"/>
            <w:vAlign w:val="center"/>
          </w:tcPr>
          <w:p w:rsidR="00683496" w:rsidRPr="009040B8" w:rsidRDefault="00683496" w:rsidP="00683496">
            <w:pPr>
              <w:jc w:val="center"/>
              <w:rPr>
                <w:rFonts w:ascii="Verdana" w:hAnsi="Verdana" w:cs="Arial"/>
              </w:rPr>
            </w:pPr>
            <w:r w:rsidRPr="009040B8">
              <w:rPr>
                <w:rFonts w:ascii="Verdana" w:hAnsi="Verdana" w:cs="Arial"/>
              </w:rPr>
              <w:t>AC</w:t>
            </w:r>
            <w:r>
              <w:rPr>
                <w:rFonts w:ascii="Verdana" w:hAnsi="Verdana" w:cs="Arial"/>
              </w:rPr>
              <w:t xml:space="preserve"> </w:t>
            </w:r>
            <w:r w:rsidRPr="009040B8">
              <w:rPr>
                <w:rFonts w:ascii="Verdana" w:hAnsi="Verdana" w:cs="Arial"/>
              </w:rPr>
              <w:t>W</w:t>
            </w: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 ±3</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±4 ÷ ±6</w:t>
            </w:r>
          </w:p>
        </w:tc>
      </w:tr>
    </w:tbl>
    <w:p w:rsidR="00683496" w:rsidRPr="009040B8" w:rsidRDefault="00683496" w:rsidP="00683496">
      <w:pPr>
        <w:jc w:val="both"/>
        <w:rPr>
          <w:rFonts w:ascii="Verdana" w:hAnsi="Verdana" w:cs="Arial"/>
        </w:rPr>
      </w:pPr>
    </w:p>
    <w:p w:rsidR="00683496" w:rsidRPr="009040B8" w:rsidRDefault="00683496" w:rsidP="00683496">
      <w:pPr>
        <w:ind w:left="1134" w:hanging="1134"/>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w:t>
      </w:r>
      <w:r>
        <w:rPr>
          <w:rFonts w:ascii="Verdana" w:hAnsi="Verdana" w:cs="Arial"/>
        </w:rPr>
        <w:t>1</w:t>
      </w:r>
      <w:r w:rsidRPr="009040B8">
        <w:rPr>
          <w:rFonts w:ascii="Verdana" w:hAnsi="Verdana" w:cs="Arial"/>
        </w:rPr>
        <w:t>. Dopuszczalne odchyłki dotyczące zawartości kruszywa o wymiarze</w:t>
      </w:r>
      <w:r>
        <w:rPr>
          <w:rFonts w:ascii="Verdana" w:hAnsi="Verdana" w:cs="Arial"/>
        </w:rPr>
        <w:br/>
      </w:r>
      <w:r w:rsidRPr="009040B8">
        <w:rPr>
          <w:rFonts w:ascii="Verdana" w:hAnsi="Verdana" w:cs="Arial"/>
        </w:rPr>
        <w:t xml:space="preserve"> &lt; D/2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683496" w:rsidRPr="009040B8" w:rsidTr="00683496">
        <w:trPr>
          <w:trHeight w:val="340"/>
        </w:trPr>
        <w:tc>
          <w:tcPr>
            <w:tcW w:w="2552" w:type="dxa"/>
            <w:vMerge w:val="restart"/>
            <w:vAlign w:val="center"/>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Rodzaj mieszanki</w:t>
            </w:r>
          </w:p>
          <w:p w:rsidR="00683496" w:rsidRPr="009040B8" w:rsidRDefault="00683496" w:rsidP="00683496">
            <w:pPr>
              <w:jc w:val="center"/>
              <w:rPr>
                <w:rFonts w:ascii="Verdana" w:hAnsi="Verdana" w:cs="Arial"/>
              </w:rPr>
            </w:pPr>
          </w:p>
        </w:tc>
        <w:tc>
          <w:tcPr>
            <w:tcW w:w="7229"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Odchyłka od wartości projektowanej</w:t>
            </w:r>
          </w:p>
        </w:tc>
      </w:tr>
      <w:tr w:rsidR="00683496" w:rsidRPr="009040B8" w:rsidTr="00683496">
        <w:trPr>
          <w:trHeight w:val="340"/>
        </w:trPr>
        <w:tc>
          <w:tcPr>
            <w:tcW w:w="2552" w:type="dxa"/>
            <w:vMerge/>
            <w:vAlign w:val="center"/>
          </w:tcPr>
          <w:p w:rsidR="00683496" w:rsidRPr="009040B8" w:rsidRDefault="00683496" w:rsidP="00683496">
            <w:pPr>
              <w:jc w:val="center"/>
              <w:rPr>
                <w:rFonts w:ascii="Verdana" w:hAnsi="Verdana" w:cs="Arial"/>
              </w:rPr>
            </w:pP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Bez potrąceń</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Stosuje się potrącenia</w:t>
            </w:r>
          </w:p>
        </w:tc>
      </w:tr>
      <w:tr w:rsidR="00683496" w:rsidRPr="009040B8" w:rsidTr="00683496">
        <w:trPr>
          <w:trHeight w:val="340"/>
        </w:trPr>
        <w:tc>
          <w:tcPr>
            <w:tcW w:w="2552" w:type="dxa"/>
            <w:vAlign w:val="center"/>
          </w:tcPr>
          <w:p w:rsidR="00683496" w:rsidRPr="009040B8" w:rsidRDefault="00683496" w:rsidP="00683496">
            <w:pPr>
              <w:jc w:val="center"/>
              <w:rPr>
                <w:rFonts w:ascii="Verdana" w:hAnsi="Verdana" w:cs="Arial"/>
              </w:rPr>
            </w:pPr>
            <w:r w:rsidRPr="009040B8">
              <w:rPr>
                <w:rFonts w:ascii="Verdana" w:hAnsi="Verdana" w:cs="Arial"/>
              </w:rPr>
              <w:t>AC</w:t>
            </w:r>
            <w:r>
              <w:rPr>
                <w:rFonts w:ascii="Verdana" w:hAnsi="Verdana" w:cs="Arial"/>
              </w:rPr>
              <w:t xml:space="preserve"> </w:t>
            </w:r>
            <w:r w:rsidRPr="009040B8">
              <w:rPr>
                <w:rFonts w:ascii="Verdana" w:hAnsi="Verdana" w:cs="Arial"/>
              </w:rPr>
              <w:t>W</w:t>
            </w: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 ±3</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±4 ÷ ±6</w:t>
            </w:r>
          </w:p>
        </w:tc>
      </w:tr>
    </w:tbl>
    <w:p w:rsidR="00683496" w:rsidRPr="009040B8" w:rsidRDefault="00683496" w:rsidP="00683496">
      <w:pPr>
        <w:jc w:val="both"/>
        <w:rPr>
          <w:rFonts w:ascii="Verdana" w:hAnsi="Verdana" w:cs="Arial"/>
        </w:rPr>
      </w:pPr>
    </w:p>
    <w:p w:rsidR="00683496" w:rsidRPr="009040B8" w:rsidRDefault="00683496" w:rsidP="00683496">
      <w:pPr>
        <w:ind w:left="1134" w:hanging="1134"/>
        <w:jc w:val="both"/>
        <w:rPr>
          <w:rFonts w:ascii="Verdana" w:hAnsi="Verdana" w:cs="Arial"/>
        </w:rPr>
      </w:pPr>
      <w:r w:rsidRPr="009040B8">
        <w:rPr>
          <w:rFonts w:ascii="Verdana" w:hAnsi="Verdana" w:cs="Arial"/>
        </w:rPr>
        <w:t>Tab</w:t>
      </w:r>
      <w:r>
        <w:rPr>
          <w:rFonts w:ascii="Verdana" w:hAnsi="Verdana" w:cs="Arial"/>
        </w:rPr>
        <w:t>ela</w:t>
      </w:r>
      <w:r w:rsidRPr="009040B8">
        <w:rPr>
          <w:rFonts w:ascii="Verdana" w:hAnsi="Verdana" w:cs="Arial"/>
        </w:rPr>
        <w:t xml:space="preserve"> 2</w:t>
      </w:r>
      <w:r>
        <w:rPr>
          <w:rFonts w:ascii="Verdana" w:hAnsi="Verdana" w:cs="Arial"/>
        </w:rPr>
        <w:t>2</w:t>
      </w:r>
      <w:r w:rsidRPr="009040B8">
        <w:rPr>
          <w:rFonts w:ascii="Verdana" w:hAnsi="Verdana" w:cs="Arial"/>
        </w:rPr>
        <w:t xml:space="preserve">. Dopuszczalne odchyłki dotyczące zawartości kruszywa o wymiarze </w:t>
      </w:r>
      <w:r>
        <w:rPr>
          <w:rFonts w:ascii="Verdana" w:hAnsi="Verdana" w:cs="Arial"/>
        </w:rPr>
        <w:br/>
      </w:r>
      <w:r w:rsidRPr="009040B8">
        <w:rPr>
          <w:rFonts w:ascii="Verdana" w:hAnsi="Verdana" w:cs="Arial"/>
        </w:rPr>
        <w:t xml:space="preserve">&lt; D mm, [%(m/m)]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20"/>
        <w:gridCol w:w="3435"/>
      </w:tblGrid>
      <w:tr w:rsidR="00683496" w:rsidRPr="009040B8" w:rsidTr="00683496">
        <w:trPr>
          <w:trHeight w:val="340"/>
        </w:trPr>
        <w:tc>
          <w:tcPr>
            <w:tcW w:w="2552" w:type="dxa"/>
            <w:vMerge w:val="restart"/>
            <w:vAlign w:val="center"/>
          </w:tcPr>
          <w:p w:rsidR="00683496" w:rsidRPr="009040B8" w:rsidRDefault="00683496" w:rsidP="00683496">
            <w:pPr>
              <w:jc w:val="center"/>
              <w:rPr>
                <w:rFonts w:ascii="Verdana" w:hAnsi="Verdana" w:cs="Arial"/>
              </w:rPr>
            </w:pPr>
          </w:p>
          <w:p w:rsidR="00683496" w:rsidRPr="009040B8" w:rsidRDefault="00683496" w:rsidP="00683496">
            <w:pPr>
              <w:jc w:val="center"/>
              <w:rPr>
                <w:rFonts w:ascii="Verdana" w:hAnsi="Verdana" w:cs="Arial"/>
              </w:rPr>
            </w:pPr>
            <w:r w:rsidRPr="009040B8">
              <w:rPr>
                <w:rFonts w:ascii="Verdana" w:hAnsi="Verdana" w:cs="Arial"/>
              </w:rPr>
              <w:t>Rodzaj mieszanki</w:t>
            </w:r>
          </w:p>
          <w:p w:rsidR="00683496" w:rsidRPr="009040B8" w:rsidRDefault="00683496" w:rsidP="00683496">
            <w:pPr>
              <w:jc w:val="center"/>
              <w:rPr>
                <w:rFonts w:ascii="Verdana" w:hAnsi="Verdana" w:cs="Arial"/>
              </w:rPr>
            </w:pPr>
          </w:p>
        </w:tc>
        <w:tc>
          <w:tcPr>
            <w:tcW w:w="7229" w:type="dxa"/>
            <w:gridSpan w:val="2"/>
            <w:vAlign w:val="center"/>
          </w:tcPr>
          <w:p w:rsidR="00683496" w:rsidRPr="009040B8" w:rsidRDefault="00683496" w:rsidP="00683496">
            <w:pPr>
              <w:jc w:val="center"/>
              <w:rPr>
                <w:rFonts w:ascii="Verdana" w:hAnsi="Verdana" w:cs="Arial"/>
              </w:rPr>
            </w:pPr>
            <w:r w:rsidRPr="009040B8">
              <w:rPr>
                <w:rFonts w:ascii="Verdana" w:hAnsi="Verdana" w:cs="Arial"/>
              </w:rPr>
              <w:t>Odchyłka od wartości projektowanej</w:t>
            </w:r>
          </w:p>
        </w:tc>
      </w:tr>
      <w:tr w:rsidR="00683496" w:rsidRPr="009040B8" w:rsidTr="00683496">
        <w:trPr>
          <w:trHeight w:val="340"/>
        </w:trPr>
        <w:tc>
          <w:tcPr>
            <w:tcW w:w="2552" w:type="dxa"/>
            <w:vMerge/>
            <w:vAlign w:val="center"/>
          </w:tcPr>
          <w:p w:rsidR="00683496" w:rsidRPr="009040B8" w:rsidRDefault="00683496" w:rsidP="00683496">
            <w:pPr>
              <w:jc w:val="center"/>
              <w:rPr>
                <w:rFonts w:ascii="Verdana" w:hAnsi="Verdana" w:cs="Arial"/>
              </w:rPr>
            </w:pP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Bez potrąceń</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Stosuje się potrącenia</w:t>
            </w:r>
          </w:p>
        </w:tc>
      </w:tr>
      <w:tr w:rsidR="00683496" w:rsidRPr="009040B8" w:rsidTr="00683496">
        <w:trPr>
          <w:trHeight w:val="340"/>
        </w:trPr>
        <w:tc>
          <w:tcPr>
            <w:tcW w:w="2552" w:type="dxa"/>
            <w:vAlign w:val="center"/>
          </w:tcPr>
          <w:p w:rsidR="00683496" w:rsidRPr="009040B8" w:rsidRDefault="00683496" w:rsidP="00683496">
            <w:pPr>
              <w:jc w:val="center"/>
              <w:rPr>
                <w:rFonts w:ascii="Verdana" w:hAnsi="Verdana" w:cs="Arial"/>
              </w:rPr>
            </w:pPr>
            <w:r w:rsidRPr="009040B8">
              <w:rPr>
                <w:rFonts w:ascii="Verdana" w:hAnsi="Verdana" w:cs="Arial"/>
              </w:rPr>
              <w:t>AC</w:t>
            </w:r>
            <w:r>
              <w:rPr>
                <w:rFonts w:ascii="Verdana" w:hAnsi="Verdana" w:cs="Arial"/>
              </w:rPr>
              <w:t xml:space="preserve"> </w:t>
            </w:r>
            <w:r w:rsidRPr="009040B8">
              <w:rPr>
                <w:rFonts w:ascii="Verdana" w:hAnsi="Verdana" w:cs="Arial"/>
              </w:rPr>
              <w:t>W</w:t>
            </w:r>
          </w:p>
        </w:tc>
        <w:tc>
          <w:tcPr>
            <w:tcW w:w="3614" w:type="dxa"/>
            <w:vAlign w:val="center"/>
          </w:tcPr>
          <w:p w:rsidR="00683496" w:rsidRPr="009040B8" w:rsidRDefault="00683496" w:rsidP="00683496">
            <w:pPr>
              <w:jc w:val="center"/>
              <w:rPr>
                <w:rFonts w:ascii="Verdana" w:hAnsi="Verdana" w:cs="Arial"/>
              </w:rPr>
            </w:pPr>
            <w:r w:rsidRPr="009040B8">
              <w:rPr>
                <w:rFonts w:ascii="Verdana" w:hAnsi="Verdana" w:cs="Arial"/>
              </w:rPr>
              <w:t>≤ ±3</w:t>
            </w:r>
          </w:p>
        </w:tc>
        <w:tc>
          <w:tcPr>
            <w:tcW w:w="3615" w:type="dxa"/>
            <w:vAlign w:val="center"/>
          </w:tcPr>
          <w:p w:rsidR="00683496" w:rsidRPr="009040B8" w:rsidRDefault="00683496" w:rsidP="00683496">
            <w:pPr>
              <w:jc w:val="center"/>
              <w:rPr>
                <w:rFonts w:ascii="Verdana" w:hAnsi="Verdana" w:cs="Arial"/>
              </w:rPr>
            </w:pPr>
            <w:r w:rsidRPr="009040B8">
              <w:rPr>
                <w:rFonts w:ascii="Verdana" w:hAnsi="Verdana" w:cs="Arial"/>
              </w:rPr>
              <w:t>±4 ÷ ±6</w:t>
            </w:r>
          </w:p>
        </w:tc>
      </w:tr>
    </w:tbl>
    <w:p w:rsidR="00683496" w:rsidRPr="009040B8" w:rsidRDefault="00683496" w:rsidP="00683496">
      <w:pPr>
        <w:jc w:val="both"/>
        <w:rPr>
          <w:rFonts w:ascii="Verdana" w:hAnsi="Verdana" w:cs="Arial"/>
        </w:rPr>
      </w:pPr>
    </w:p>
    <w:p w:rsidR="00683496" w:rsidRPr="009040B8" w:rsidRDefault="00683496" w:rsidP="00683496">
      <w:pPr>
        <w:jc w:val="both"/>
        <w:rPr>
          <w:rFonts w:ascii="Verdana" w:hAnsi="Verdana" w:cs="Arial"/>
        </w:rPr>
      </w:pPr>
      <w:r w:rsidRPr="009040B8">
        <w:rPr>
          <w:rFonts w:ascii="Verdana" w:hAnsi="Verdana" w:cs="Arial"/>
        </w:rPr>
        <w:lastRenderedPageBreak/>
        <w:t xml:space="preserve">Uziarnienie każdej próbki pobranej z luźnej mieszanki mineralno-asfaltowej nie może odbiegać od wartości projektowanej, z uwzględnieniem dopuszczalnych odchyłek podanych w </w:t>
      </w:r>
      <w:r>
        <w:rPr>
          <w:rFonts w:ascii="Verdana" w:hAnsi="Verdana" w:cs="Arial"/>
        </w:rPr>
        <w:t>t</w:t>
      </w:r>
      <w:r w:rsidRPr="009040B8">
        <w:rPr>
          <w:rFonts w:ascii="Verdana" w:hAnsi="Verdana" w:cs="Arial"/>
        </w:rPr>
        <w:t>ab</w:t>
      </w:r>
      <w:r>
        <w:rPr>
          <w:rFonts w:ascii="Verdana" w:hAnsi="Verdana" w:cs="Arial"/>
        </w:rPr>
        <w:t>elach</w:t>
      </w:r>
      <w:r w:rsidRPr="009040B8">
        <w:rPr>
          <w:rFonts w:ascii="Verdana" w:hAnsi="Verdana" w:cs="Arial"/>
        </w:rPr>
        <w:t xml:space="preserve"> </w:t>
      </w:r>
      <w:r>
        <w:rPr>
          <w:rFonts w:ascii="Verdana" w:hAnsi="Verdana" w:cs="Arial"/>
        </w:rPr>
        <w:t>18</w:t>
      </w:r>
      <w:r w:rsidRPr="009040B8">
        <w:rPr>
          <w:rFonts w:ascii="Verdana" w:hAnsi="Verdana" w:cs="Arial"/>
        </w:rPr>
        <w:t>-2</w:t>
      </w:r>
      <w:r>
        <w:rPr>
          <w:rFonts w:ascii="Verdana" w:hAnsi="Verdana" w:cs="Arial"/>
        </w:rPr>
        <w:t>2</w:t>
      </w:r>
      <w:r w:rsidRPr="009040B8">
        <w:rPr>
          <w:rFonts w:ascii="Verdana" w:hAnsi="Verdana" w:cs="Arial"/>
        </w:rPr>
        <w:t>.</w:t>
      </w:r>
    </w:p>
    <w:p w:rsidR="00683496" w:rsidRPr="009040B8" w:rsidRDefault="00683496" w:rsidP="00683496">
      <w:pPr>
        <w:jc w:val="both"/>
        <w:rPr>
          <w:rFonts w:ascii="Verdana" w:hAnsi="Verdana" w:cs="Arial"/>
        </w:rPr>
      </w:pPr>
      <w:r w:rsidRPr="009040B8">
        <w:rPr>
          <w:rFonts w:ascii="Verdana" w:hAnsi="Verdana" w:cs="Arial"/>
        </w:rPr>
        <w:t xml:space="preserve">Wymagania dotyczące udziału kruszywa i wypełniacza powinny być spełnione jednocześnie. Zawartość </w:t>
      </w:r>
      <w:r>
        <w:rPr>
          <w:rFonts w:ascii="Verdana" w:hAnsi="Verdana" w:cs="Arial"/>
        </w:rPr>
        <w:t xml:space="preserve">asfaltu </w:t>
      </w:r>
      <w:r w:rsidRPr="009040B8">
        <w:rPr>
          <w:rFonts w:ascii="Verdana" w:hAnsi="Verdana" w:cs="Arial"/>
        </w:rPr>
        <w:t>rozpuszczalnego z każdej próbki pobranej z mieszanki mineralno-asfaltowej lub wyjątkowo z próbki pobranej z nawierzchni nie może odbiegać od wartości asfaltu rozpuszczalnego określonego w recepcie, z uwzględnieniem podanych dopuszczalnych odchyłek w tab</w:t>
      </w:r>
      <w:r>
        <w:rPr>
          <w:rFonts w:ascii="Verdana" w:hAnsi="Verdana" w:cs="Arial"/>
        </w:rPr>
        <w:t>eli</w:t>
      </w:r>
      <w:r w:rsidRPr="009040B8">
        <w:rPr>
          <w:rFonts w:ascii="Verdana" w:hAnsi="Verdana" w:cs="Arial"/>
        </w:rPr>
        <w:t xml:space="preserve"> 1</w:t>
      </w:r>
      <w:r>
        <w:rPr>
          <w:rFonts w:ascii="Verdana" w:hAnsi="Verdana" w:cs="Arial"/>
        </w:rPr>
        <w:t>7</w:t>
      </w:r>
      <w:r w:rsidRPr="009040B8">
        <w:rPr>
          <w:rFonts w:ascii="Verdana" w:hAnsi="Verdana" w:cs="Arial"/>
        </w:rPr>
        <w:t>.</w:t>
      </w:r>
    </w:p>
    <w:p w:rsidR="00683496" w:rsidRPr="00A05C32" w:rsidRDefault="00683496" w:rsidP="00683496">
      <w:pPr>
        <w:jc w:val="both"/>
        <w:rPr>
          <w:rFonts w:ascii="Verdana" w:hAnsi="Verdana" w:cs="Arial"/>
          <w:u w:val="single"/>
        </w:rPr>
      </w:pPr>
      <w:r w:rsidRPr="00A05C32">
        <w:rPr>
          <w:rFonts w:ascii="Verdana" w:hAnsi="Verdana" w:cs="Arial"/>
          <w:u w:val="single"/>
        </w:rPr>
        <w:t>UWAGA!</w:t>
      </w:r>
    </w:p>
    <w:p w:rsidR="00683496" w:rsidRPr="00F61EA3" w:rsidRDefault="00683496" w:rsidP="00683496">
      <w:pPr>
        <w:ind w:left="567"/>
        <w:jc w:val="both"/>
        <w:rPr>
          <w:rFonts w:ascii="Verdana" w:hAnsi="Verdana" w:cs="Arial"/>
        </w:rPr>
      </w:pPr>
      <w:r w:rsidRPr="00F61EA3">
        <w:rPr>
          <w:rFonts w:ascii="Verdana" w:hAnsi="Verdana" w:cs="Arial"/>
        </w:rPr>
        <w:t>Po przekroczeniu odchyłek dopuszczalnych Wykonawca przedstawi program naprawczy lub usunie warstwy niewłaściwie wykonane.</w:t>
      </w:r>
    </w:p>
    <w:p w:rsidR="00683496" w:rsidRPr="009040B8" w:rsidRDefault="00683496" w:rsidP="00683496">
      <w:pPr>
        <w:ind w:left="567"/>
        <w:jc w:val="both"/>
        <w:rPr>
          <w:rFonts w:ascii="Verdana" w:hAnsi="Verdana" w:cs="Arial"/>
          <w:b/>
        </w:rPr>
      </w:pPr>
    </w:p>
    <w:p w:rsidR="00683496" w:rsidRPr="009040B8" w:rsidRDefault="00683496" w:rsidP="00683496">
      <w:pPr>
        <w:jc w:val="both"/>
        <w:rPr>
          <w:rFonts w:ascii="Verdana" w:hAnsi="Verdana" w:cs="Arial"/>
        </w:rPr>
      </w:pPr>
      <w:r w:rsidRPr="009040B8">
        <w:rPr>
          <w:rFonts w:ascii="Verdana" w:hAnsi="Verdana" w:cs="Arial"/>
        </w:rPr>
        <w:t>Potrącenia na nieprawidłową zawartość asfaltu</w:t>
      </w:r>
      <w:r>
        <w:rPr>
          <w:rFonts w:ascii="Verdana" w:hAnsi="Verdana" w:cs="Arial"/>
        </w:rPr>
        <w:t xml:space="preserve"> rozpuszczalnego</w:t>
      </w:r>
      <w:r w:rsidRPr="009040B8">
        <w:rPr>
          <w:rFonts w:ascii="Verdana" w:hAnsi="Verdana" w:cs="Arial"/>
        </w:rPr>
        <w:t xml:space="preserve"> oblicza się na podstawie następującego wzoru</w:t>
      </w:r>
      <w:r>
        <w:rPr>
          <w:rFonts w:ascii="Verdana" w:hAnsi="Verdana" w:cs="Arial"/>
        </w:rPr>
        <w:t>:</w:t>
      </w:r>
    </w:p>
    <w:p w:rsidR="00683496" w:rsidRPr="009040B8" w:rsidRDefault="00683496" w:rsidP="00683496">
      <w:pPr>
        <w:jc w:val="both"/>
        <w:rPr>
          <w:rFonts w:ascii="Verdana" w:hAnsi="Verdana" w:cs="Arial"/>
        </w:rPr>
      </w:pPr>
      <w:r w:rsidRPr="009040B8">
        <w:rPr>
          <w:rFonts w:ascii="Verdana" w:hAnsi="Verdana" w:cs="Arial"/>
        </w:rPr>
        <w:t>P = A*p</w:t>
      </w:r>
      <w:r w:rsidRPr="009040B8">
        <w:rPr>
          <w:rFonts w:ascii="Verdana" w:hAnsi="Verdana" w:cs="Arial"/>
          <w:vertAlign w:val="subscript"/>
        </w:rPr>
        <w:t>a</w:t>
      </w:r>
      <w:r w:rsidRPr="009040B8">
        <w:rPr>
          <w:rFonts w:ascii="Verdana" w:hAnsi="Verdana" w:cs="Arial"/>
        </w:rPr>
        <w:t>*</w:t>
      </w:r>
      <w:proofErr w:type="spellStart"/>
      <w:r w:rsidRPr="009040B8">
        <w:rPr>
          <w:rFonts w:ascii="Verdana" w:hAnsi="Verdana" w:cs="Arial"/>
        </w:rPr>
        <w:t>c</w:t>
      </w:r>
      <w:r w:rsidRPr="009040B8">
        <w:rPr>
          <w:rFonts w:ascii="Verdana" w:hAnsi="Verdana" w:cs="Arial"/>
          <w:vertAlign w:val="subscript"/>
        </w:rPr>
        <w:t>j</w:t>
      </w:r>
      <w:proofErr w:type="spellEnd"/>
      <w:r w:rsidRPr="009040B8">
        <w:rPr>
          <w:rFonts w:ascii="Verdana" w:hAnsi="Verdana" w:cs="Arial"/>
          <w:vertAlign w:val="subscript"/>
        </w:rPr>
        <w:t xml:space="preserve"> </w:t>
      </w:r>
    </w:p>
    <w:p w:rsidR="00683496" w:rsidRPr="00CB55F9" w:rsidRDefault="00683496" w:rsidP="00683496">
      <w:pPr>
        <w:jc w:val="both"/>
        <w:rPr>
          <w:rFonts w:ascii="Verdana" w:hAnsi="Verdana" w:cs="Arial"/>
        </w:rPr>
      </w:pPr>
      <w:r w:rsidRPr="009040B8">
        <w:rPr>
          <w:rFonts w:ascii="Verdana" w:hAnsi="Verdana" w:cs="Arial"/>
        </w:rPr>
        <w:t xml:space="preserve">A </w:t>
      </w:r>
      <w:r>
        <w:rPr>
          <w:rFonts w:ascii="Verdana" w:hAnsi="Verdana" w:cs="Arial"/>
        </w:rPr>
        <w:t>–</w:t>
      </w:r>
      <w:r w:rsidRPr="009040B8">
        <w:rPr>
          <w:rFonts w:ascii="Verdana" w:hAnsi="Verdana" w:cs="Arial"/>
        </w:rPr>
        <w:t xml:space="preserve"> powierzchnia</w:t>
      </w:r>
      <w:r>
        <w:rPr>
          <w:rFonts w:ascii="Verdana" w:hAnsi="Verdana" w:cs="Arial"/>
        </w:rPr>
        <w:t xml:space="preserve"> – dla w-wy wiążącej w m</w:t>
      </w:r>
      <w:r>
        <w:rPr>
          <w:rFonts w:ascii="Verdana" w:hAnsi="Verdana" w:cs="Arial"/>
          <w:vertAlign w:val="superscript"/>
        </w:rPr>
        <w:t>2</w:t>
      </w:r>
      <w:r>
        <w:rPr>
          <w:rFonts w:ascii="Verdana" w:hAnsi="Verdana" w:cs="Arial"/>
        </w:rPr>
        <w:t>, w przypadku warstwy wyrównawczej w Mg</w:t>
      </w:r>
    </w:p>
    <w:p w:rsidR="00683496" w:rsidRPr="009040B8" w:rsidRDefault="00683496" w:rsidP="00683496">
      <w:pPr>
        <w:jc w:val="both"/>
        <w:rPr>
          <w:rFonts w:ascii="Verdana" w:hAnsi="Verdana" w:cs="Arial"/>
        </w:rPr>
      </w:pPr>
      <w:r w:rsidRPr="009040B8">
        <w:rPr>
          <w:rFonts w:ascii="Verdana" w:hAnsi="Verdana" w:cs="Arial"/>
        </w:rPr>
        <w:t>p</w:t>
      </w:r>
      <w:r w:rsidRPr="009040B8">
        <w:rPr>
          <w:rFonts w:ascii="Verdana" w:hAnsi="Verdana" w:cs="Arial"/>
          <w:vertAlign w:val="subscript"/>
        </w:rPr>
        <w:t>a</w:t>
      </w:r>
      <w:r w:rsidRPr="009040B8">
        <w:rPr>
          <w:rFonts w:ascii="Verdana" w:hAnsi="Verdana" w:cs="Arial"/>
        </w:rPr>
        <w:t xml:space="preserve"> - współczynnik do obliczania potrąceń za niewłaściwą ilość </w:t>
      </w:r>
      <w:r>
        <w:rPr>
          <w:rFonts w:ascii="Verdana" w:hAnsi="Verdana" w:cs="Arial"/>
        </w:rPr>
        <w:t>asfaltu rozpuszczalnego</w:t>
      </w:r>
      <w:r w:rsidRPr="009040B8">
        <w:rPr>
          <w:rFonts w:ascii="Verdana" w:hAnsi="Verdana" w:cs="Arial"/>
        </w:rPr>
        <w:t xml:space="preserve"> </w:t>
      </w:r>
    </w:p>
    <w:p w:rsidR="00683496" w:rsidRPr="009040B8" w:rsidRDefault="00683496" w:rsidP="00683496">
      <w:pPr>
        <w:jc w:val="both"/>
        <w:rPr>
          <w:rFonts w:ascii="Verdana" w:hAnsi="Verdana" w:cs="Arial"/>
        </w:rPr>
      </w:pPr>
      <w:proofErr w:type="spellStart"/>
      <w:r w:rsidRPr="009040B8">
        <w:rPr>
          <w:rFonts w:ascii="Verdana" w:hAnsi="Verdana" w:cs="Arial"/>
        </w:rPr>
        <w:t>c</w:t>
      </w:r>
      <w:r w:rsidRPr="009040B8">
        <w:rPr>
          <w:rFonts w:ascii="Verdana" w:hAnsi="Verdana" w:cs="Arial"/>
          <w:vertAlign w:val="subscript"/>
        </w:rPr>
        <w:t>j</w:t>
      </w:r>
      <w:proofErr w:type="spellEnd"/>
      <w:r w:rsidRPr="009040B8">
        <w:rPr>
          <w:rFonts w:ascii="Verdana" w:hAnsi="Verdana" w:cs="Arial"/>
        </w:rPr>
        <w:t xml:space="preserve"> - cena jednostkowa </w:t>
      </w:r>
    </w:p>
    <w:p w:rsidR="00683496" w:rsidRPr="009040B8" w:rsidRDefault="00683496" w:rsidP="00683496">
      <w:pPr>
        <w:jc w:val="both"/>
        <w:rPr>
          <w:rFonts w:ascii="Verdana" w:hAnsi="Verdana" w:cs="Arial"/>
        </w:rPr>
      </w:pPr>
      <w:r w:rsidRPr="009040B8">
        <w:rPr>
          <w:rFonts w:ascii="Verdana" w:hAnsi="Verdana" w:cs="Arial"/>
        </w:rPr>
        <w:t>P - potrącenia</w:t>
      </w:r>
    </w:p>
    <w:tbl>
      <w:tblPr>
        <w:tblW w:w="7568" w:type="dxa"/>
        <w:jc w:val="center"/>
        <w:tblCellMar>
          <w:left w:w="70" w:type="dxa"/>
          <w:right w:w="70" w:type="dxa"/>
        </w:tblCellMar>
        <w:tblLook w:val="0000" w:firstRow="0" w:lastRow="0" w:firstColumn="0" w:lastColumn="0" w:noHBand="0" w:noVBand="0"/>
      </w:tblPr>
      <w:tblGrid>
        <w:gridCol w:w="5073"/>
        <w:gridCol w:w="858"/>
        <w:gridCol w:w="858"/>
        <w:gridCol w:w="779"/>
      </w:tblGrid>
      <w:tr w:rsidR="00683496" w:rsidRPr="009040B8" w:rsidTr="00683496">
        <w:trPr>
          <w:trHeight w:val="255"/>
          <w:jc w:val="center"/>
        </w:trPr>
        <w:tc>
          <w:tcPr>
            <w:tcW w:w="7568" w:type="dxa"/>
            <w:gridSpan w:val="4"/>
            <w:tcBorders>
              <w:top w:val="nil"/>
              <w:left w:val="nil"/>
              <w:bottom w:val="nil"/>
              <w:right w:val="nil"/>
            </w:tcBorders>
            <w:noWrap/>
            <w:vAlign w:val="bottom"/>
          </w:tcPr>
          <w:p w:rsidR="00683496" w:rsidRPr="009040B8" w:rsidRDefault="00683496" w:rsidP="00683496">
            <w:pPr>
              <w:jc w:val="both"/>
              <w:rPr>
                <w:rFonts w:ascii="Verdana" w:hAnsi="Verdana" w:cs="Arial"/>
              </w:rPr>
            </w:pPr>
            <w:r w:rsidRPr="009040B8">
              <w:rPr>
                <w:rFonts w:ascii="Verdana" w:hAnsi="Verdana" w:cs="Arial"/>
              </w:rPr>
              <w:t xml:space="preserve">Współczynnik "pa" do obliczania potrąceń za niewłaściwą ilość </w:t>
            </w:r>
            <w:r>
              <w:rPr>
                <w:rFonts w:ascii="Verdana" w:hAnsi="Verdana" w:cs="Arial"/>
              </w:rPr>
              <w:t>asfaltu rozpuszczalnego</w:t>
            </w:r>
          </w:p>
        </w:tc>
      </w:tr>
      <w:tr w:rsidR="00683496" w:rsidRPr="009040B8" w:rsidTr="00683496">
        <w:trPr>
          <w:trHeight w:val="255"/>
          <w:jc w:val="center"/>
        </w:trPr>
        <w:tc>
          <w:tcPr>
            <w:tcW w:w="5073" w:type="dxa"/>
            <w:tcBorders>
              <w:top w:val="single" w:sz="4" w:space="0" w:color="auto"/>
              <w:left w:val="single" w:sz="4" w:space="0" w:color="auto"/>
              <w:bottom w:val="single" w:sz="4" w:space="0" w:color="auto"/>
              <w:right w:val="single" w:sz="4" w:space="0" w:color="auto"/>
            </w:tcBorders>
            <w:noWrap/>
            <w:vAlign w:val="bottom"/>
          </w:tcPr>
          <w:p w:rsidR="00683496" w:rsidRPr="009040B8" w:rsidRDefault="00683496" w:rsidP="00683496">
            <w:pPr>
              <w:jc w:val="both"/>
              <w:rPr>
                <w:rFonts w:ascii="Verdana" w:hAnsi="Verdana" w:cs="Arial"/>
              </w:rPr>
            </w:pPr>
            <w:r w:rsidRPr="009040B8">
              <w:rPr>
                <w:rFonts w:ascii="Verdana" w:hAnsi="Verdana" w:cs="Arial"/>
              </w:rPr>
              <w:t>Odchylenie od recepty w %</w:t>
            </w:r>
          </w:p>
        </w:tc>
        <w:tc>
          <w:tcPr>
            <w:tcW w:w="858" w:type="dxa"/>
            <w:tcBorders>
              <w:top w:val="single" w:sz="4" w:space="0" w:color="auto"/>
              <w:left w:val="nil"/>
              <w:bottom w:val="single" w:sz="4" w:space="0" w:color="auto"/>
              <w:right w:val="single" w:sz="4" w:space="0" w:color="auto"/>
            </w:tcBorders>
            <w:noWrap/>
            <w:vAlign w:val="center"/>
          </w:tcPr>
          <w:p w:rsidR="00683496" w:rsidRPr="009040B8" w:rsidRDefault="00683496" w:rsidP="00683496">
            <w:pPr>
              <w:jc w:val="center"/>
              <w:rPr>
                <w:rFonts w:ascii="Verdana" w:hAnsi="Verdana" w:cs="Arial"/>
                <w:bCs/>
              </w:rPr>
            </w:pPr>
            <w:r w:rsidRPr="009040B8">
              <w:rPr>
                <w:rFonts w:ascii="Verdana" w:hAnsi="Verdana" w:cs="Arial"/>
                <w:bCs/>
              </w:rPr>
              <w:t>0,4</w:t>
            </w:r>
          </w:p>
        </w:tc>
        <w:tc>
          <w:tcPr>
            <w:tcW w:w="858" w:type="dxa"/>
            <w:tcBorders>
              <w:top w:val="single" w:sz="4" w:space="0" w:color="auto"/>
              <w:left w:val="nil"/>
              <w:bottom w:val="single" w:sz="4" w:space="0" w:color="auto"/>
              <w:right w:val="single" w:sz="4" w:space="0" w:color="auto"/>
            </w:tcBorders>
            <w:noWrap/>
            <w:vAlign w:val="center"/>
          </w:tcPr>
          <w:p w:rsidR="00683496" w:rsidRPr="009040B8" w:rsidRDefault="00683496" w:rsidP="00683496">
            <w:pPr>
              <w:jc w:val="center"/>
              <w:rPr>
                <w:rFonts w:ascii="Verdana" w:hAnsi="Verdana" w:cs="Arial"/>
                <w:bCs/>
              </w:rPr>
            </w:pPr>
            <w:r w:rsidRPr="009040B8">
              <w:rPr>
                <w:rFonts w:ascii="Verdana" w:hAnsi="Verdana" w:cs="Arial"/>
                <w:bCs/>
              </w:rPr>
              <w:t>0,5</w:t>
            </w:r>
          </w:p>
        </w:tc>
        <w:tc>
          <w:tcPr>
            <w:tcW w:w="779" w:type="dxa"/>
            <w:tcBorders>
              <w:top w:val="single" w:sz="4" w:space="0" w:color="auto"/>
              <w:left w:val="nil"/>
              <w:bottom w:val="single" w:sz="4" w:space="0" w:color="auto"/>
              <w:right w:val="single" w:sz="4" w:space="0" w:color="auto"/>
            </w:tcBorders>
            <w:noWrap/>
            <w:vAlign w:val="center"/>
          </w:tcPr>
          <w:p w:rsidR="00683496" w:rsidRPr="009040B8" w:rsidRDefault="00683496" w:rsidP="00683496">
            <w:pPr>
              <w:jc w:val="center"/>
              <w:rPr>
                <w:rFonts w:ascii="Verdana" w:hAnsi="Verdana" w:cs="Arial"/>
                <w:i/>
                <w:iCs/>
              </w:rPr>
            </w:pPr>
            <w:r w:rsidRPr="009040B8">
              <w:rPr>
                <w:rFonts w:ascii="Verdana" w:hAnsi="Verdana" w:cs="Arial"/>
                <w:i/>
                <w:iCs/>
              </w:rPr>
              <w:t>-</w:t>
            </w:r>
          </w:p>
        </w:tc>
      </w:tr>
      <w:tr w:rsidR="00683496" w:rsidRPr="009040B8" w:rsidTr="00683496">
        <w:trPr>
          <w:trHeight w:val="255"/>
          <w:jc w:val="center"/>
        </w:trPr>
        <w:tc>
          <w:tcPr>
            <w:tcW w:w="5073" w:type="dxa"/>
            <w:tcBorders>
              <w:top w:val="nil"/>
              <w:left w:val="single" w:sz="4" w:space="0" w:color="auto"/>
              <w:bottom w:val="single" w:sz="4" w:space="0" w:color="auto"/>
              <w:right w:val="single" w:sz="4" w:space="0" w:color="auto"/>
            </w:tcBorders>
            <w:noWrap/>
            <w:vAlign w:val="bottom"/>
          </w:tcPr>
          <w:p w:rsidR="00683496" w:rsidRPr="009040B8" w:rsidRDefault="00683496" w:rsidP="00683496">
            <w:pPr>
              <w:jc w:val="both"/>
              <w:rPr>
                <w:rFonts w:ascii="Verdana" w:hAnsi="Verdana" w:cs="Arial"/>
              </w:rPr>
            </w:pPr>
            <w:r w:rsidRPr="009040B8">
              <w:rPr>
                <w:rFonts w:ascii="Verdana" w:hAnsi="Verdana" w:cs="Arial"/>
              </w:rPr>
              <w:t>p</w:t>
            </w:r>
            <w:r w:rsidRPr="009040B8">
              <w:rPr>
                <w:rFonts w:ascii="Verdana" w:hAnsi="Verdana" w:cs="Arial"/>
                <w:vertAlign w:val="subscript"/>
              </w:rPr>
              <w:t>a</w:t>
            </w:r>
          </w:p>
        </w:tc>
        <w:tc>
          <w:tcPr>
            <w:tcW w:w="858" w:type="dxa"/>
            <w:tcBorders>
              <w:top w:val="nil"/>
              <w:left w:val="nil"/>
              <w:bottom w:val="single" w:sz="4" w:space="0" w:color="auto"/>
              <w:right w:val="single" w:sz="4" w:space="0" w:color="auto"/>
            </w:tcBorders>
            <w:noWrap/>
            <w:vAlign w:val="center"/>
          </w:tcPr>
          <w:p w:rsidR="00683496" w:rsidRPr="009040B8" w:rsidRDefault="00683496" w:rsidP="00683496">
            <w:pPr>
              <w:jc w:val="center"/>
              <w:rPr>
                <w:rFonts w:ascii="Verdana" w:hAnsi="Verdana" w:cs="Arial"/>
                <w:bCs/>
              </w:rPr>
            </w:pPr>
            <w:r w:rsidRPr="009040B8">
              <w:rPr>
                <w:rFonts w:ascii="Verdana" w:hAnsi="Verdana" w:cs="Arial"/>
                <w:bCs/>
              </w:rPr>
              <w:t>0,08</w:t>
            </w:r>
          </w:p>
        </w:tc>
        <w:tc>
          <w:tcPr>
            <w:tcW w:w="858" w:type="dxa"/>
            <w:tcBorders>
              <w:top w:val="nil"/>
              <w:left w:val="nil"/>
              <w:bottom w:val="single" w:sz="4" w:space="0" w:color="auto"/>
              <w:right w:val="single" w:sz="4" w:space="0" w:color="auto"/>
            </w:tcBorders>
            <w:noWrap/>
            <w:vAlign w:val="center"/>
          </w:tcPr>
          <w:p w:rsidR="00683496" w:rsidRPr="009040B8" w:rsidRDefault="00683496" w:rsidP="00683496">
            <w:pPr>
              <w:jc w:val="center"/>
              <w:rPr>
                <w:rFonts w:ascii="Verdana" w:hAnsi="Verdana" w:cs="Arial"/>
                <w:bCs/>
              </w:rPr>
            </w:pPr>
            <w:r w:rsidRPr="009040B8">
              <w:rPr>
                <w:rFonts w:ascii="Verdana" w:hAnsi="Verdana" w:cs="Arial"/>
                <w:bCs/>
              </w:rPr>
              <w:t>0,16</w:t>
            </w:r>
          </w:p>
        </w:tc>
        <w:tc>
          <w:tcPr>
            <w:tcW w:w="779" w:type="dxa"/>
            <w:tcBorders>
              <w:top w:val="nil"/>
              <w:left w:val="nil"/>
              <w:bottom w:val="single" w:sz="4" w:space="0" w:color="auto"/>
              <w:right w:val="single" w:sz="4" w:space="0" w:color="auto"/>
            </w:tcBorders>
            <w:noWrap/>
            <w:vAlign w:val="center"/>
          </w:tcPr>
          <w:p w:rsidR="00683496" w:rsidRPr="009040B8" w:rsidRDefault="00683496" w:rsidP="00683496">
            <w:pPr>
              <w:jc w:val="center"/>
              <w:rPr>
                <w:rFonts w:ascii="Verdana" w:hAnsi="Verdana" w:cs="Arial"/>
                <w:i/>
                <w:iCs/>
              </w:rPr>
            </w:pPr>
            <w:r w:rsidRPr="009040B8">
              <w:rPr>
                <w:rFonts w:ascii="Verdana" w:hAnsi="Verdana" w:cs="Arial"/>
                <w:i/>
                <w:iCs/>
              </w:rPr>
              <w:t>-</w:t>
            </w:r>
          </w:p>
        </w:tc>
      </w:tr>
    </w:tbl>
    <w:p w:rsidR="00683496" w:rsidRPr="009040B8" w:rsidRDefault="00683496" w:rsidP="00683496">
      <w:pPr>
        <w:jc w:val="both"/>
        <w:rPr>
          <w:rFonts w:ascii="Verdana" w:hAnsi="Verdana" w:cs="Arial"/>
          <w:highlight w:val="red"/>
        </w:rPr>
      </w:pPr>
    </w:p>
    <w:p w:rsidR="00683496" w:rsidRPr="009040B8" w:rsidRDefault="00683496" w:rsidP="00683496">
      <w:pPr>
        <w:jc w:val="both"/>
        <w:rPr>
          <w:rFonts w:ascii="Verdana" w:hAnsi="Verdana" w:cs="Arial"/>
        </w:rPr>
      </w:pPr>
      <w:r w:rsidRPr="009040B8">
        <w:rPr>
          <w:rFonts w:ascii="Verdana" w:hAnsi="Verdana" w:cs="Arial"/>
        </w:rPr>
        <w:t>Potrącenia na nieprawidłową zawartość kruszyw w mieszance mineralno-asfaltowej oblicza się na podstawie następującego wzoru</w:t>
      </w:r>
      <w:r>
        <w:rPr>
          <w:rFonts w:ascii="Verdana" w:hAnsi="Verdana" w:cs="Arial"/>
        </w:rPr>
        <w:t>:</w:t>
      </w:r>
    </w:p>
    <w:p w:rsidR="00683496" w:rsidRPr="009040B8" w:rsidRDefault="00683496" w:rsidP="00683496">
      <w:pPr>
        <w:jc w:val="both"/>
        <w:rPr>
          <w:rFonts w:ascii="Verdana" w:hAnsi="Verdana" w:cs="Arial"/>
        </w:rPr>
      </w:pPr>
      <w:r w:rsidRPr="009040B8">
        <w:rPr>
          <w:rFonts w:ascii="Verdana" w:hAnsi="Verdana" w:cs="Arial"/>
        </w:rPr>
        <w:t>P = A*</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hAnsi="Verdana" w:cs="Arial"/>
          <w:vertAlign w:val="subscript"/>
        </w:rPr>
        <w:t xml:space="preserve"> (w)*</w:t>
      </w:r>
      <w:proofErr w:type="spellStart"/>
      <w:r w:rsidRPr="009040B8">
        <w:rPr>
          <w:rFonts w:ascii="Verdana" w:hAnsi="Verdana" w:cs="Arial"/>
        </w:rPr>
        <w:t>c</w:t>
      </w:r>
      <w:r w:rsidRPr="009040B8">
        <w:rPr>
          <w:rFonts w:ascii="Verdana" w:hAnsi="Verdana" w:cs="Arial"/>
          <w:vertAlign w:val="subscript"/>
        </w:rPr>
        <w:t>j</w:t>
      </w:r>
      <w:proofErr w:type="spellEnd"/>
    </w:p>
    <w:p w:rsidR="00683496" w:rsidRPr="00347FA3" w:rsidRDefault="00683496" w:rsidP="00683496">
      <w:pPr>
        <w:rPr>
          <w:rFonts w:ascii="Verdana" w:hAnsi="Verdana" w:cs="Arial"/>
          <w:vertAlign w:val="superscript"/>
        </w:rPr>
      </w:pPr>
      <w:r w:rsidRPr="009040B8">
        <w:rPr>
          <w:rFonts w:ascii="Verdana" w:hAnsi="Verdana" w:cs="Arial"/>
        </w:rPr>
        <w:t xml:space="preserve">A - </w:t>
      </w:r>
      <w:r>
        <w:rPr>
          <w:rFonts w:ascii="Verdana" w:hAnsi="Verdana" w:cs="Arial"/>
        </w:rPr>
        <w:t>dla w-wy wiążącej w m</w:t>
      </w:r>
      <w:r>
        <w:rPr>
          <w:rFonts w:ascii="Verdana" w:hAnsi="Verdana" w:cs="Arial"/>
          <w:vertAlign w:val="superscript"/>
        </w:rPr>
        <w:t>2</w:t>
      </w:r>
      <w:r>
        <w:rPr>
          <w:rFonts w:ascii="Verdana" w:hAnsi="Verdana" w:cs="Arial"/>
        </w:rPr>
        <w:t>, w przypadku warstwy wyrównawczej w Mg</w:t>
      </w:r>
    </w:p>
    <w:p w:rsidR="00683496" w:rsidRPr="009040B8" w:rsidRDefault="00683496" w:rsidP="00683496">
      <w:pPr>
        <w:rPr>
          <w:rFonts w:ascii="Verdana" w:hAnsi="Verdana" w:cs="Arial"/>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hAnsi="Verdana" w:cs="Arial"/>
        </w:rPr>
        <w:t xml:space="preserve"> - współczynnik do obliczania potrąceń za niewłaściwą ilość </w:t>
      </w:r>
      <w:r>
        <w:rPr>
          <w:rFonts w:ascii="Verdana" w:hAnsi="Verdana" w:cs="Arial"/>
        </w:rPr>
        <w:t xml:space="preserve">kruszywa </w:t>
      </w:r>
    </w:p>
    <w:p w:rsidR="00683496" w:rsidRPr="009040B8" w:rsidRDefault="00683496" w:rsidP="00683496">
      <w:pPr>
        <w:rPr>
          <w:rFonts w:ascii="Verdana" w:hAnsi="Verdana" w:cs="Arial"/>
        </w:rPr>
      </w:pPr>
      <w:proofErr w:type="spellStart"/>
      <w:r w:rsidRPr="009040B8">
        <w:rPr>
          <w:rFonts w:ascii="Verdana" w:hAnsi="Verdana" w:cs="Arial"/>
        </w:rPr>
        <w:t>p</w:t>
      </w:r>
      <w:r w:rsidRPr="009040B8">
        <w:rPr>
          <w:rFonts w:ascii="Verdana" w:hAnsi="Verdana" w:cs="Arial"/>
          <w:vertAlign w:val="subscript"/>
        </w:rPr>
        <w:t>w</w:t>
      </w:r>
      <w:proofErr w:type="spellEnd"/>
      <w:r w:rsidRPr="009040B8">
        <w:rPr>
          <w:rFonts w:ascii="Verdana" w:hAnsi="Verdana" w:cs="Arial"/>
        </w:rPr>
        <w:t xml:space="preserve"> - współczynnik do obliczania potrąceń za niewłaściwą ilość kruszywa </w:t>
      </w:r>
      <w:r>
        <w:rPr>
          <w:rFonts w:ascii="Verdana" w:hAnsi="Verdana" w:cs="Arial"/>
        </w:rPr>
        <w:t>&lt; 0,063</w:t>
      </w:r>
      <w:r w:rsidRPr="009040B8">
        <w:rPr>
          <w:rFonts w:ascii="Verdana" w:hAnsi="Verdana" w:cs="Arial"/>
        </w:rPr>
        <w:t xml:space="preserve"> mm</w:t>
      </w:r>
    </w:p>
    <w:p w:rsidR="00683496" w:rsidRPr="009040B8" w:rsidRDefault="00683496" w:rsidP="00683496">
      <w:pPr>
        <w:rPr>
          <w:rFonts w:ascii="Verdana" w:hAnsi="Verdana" w:cs="Arial"/>
        </w:rPr>
      </w:pPr>
      <w:proofErr w:type="spellStart"/>
      <w:r w:rsidRPr="009040B8">
        <w:rPr>
          <w:rFonts w:ascii="Verdana" w:hAnsi="Verdana" w:cs="Arial"/>
        </w:rPr>
        <w:t>c</w:t>
      </w:r>
      <w:r w:rsidRPr="009040B8">
        <w:rPr>
          <w:rFonts w:ascii="Verdana" w:hAnsi="Verdana" w:cs="Arial"/>
          <w:vertAlign w:val="subscript"/>
        </w:rPr>
        <w:t>j</w:t>
      </w:r>
      <w:proofErr w:type="spellEnd"/>
      <w:r w:rsidRPr="009040B8">
        <w:rPr>
          <w:rFonts w:ascii="Verdana" w:hAnsi="Verdana" w:cs="Arial"/>
        </w:rPr>
        <w:t xml:space="preserve"> - cena jednostkowa </w:t>
      </w:r>
    </w:p>
    <w:p w:rsidR="00683496" w:rsidRPr="009040B8" w:rsidRDefault="00683496" w:rsidP="00683496">
      <w:pPr>
        <w:rPr>
          <w:rFonts w:ascii="Verdana" w:hAnsi="Verdana" w:cs="Arial"/>
        </w:rPr>
      </w:pPr>
      <w:r w:rsidRPr="009040B8">
        <w:rPr>
          <w:rFonts w:ascii="Verdana" w:hAnsi="Verdana" w:cs="Arial"/>
        </w:rPr>
        <w:t>P - potrącenia</w:t>
      </w:r>
    </w:p>
    <w:p w:rsidR="00683496" w:rsidRDefault="00683496" w:rsidP="00683496">
      <w:pPr>
        <w:rPr>
          <w:rFonts w:ascii="Verdana" w:eastAsia="Calibri" w:hAnsi="Verdana" w:cs="Arial"/>
          <w:lang w:eastAsia="en-US"/>
        </w:rPr>
      </w:pPr>
    </w:p>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sidRPr="009040B8">
        <w:rPr>
          <w:rFonts w:ascii="Verdana" w:eastAsia="Calibri" w:hAnsi="Verdana" w:cs="Arial"/>
          <w:vertAlign w:val="subscript"/>
          <w:lang w:eastAsia="en-US"/>
        </w:rPr>
        <w:t>w</w:t>
      </w:r>
      <w:proofErr w:type="spellEnd"/>
      <w:r w:rsidRPr="009040B8">
        <w:rPr>
          <w:rFonts w:ascii="Verdana" w:eastAsia="Calibri" w:hAnsi="Verdana" w:cs="Arial"/>
          <w:lang w:eastAsia="en-US"/>
        </w:rPr>
        <w:t xml:space="preserve">" do obliczania potrąceń za niewłaściwą ilość kruszywa o wymiarze &lt;0,063 mm </w:t>
      </w:r>
    </w:p>
    <w:tbl>
      <w:tblPr>
        <w:tblW w:w="9665" w:type="dxa"/>
        <w:jc w:val="center"/>
        <w:tblCellMar>
          <w:left w:w="0" w:type="dxa"/>
          <w:right w:w="0" w:type="dxa"/>
        </w:tblCellMar>
        <w:tblLook w:val="04A0" w:firstRow="1" w:lastRow="0" w:firstColumn="1" w:lastColumn="0" w:noHBand="0" w:noVBand="1"/>
      </w:tblPr>
      <w:tblGrid>
        <w:gridCol w:w="185"/>
        <w:gridCol w:w="4019"/>
        <w:gridCol w:w="1338"/>
        <w:gridCol w:w="1418"/>
        <w:gridCol w:w="1276"/>
        <w:gridCol w:w="1429"/>
      </w:tblGrid>
      <w:tr w:rsidR="00683496" w:rsidRPr="009040B8" w:rsidTr="00683496">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1,6 – 1,7</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1,8 – 1,9</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2,0 – 2,4</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2,5 – 3,0</w:t>
            </w:r>
          </w:p>
        </w:tc>
      </w:tr>
      <w:tr w:rsidR="00683496" w:rsidRPr="009040B8" w:rsidTr="00683496">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proofErr w:type="spellStart"/>
            <w:r w:rsidRPr="009040B8">
              <w:rPr>
                <w:rFonts w:ascii="Verdana" w:eastAsia="Calibri" w:hAnsi="Verdana" w:cs="Arial"/>
                <w:lang w:eastAsia="en-US"/>
              </w:rPr>
              <w:t>p</w:t>
            </w:r>
            <w:r w:rsidRPr="009040B8">
              <w:rPr>
                <w:rFonts w:ascii="Verdana" w:eastAsia="Calibri" w:hAnsi="Verdana" w:cs="Arial"/>
                <w:vertAlign w:val="subscript"/>
                <w:lang w:eastAsia="en-US"/>
              </w:rPr>
              <w:t>w</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0,13</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0,15</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0,17</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0,2</w:t>
            </w:r>
          </w:p>
        </w:tc>
      </w:tr>
      <w:tr w:rsidR="00683496" w:rsidRPr="009040B8" w:rsidTr="00683496">
        <w:trPr>
          <w:trHeight w:val="255"/>
          <w:jc w:val="center"/>
        </w:trPr>
        <w:tc>
          <w:tcPr>
            <w:tcW w:w="185" w:type="dxa"/>
            <w:tcMar>
              <w:top w:w="0" w:type="dxa"/>
              <w:left w:w="70" w:type="dxa"/>
              <w:bottom w:w="0" w:type="dxa"/>
              <w:right w:w="70" w:type="dxa"/>
            </w:tcMar>
          </w:tcPr>
          <w:p w:rsidR="00683496" w:rsidRPr="009040B8" w:rsidRDefault="00683496" w:rsidP="00683496">
            <w:pPr>
              <w:rPr>
                <w:rFonts w:ascii="Verdana" w:eastAsia="Calibri" w:hAnsi="Verdana" w:cs="Arial"/>
                <w:lang w:eastAsia="en-US"/>
              </w:rPr>
            </w:pPr>
          </w:p>
        </w:tc>
        <w:tc>
          <w:tcPr>
            <w:tcW w:w="9480" w:type="dxa"/>
            <w:gridSpan w:val="5"/>
            <w:noWrap/>
            <w:tcMar>
              <w:top w:w="0" w:type="dxa"/>
              <w:left w:w="70" w:type="dxa"/>
              <w:bottom w:w="0" w:type="dxa"/>
              <w:right w:w="70" w:type="dxa"/>
            </w:tcMar>
            <w:vAlign w:val="bottom"/>
          </w:tcPr>
          <w:p w:rsidR="00683496" w:rsidRPr="009040B8" w:rsidRDefault="00683496" w:rsidP="00683496">
            <w:pPr>
              <w:rPr>
                <w:rFonts w:ascii="Verdana" w:eastAsia="Calibri" w:hAnsi="Verdana" w:cs="Arial"/>
                <w:lang w:eastAsia="en-US"/>
              </w:rPr>
            </w:pPr>
          </w:p>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br/>
            </w:r>
            <w:r w:rsidRPr="009040B8">
              <w:rPr>
                <w:rFonts w:ascii="Verdana" w:eastAsia="Calibri" w:hAnsi="Verdana" w:cs="Arial"/>
                <w:lang w:eastAsia="en-US"/>
              </w:rPr>
              <w:t xml:space="preserve">&lt;0,125 mm </w:t>
            </w:r>
          </w:p>
        </w:tc>
      </w:tr>
      <w:tr w:rsidR="00683496" w:rsidRPr="009040B8" w:rsidTr="00683496">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3</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4</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r w:rsidR="00683496" w:rsidRPr="009040B8" w:rsidTr="00683496">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0,2</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r w:rsidR="00683496" w:rsidRPr="009040B8" w:rsidTr="00683496">
        <w:trPr>
          <w:trHeight w:val="255"/>
          <w:jc w:val="center"/>
        </w:trPr>
        <w:tc>
          <w:tcPr>
            <w:tcW w:w="4204" w:type="dxa"/>
            <w:gridSpan w:val="2"/>
            <w:noWrap/>
            <w:tcMar>
              <w:top w:w="0" w:type="dxa"/>
              <w:left w:w="70" w:type="dxa"/>
              <w:bottom w:w="0" w:type="dxa"/>
              <w:right w:w="70" w:type="dxa"/>
            </w:tcMar>
            <w:vAlign w:val="bottom"/>
          </w:tcPr>
          <w:p w:rsidR="00683496" w:rsidRPr="009040B8" w:rsidRDefault="00683496" w:rsidP="00683496">
            <w:pPr>
              <w:rPr>
                <w:rFonts w:ascii="Verdana" w:eastAsia="Calibri" w:hAnsi="Verdana" w:cs="Arial"/>
                <w:lang w:eastAsia="en-US"/>
              </w:rPr>
            </w:pPr>
          </w:p>
        </w:tc>
        <w:tc>
          <w:tcPr>
            <w:tcW w:w="1338" w:type="dxa"/>
            <w:noWrap/>
            <w:tcMar>
              <w:top w:w="0" w:type="dxa"/>
              <w:left w:w="70" w:type="dxa"/>
              <w:bottom w:w="0" w:type="dxa"/>
              <w:right w:w="70" w:type="dxa"/>
            </w:tcMar>
            <w:vAlign w:val="bottom"/>
          </w:tcPr>
          <w:p w:rsidR="00683496" w:rsidRPr="009040B8" w:rsidRDefault="00683496" w:rsidP="00683496">
            <w:pPr>
              <w:rPr>
                <w:rFonts w:ascii="Verdana" w:eastAsia="Calibri" w:hAnsi="Verdana" w:cs="Arial"/>
                <w:lang w:eastAsia="en-US"/>
              </w:rPr>
            </w:pPr>
          </w:p>
        </w:tc>
        <w:tc>
          <w:tcPr>
            <w:tcW w:w="1418" w:type="dxa"/>
            <w:noWrap/>
            <w:tcMar>
              <w:top w:w="0" w:type="dxa"/>
              <w:left w:w="70" w:type="dxa"/>
              <w:bottom w:w="0" w:type="dxa"/>
              <w:right w:w="70" w:type="dxa"/>
            </w:tcMar>
            <w:vAlign w:val="bottom"/>
          </w:tcPr>
          <w:p w:rsidR="00683496" w:rsidRPr="009040B8" w:rsidRDefault="00683496" w:rsidP="00683496">
            <w:pPr>
              <w:rPr>
                <w:rFonts w:ascii="Verdana" w:eastAsia="Calibri" w:hAnsi="Verdana" w:cs="Arial"/>
                <w:lang w:eastAsia="en-US"/>
              </w:rPr>
            </w:pPr>
          </w:p>
        </w:tc>
        <w:tc>
          <w:tcPr>
            <w:tcW w:w="1276" w:type="dxa"/>
            <w:tcMar>
              <w:top w:w="0" w:type="dxa"/>
              <w:left w:w="70" w:type="dxa"/>
              <w:bottom w:w="0" w:type="dxa"/>
              <w:right w:w="70" w:type="dxa"/>
            </w:tcMar>
          </w:tcPr>
          <w:p w:rsidR="00683496" w:rsidRPr="009040B8" w:rsidRDefault="00683496" w:rsidP="00683496">
            <w:pPr>
              <w:rPr>
                <w:rFonts w:ascii="Verdana" w:eastAsia="Calibri" w:hAnsi="Verdana" w:cs="Arial"/>
                <w:lang w:eastAsia="en-US"/>
              </w:rPr>
            </w:pPr>
          </w:p>
        </w:tc>
        <w:tc>
          <w:tcPr>
            <w:tcW w:w="1429" w:type="dxa"/>
            <w:noWrap/>
            <w:tcMar>
              <w:top w:w="0" w:type="dxa"/>
              <w:left w:w="70" w:type="dxa"/>
              <w:bottom w:w="0" w:type="dxa"/>
              <w:right w:w="70" w:type="dxa"/>
            </w:tcMar>
            <w:vAlign w:val="bottom"/>
          </w:tcPr>
          <w:p w:rsidR="00683496" w:rsidRPr="009040B8" w:rsidRDefault="00683496" w:rsidP="00683496">
            <w:pPr>
              <w:rPr>
                <w:rFonts w:ascii="Verdana" w:eastAsia="Calibri" w:hAnsi="Verdana" w:cs="Arial"/>
                <w:lang w:eastAsia="en-US"/>
              </w:rPr>
            </w:pPr>
          </w:p>
        </w:tc>
      </w:tr>
      <w:tr w:rsidR="00683496" w:rsidRPr="009040B8" w:rsidTr="00683496">
        <w:trPr>
          <w:trHeight w:val="255"/>
          <w:jc w:val="center"/>
        </w:trPr>
        <w:tc>
          <w:tcPr>
            <w:tcW w:w="185" w:type="dxa"/>
            <w:tcMar>
              <w:top w:w="0" w:type="dxa"/>
              <w:left w:w="70" w:type="dxa"/>
              <w:bottom w:w="0" w:type="dxa"/>
              <w:right w:w="70" w:type="dxa"/>
            </w:tcMar>
          </w:tcPr>
          <w:p w:rsidR="00683496" w:rsidRPr="009040B8" w:rsidRDefault="00683496" w:rsidP="00683496">
            <w:pPr>
              <w:rPr>
                <w:rFonts w:ascii="Verdana" w:eastAsia="Calibri" w:hAnsi="Verdana" w:cs="Arial"/>
                <w:lang w:eastAsia="en-US"/>
              </w:rPr>
            </w:pPr>
          </w:p>
        </w:tc>
        <w:tc>
          <w:tcPr>
            <w:tcW w:w="9480" w:type="dxa"/>
            <w:gridSpan w:val="5"/>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br/>
            </w:r>
            <w:r w:rsidRPr="009040B8">
              <w:rPr>
                <w:rFonts w:ascii="Verdana" w:eastAsia="Calibri" w:hAnsi="Verdana" w:cs="Arial"/>
                <w:lang w:eastAsia="en-US"/>
              </w:rPr>
              <w:t xml:space="preserve">&lt; 2,0 mm </w:t>
            </w:r>
          </w:p>
        </w:tc>
      </w:tr>
      <w:tr w:rsidR="00683496" w:rsidRPr="009040B8" w:rsidTr="00683496">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r w:rsidR="00683496" w:rsidRPr="009040B8" w:rsidTr="00683496">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r w:rsidR="00683496" w:rsidRPr="009040B8" w:rsidTr="00683496">
        <w:trPr>
          <w:trHeight w:val="255"/>
          <w:jc w:val="center"/>
        </w:trPr>
        <w:tc>
          <w:tcPr>
            <w:tcW w:w="185" w:type="dxa"/>
            <w:tcMar>
              <w:top w:w="0" w:type="dxa"/>
              <w:left w:w="70" w:type="dxa"/>
              <w:bottom w:w="0" w:type="dxa"/>
              <w:right w:w="70" w:type="dxa"/>
            </w:tcMar>
          </w:tcPr>
          <w:p w:rsidR="00683496" w:rsidRPr="009040B8" w:rsidRDefault="00683496" w:rsidP="00683496">
            <w:pPr>
              <w:rPr>
                <w:rFonts w:ascii="Verdana" w:eastAsia="Calibri" w:hAnsi="Verdana" w:cs="Arial"/>
                <w:lang w:eastAsia="en-US"/>
              </w:rPr>
            </w:pPr>
          </w:p>
          <w:p w:rsidR="00683496" w:rsidRPr="009040B8" w:rsidRDefault="00683496" w:rsidP="00683496">
            <w:pPr>
              <w:rPr>
                <w:rFonts w:ascii="Verdana" w:eastAsia="Calibri" w:hAnsi="Verdana" w:cs="Arial"/>
                <w:lang w:eastAsia="en-US"/>
              </w:rPr>
            </w:pPr>
          </w:p>
        </w:tc>
        <w:tc>
          <w:tcPr>
            <w:tcW w:w="9480" w:type="dxa"/>
            <w:gridSpan w:val="5"/>
            <w:noWrap/>
            <w:tcMar>
              <w:top w:w="0" w:type="dxa"/>
              <w:left w:w="70" w:type="dxa"/>
              <w:bottom w:w="0" w:type="dxa"/>
              <w:right w:w="70" w:type="dxa"/>
            </w:tcMar>
            <w:vAlign w:val="bottom"/>
            <w:hideMark/>
          </w:tcPr>
          <w:p w:rsidR="00683496" w:rsidRDefault="00683496" w:rsidP="00683496">
            <w:pPr>
              <w:rPr>
                <w:rFonts w:ascii="Verdana" w:eastAsia="Calibri" w:hAnsi="Verdana" w:cs="Arial"/>
                <w:lang w:eastAsia="en-US"/>
              </w:rPr>
            </w:pPr>
          </w:p>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do obliczania potrąceń za niewłaściwą ilość kruszywa o wymiarze</w:t>
            </w:r>
            <w:r>
              <w:rPr>
                <w:rFonts w:ascii="Verdana" w:eastAsia="Calibri" w:hAnsi="Verdana" w:cs="Arial"/>
                <w:lang w:eastAsia="en-US"/>
              </w:rPr>
              <w:br/>
            </w:r>
            <w:r w:rsidRPr="009040B8">
              <w:rPr>
                <w:rFonts w:ascii="Verdana" w:eastAsia="Calibri" w:hAnsi="Verdana" w:cs="Arial"/>
                <w:lang w:eastAsia="en-US"/>
              </w:rPr>
              <w:t xml:space="preserve"> &lt; D/2 mm</w:t>
            </w:r>
          </w:p>
        </w:tc>
      </w:tr>
      <w:tr w:rsidR="00683496" w:rsidRPr="009040B8" w:rsidTr="00683496">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r w:rsidR="00683496" w:rsidRPr="009040B8" w:rsidTr="00683496">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r w:rsidR="00683496" w:rsidRPr="009040B8" w:rsidTr="00683496">
        <w:trPr>
          <w:trHeight w:val="255"/>
          <w:jc w:val="center"/>
        </w:trPr>
        <w:tc>
          <w:tcPr>
            <w:tcW w:w="185" w:type="dxa"/>
            <w:tcMar>
              <w:top w:w="0" w:type="dxa"/>
              <w:left w:w="70" w:type="dxa"/>
              <w:bottom w:w="0" w:type="dxa"/>
              <w:right w:w="70" w:type="dxa"/>
            </w:tcMar>
          </w:tcPr>
          <w:p w:rsidR="00683496" w:rsidRPr="009040B8" w:rsidRDefault="00683496" w:rsidP="00683496">
            <w:pPr>
              <w:rPr>
                <w:rFonts w:ascii="Verdana" w:eastAsia="Calibri" w:hAnsi="Verdana" w:cs="Arial"/>
                <w:lang w:eastAsia="en-US"/>
              </w:rPr>
            </w:pPr>
          </w:p>
        </w:tc>
        <w:tc>
          <w:tcPr>
            <w:tcW w:w="9480" w:type="dxa"/>
            <w:gridSpan w:val="5"/>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p>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Współczynnik "</w:t>
            </w:r>
            <w:proofErr w:type="spellStart"/>
            <w:r w:rsidRPr="009040B8">
              <w:rPr>
                <w:rFonts w:ascii="Verdana" w:eastAsia="Calibri" w:hAnsi="Verdana" w:cs="Arial"/>
                <w:lang w:eastAsia="en-US"/>
              </w:rPr>
              <w:t>p</w:t>
            </w:r>
            <w:r>
              <w:rPr>
                <w:rFonts w:ascii="Verdana" w:eastAsia="Calibri" w:hAnsi="Verdana" w:cs="Arial"/>
                <w:vertAlign w:val="subscript"/>
                <w:lang w:eastAsia="en-US"/>
              </w:rPr>
              <w:t>k</w:t>
            </w:r>
            <w:proofErr w:type="spellEnd"/>
            <w:r w:rsidRPr="009040B8">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br/>
            </w:r>
            <w:r w:rsidRPr="009040B8">
              <w:rPr>
                <w:rFonts w:ascii="Verdana" w:eastAsia="Calibri" w:hAnsi="Verdana" w:cs="Arial"/>
                <w:lang w:eastAsia="en-US"/>
              </w:rPr>
              <w:t xml:space="preserve">&lt; D mm </w:t>
            </w:r>
          </w:p>
        </w:tc>
      </w:tr>
      <w:tr w:rsidR="00683496" w:rsidRPr="009040B8" w:rsidTr="00683496">
        <w:trPr>
          <w:trHeight w:val="255"/>
          <w:jc w:val="center"/>
        </w:trPr>
        <w:tc>
          <w:tcPr>
            <w:tcW w:w="420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r w:rsidRPr="009040B8">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r w:rsidR="00683496" w:rsidRPr="009040B8" w:rsidTr="00683496">
        <w:trPr>
          <w:trHeight w:val="255"/>
          <w:jc w:val="center"/>
        </w:trPr>
        <w:tc>
          <w:tcPr>
            <w:tcW w:w="4204"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9040B8" w:rsidRDefault="00683496" w:rsidP="00683496">
            <w:pPr>
              <w:rPr>
                <w:rFonts w:ascii="Verdana" w:eastAsia="Calibri" w:hAnsi="Verdana" w:cs="Arial"/>
                <w:lang w:eastAsia="en-US"/>
              </w:rPr>
            </w:pPr>
            <w:proofErr w:type="spellStart"/>
            <w:r w:rsidRPr="009040B8">
              <w:rPr>
                <w:rFonts w:ascii="Verdana" w:eastAsia="Calibri" w:hAnsi="Verdana" w:cs="Arial"/>
                <w:lang w:eastAsia="en-US"/>
              </w:rPr>
              <w:lastRenderedPageBreak/>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9040B8" w:rsidRDefault="00683496" w:rsidP="00683496">
            <w:pPr>
              <w:jc w:val="center"/>
              <w:rPr>
                <w:rFonts w:ascii="Verdana" w:eastAsia="Calibri" w:hAnsi="Verdana" w:cs="Arial"/>
                <w:lang w:eastAsia="en-US"/>
              </w:rPr>
            </w:pPr>
            <w:r w:rsidRPr="009040B8">
              <w:rPr>
                <w:rFonts w:ascii="Verdana" w:eastAsia="Calibri" w:hAnsi="Verdana" w:cs="Arial"/>
                <w:lang w:eastAsia="en-US"/>
              </w:rPr>
              <w:t>-</w:t>
            </w:r>
          </w:p>
        </w:tc>
      </w:tr>
    </w:tbl>
    <w:p w:rsidR="00683496" w:rsidRPr="009040B8" w:rsidRDefault="00683496" w:rsidP="00683496">
      <w:pPr>
        <w:spacing w:before="120"/>
        <w:jc w:val="both"/>
        <w:rPr>
          <w:rFonts w:ascii="Verdana" w:hAnsi="Verdana" w:cs="Arial"/>
          <w:b/>
        </w:rPr>
      </w:pPr>
      <w:r w:rsidRPr="009040B8">
        <w:rPr>
          <w:rFonts w:ascii="Verdana" w:hAnsi="Verdana" w:cs="Arial"/>
          <w:b/>
        </w:rPr>
        <w:t xml:space="preserve">6.4.1.1. Zawartość wolnych przestrzeni w próbkach </w:t>
      </w:r>
      <w:proofErr w:type="spellStart"/>
      <w:r w:rsidRPr="009040B8">
        <w:rPr>
          <w:rFonts w:ascii="Verdana" w:hAnsi="Verdana" w:cs="Arial"/>
          <w:b/>
        </w:rPr>
        <w:t>Marshall’a</w:t>
      </w:r>
      <w:proofErr w:type="spellEnd"/>
    </w:p>
    <w:p w:rsidR="00683496" w:rsidRPr="009040B8" w:rsidRDefault="00683496" w:rsidP="00683496">
      <w:pPr>
        <w:jc w:val="both"/>
        <w:rPr>
          <w:rFonts w:ascii="Verdana" w:hAnsi="Verdana" w:cs="Arial"/>
        </w:rPr>
      </w:pPr>
      <w:r w:rsidRPr="009040B8">
        <w:rPr>
          <w:rFonts w:ascii="Verdana" w:hAnsi="Verdana" w:cs="Arial"/>
        </w:rPr>
        <w:t xml:space="preserve">Zawartość wolnych przestrzeni w próbce </w:t>
      </w:r>
      <w:proofErr w:type="spellStart"/>
      <w:r w:rsidRPr="009040B8">
        <w:rPr>
          <w:rFonts w:ascii="Verdana" w:hAnsi="Verdana" w:cs="Arial"/>
        </w:rPr>
        <w:t>Marshall’a</w:t>
      </w:r>
      <w:proofErr w:type="spellEnd"/>
      <w:r w:rsidRPr="009040B8">
        <w:rPr>
          <w:rFonts w:ascii="Verdana" w:hAnsi="Verdana" w:cs="Arial"/>
        </w:rPr>
        <w:t xml:space="preserve"> pobranej z mieszanki AC 16</w:t>
      </w:r>
      <w:r>
        <w:rPr>
          <w:rFonts w:ascii="Verdana" w:hAnsi="Verdana" w:cs="Arial"/>
        </w:rPr>
        <w:t xml:space="preserve"> </w:t>
      </w:r>
      <w:r w:rsidRPr="009040B8">
        <w:rPr>
          <w:rFonts w:ascii="Verdana" w:hAnsi="Verdana" w:cs="Arial"/>
        </w:rPr>
        <w:t>W lub wyjątkowo powtórnie rozgrzanej próbki pobranej z nawierzchni, nie może wykroczyć poza wartości dopuszczalne podane w p. 5.2 tab</w:t>
      </w:r>
      <w:r>
        <w:rPr>
          <w:rFonts w:ascii="Verdana" w:hAnsi="Verdana" w:cs="Arial"/>
        </w:rPr>
        <w:t>eli</w:t>
      </w:r>
      <w:r w:rsidRPr="009040B8">
        <w:rPr>
          <w:rFonts w:ascii="Verdana" w:hAnsi="Verdana" w:cs="Arial"/>
        </w:rPr>
        <w:t xml:space="preserve"> 1</w:t>
      </w:r>
      <w:r>
        <w:rPr>
          <w:rFonts w:ascii="Verdana" w:hAnsi="Verdana" w:cs="Arial"/>
        </w:rPr>
        <w:t>0</w:t>
      </w:r>
      <w:r w:rsidRPr="009040B8">
        <w:rPr>
          <w:rFonts w:ascii="Verdana" w:hAnsi="Verdana" w:cs="Arial"/>
        </w:rPr>
        <w:t xml:space="preserve"> o więcej niż 1,0 %(v/v).</w:t>
      </w:r>
    </w:p>
    <w:p w:rsidR="00683496" w:rsidRPr="009040B8" w:rsidRDefault="00683496" w:rsidP="00683496">
      <w:pPr>
        <w:jc w:val="both"/>
        <w:rPr>
          <w:rFonts w:ascii="Verdana" w:hAnsi="Verdana" w:cs="Arial"/>
        </w:rPr>
      </w:pPr>
    </w:p>
    <w:p w:rsidR="00683496" w:rsidRPr="009040B8" w:rsidRDefault="00683496" w:rsidP="00683496">
      <w:pPr>
        <w:keepNext/>
        <w:jc w:val="both"/>
        <w:rPr>
          <w:rFonts w:ascii="Verdana" w:hAnsi="Verdana" w:cs="Arial"/>
          <w:b/>
        </w:rPr>
      </w:pPr>
      <w:r w:rsidRPr="009040B8">
        <w:rPr>
          <w:rFonts w:ascii="Verdana" w:hAnsi="Verdana" w:cs="Arial"/>
          <w:b/>
        </w:rPr>
        <w:t>6.4.2. Warstwa asfaltowa</w:t>
      </w:r>
    </w:p>
    <w:p w:rsidR="00683496" w:rsidRPr="009040B8" w:rsidRDefault="00683496" w:rsidP="00683496">
      <w:pPr>
        <w:keepNext/>
        <w:jc w:val="both"/>
        <w:rPr>
          <w:rFonts w:ascii="Verdana" w:hAnsi="Verdana" w:cs="Arial"/>
          <w:b/>
        </w:rPr>
      </w:pPr>
      <w:r w:rsidRPr="009040B8">
        <w:rPr>
          <w:rFonts w:ascii="Verdana" w:hAnsi="Verdana" w:cs="Arial"/>
          <w:b/>
        </w:rPr>
        <w:t>6.4.2.1. Grubość warstwy oraz ilość materiału</w:t>
      </w:r>
    </w:p>
    <w:p w:rsidR="00683496" w:rsidRPr="002876EA" w:rsidRDefault="00683496" w:rsidP="00683496">
      <w:pPr>
        <w:jc w:val="both"/>
        <w:rPr>
          <w:rFonts w:ascii="Verdana" w:hAnsi="Verdana" w:cs="Arial"/>
        </w:rPr>
      </w:pPr>
      <w:r w:rsidRPr="002876EA">
        <w:rPr>
          <w:rFonts w:ascii="Verdana" w:hAnsi="Verdana" w:cs="Arial"/>
        </w:rPr>
        <w:t xml:space="preserve">Grubość wykonanej warstwy </w:t>
      </w:r>
      <w:r>
        <w:rPr>
          <w:rFonts w:ascii="Verdana" w:hAnsi="Verdana" w:cs="Arial"/>
        </w:rPr>
        <w:t xml:space="preserve">należy określać na podstawie wyciętych próbek </w:t>
      </w:r>
      <w:r>
        <w:rPr>
          <w:rFonts w:ascii="Verdana" w:hAnsi="Verdana" w:cs="Arial"/>
        </w:rPr>
        <w:br/>
        <w:t xml:space="preserve">i </w:t>
      </w:r>
      <w:r w:rsidRPr="002876EA">
        <w:rPr>
          <w:rFonts w:ascii="Verdana" w:hAnsi="Verdana" w:cs="Arial"/>
        </w:rPr>
        <w:t>oznaczana</w:t>
      </w:r>
      <w:r>
        <w:rPr>
          <w:rFonts w:ascii="Verdana" w:hAnsi="Verdana" w:cs="Arial"/>
        </w:rPr>
        <w:t xml:space="preserve"> się</w:t>
      </w:r>
      <w:r w:rsidRPr="002876EA">
        <w:rPr>
          <w:rFonts w:ascii="Verdana" w:hAnsi="Verdana" w:cs="Arial"/>
        </w:rPr>
        <w:t xml:space="preserve"> według PN-EN 12697-36 [40</w:t>
      </w:r>
      <w:r>
        <w:rPr>
          <w:rFonts w:ascii="Verdana" w:hAnsi="Verdana" w:cs="Arial"/>
        </w:rPr>
        <w:t>].</w:t>
      </w:r>
      <w:r w:rsidRPr="002876EA">
        <w:rPr>
          <w:rFonts w:ascii="Verdana" w:hAnsi="Verdana" w:cs="Arial"/>
        </w:rPr>
        <w:t xml:space="preserve"> </w:t>
      </w:r>
    </w:p>
    <w:p w:rsidR="00683496" w:rsidRPr="003E62F7" w:rsidRDefault="00683496" w:rsidP="00683496">
      <w:pPr>
        <w:tabs>
          <w:tab w:val="right" w:pos="0"/>
        </w:tabs>
        <w:jc w:val="both"/>
        <w:rPr>
          <w:rFonts w:ascii="Verdana" w:hAnsi="Verdana"/>
        </w:rPr>
      </w:pPr>
      <w:r w:rsidRPr="003E62F7">
        <w:rPr>
          <w:rFonts w:ascii="Verdana" w:hAnsi="Verdana"/>
        </w:rPr>
        <w:t xml:space="preserve">Za grubość warstwy przyjmuje się średnią arytmetyczną wielu oznaczeń grubości </w:t>
      </w:r>
      <w:r>
        <w:rPr>
          <w:rFonts w:ascii="Verdana" w:hAnsi="Verdana"/>
        </w:rPr>
        <w:br/>
      </w:r>
      <w:r w:rsidRPr="003E62F7">
        <w:rPr>
          <w:rFonts w:ascii="Verdana" w:hAnsi="Verdana"/>
        </w:rPr>
        <w:t xml:space="preserve">na całym odcinku budowy. </w:t>
      </w:r>
    </w:p>
    <w:p w:rsidR="00683496" w:rsidRDefault="00683496" w:rsidP="00683496">
      <w:pPr>
        <w:tabs>
          <w:tab w:val="right" w:pos="0"/>
        </w:tabs>
        <w:jc w:val="both"/>
        <w:rPr>
          <w:rFonts w:ascii="Verdana" w:hAnsi="Verdana" w:cs="Arial"/>
        </w:rPr>
      </w:pPr>
      <w:r w:rsidRPr="003E62F7">
        <w:rPr>
          <w:rFonts w:ascii="Verdana" w:hAnsi="Verdana"/>
        </w:rPr>
        <w:t xml:space="preserve">Odchyłki w zakresie grubości warstwy lub pakietu warstw oraz sposobu oceny jakości pojedynczego wyniku pomiaru </w:t>
      </w:r>
      <w:r>
        <w:rPr>
          <w:rFonts w:ascii="Verdana" w:hAnsi="Verdana" w:cs="Arial"/>
        </w:rPr>
        <w:t xml:space="preserve">należy </w:t>
      </w:r>
      <w:r w:rsidRPr="003E62F7">
        <w:rPr>
          <w:rFonts w:ascii="Verdana" w:hAnsi="Verdana" w:cs="Arial"/>
        </w:rPr>
        <w:t xml:space="preserve">przyjąć </w:t>
      </w:r>
      <w:r>
        <w:rPr>
          <w:rFonts w:ascii="Verdana" w:hAnsi="Verdana"/>
        </w:rPr>
        <w:t>zgodnie z</w:t>
      </w:r>
      <w:r w:rsidRPr="003E62F7">
        <w:rPr>
          <w:rFonts w:ascii="Verdana" w:hAnsi="Verdana" w:cs="Arial"/>
        </w:rPr>
        <w:t xml:space="preserve"> Instrukcj</w:t>
      </w:r>
      <w:r>
        <w:rPr>
          <w:rFonts w:ascii="Verdana" w:hAnsi="Verdana" w:cs="Arial"/>
        </w:rPr>
        <w:t>ą</w:t>
      </w:r>
      <w:r w:rsidRPr="003E62F7">
        <w:rPr>
          <w:rFonts w:ascii="Verdana" w:hAnsi="Verdana" w:cs="Arial"/>
        </w:rPr>
        <w:t xml:space="preserve"> D</w:t>
      </w:r>
      <w:r>
        <w:rPr>
          <w:rFonts w:ascii="Verdana" w:hAnsi="Verdana" w:cs="Arial"/>
        </w:rPr>
        <w:t xml:space="preserve">P-T 14 stanowiącą załącznik do zarządzenia </w:t>
      </w:r>
      <w:r w:rsidRPr="003E62F7">
        <w:rPr>
          <w:rFonts w:ascii="Verdana" w:hAnsi="Verdana" w:cs="Arial"/>
        </w:rPr>
        <w:t>nr 10 Generalnego Dyrektora Dróg Krajowych i Autostrad z dnia 30 marca 2017 r.</w:t>
      </w:r>
    </w:p>
    <w:p w:rsidR="00683496" w:rsidRPr="002876EA" w:rsidRDefault="00683496" w:rsidP="00683496">
      <w:pPr>
        <w:jc w:val="both"/>
        <w:rPr>
          <w:rFonts w:ascii="Verdana" w:hAnsi="Verdana" w:cs="Arial"/>
        </w:rPr>
      </w:pPr>
      <w:r w:rsidRPr="002876EA">
        <w:rPr>
          <w:rFonts w:ascii="Verdana" w:hAnsi="Verdana" w:cs="Arial"/>
        </w:rPr>
        <w:t xml:space="preserve">Dopuszcza się przy odbiorze warstwy przez Przedstawiciela Zamawiającego/Inspektora nadzoru pomiar grubości za pomocą </w:t>
      </w:r>
      <w:proofErr w:type="spellStart"/>
      <w:r w:rsidRPr="002876EA">
        <w:rPr>
          <w:rFonts w:ascii="Verdana" w:hAnsi="Verdana" w:cs="Arial"/>
        </w:rPr>
        <w:t>georadaru</w:t>
      </w:r>
      <w:proofErr w:type="spellEnd"/>
      <w:r w:rsidRPr="002876EA">
        <w:rPr>
          <w:rFonts w:ascii="Verdana" w:hAnsi="Verdana" w:cs="Arial"/>
        </w:rPr>
        <w:t xml:space="preserve"> GPR.</w:t>
      </w:r>
    </w:p>
    <w:p w:rsidR="00683496" w:rsidRPr="009040B8" w:rsidRDefault="00683496" w:rsidP="00683496">
      <w:pPr>
        <w:jc w:val="both"/>
        <w:rPr>
          <w:rFonts w:ascii="Verdana" w:hAnsi="Verdana" w:cs="Arial"/>
        </w:rPr>
      </w:pPr>
    </w:p>
    <w:p w:rsidR="00683496" w:rsidRPr="009040B8" w:rsidRDefault="00683496" w:rsidP="00683496">
      <w:pPr>
        <w:jc w:val="both"/>
        <w:rPr>
          <w:rFonts w:ascii="Verdana" w:hAnsi="Verdana" w:cs="Arial"/>
          <w:b/>
        </w:rPr>
      </w:pPr>
      <w:r w:rsidRPr="009040B8">
        <w:rPr>
          <w:rFonts w:ascii="Verdana" w:hAnsi="Verdana" w:cs="Arial"/>
          <w:b/>
        </w:rPr>
        <w:t>6.4.2.2. Wskaźnik zagęszczenia warstwy i wolna przestrzeń w warstwie</w:t>
      </w:r>
    </w:p>
    <w:p w:rsidR="00683496" w:rsidRPr="003E62F7" w:rsidRDefault="00683496" w:rsidP="00683496">
      <w:pPr>
        <w:tabs>
          <w:tab w:val="right" w:pos="0"/>
        </w:tabs>
        <w:jc w:val="both"/>
        <w:rPr>
          <w:rFonts w:ascii="Verdana" w:hAnsi="Verdana" w:cs="Arial"/>
        </w:rPr>
      </w:pPr>
      <w:r w:rsidRPr="003E62F7">
        <w:rPr>
          <w:rFonts w:ascii="Verdana" w:hAnsi="Verdana" w:cs="Arial"/>
        </w:rPr>
        <w:t>Zagęszczenie wykonanej warstwy, wyrażone wskaźnikiem zagęszczenia oraz zawartością wolnych przestrzeni, nie może przekroczyć wartości dopuszczalnych podanych w tabeli 1</w:t>
      </w:r>
      <w:r>
        <w:rPr>
          <w:rFonts w:ascii="Verdana" w:hAnsi="Verdana" w:cs="Arial"/>
        </w:rPr>
        <w:t>4</w:t>
      </w:r>
      <w:r w:rsidRPr="003E62F7">
        <w:rPr>
          <w:rFonts w:ascii="Verdana" w:hAnsi="Verdana" w:cs="Arial"/>
        </w:rPr>
        <w:t xml:space="preserve">. Odchyłki </w:t>
      </w:r>
      <w:r>
        <w:rPr>
          <w:rFonts w:ascii="Verdana" w:hAnsi="Verdana" w:cs="Arial"/>
        </w:rPr>
        <w:t xml:space="preserve">w zakresie wskaźnika zagęszczenia </w:t>
      </w:r>
      <w:r w:rsidRPr="003E62F7">
        <w:rPr>
          <w:rFonts w:ascii="Verdana" w:hAnsi="Verdana" w:cs="Arial"/>
        </w:rPr>
        <w:t xml:space="preserve">oraz sposób oceny </w:t>
      </w:r>
      <w:r>
        <w:rPr>
          <w:rFonts w:ascii="Verdana" w:hAnsi="Verdana" w:cs="Arial"/>
        </w:rPr>
        <w:t xml:space="preserve">należy </w:t>
      </w:r>
      <w:r w:rsidRPr="003E62F7">
        <w:rPr>
          <w:rFonts w:ascii="Verdana" w:hAnsi="Verdana" w:cs="Arial"/>
        </w:rPr>
        <w:t xml:space="preserve">przyjąć </w:t>
      </w:r>
      <w:r>
        <w:rPr>
          <w:rFonts w:ascii="Verdana" w:hAnsi="Verdana"/>
        </w:rPr>
        <w:t>zgodnie z</w:t>
      </w:r>
      <w:r w:rsidRPr="003E62F7">
        <w:rPr>
          <w:rFonts w:ascii="Verdana" w:hAnsi="Verdana" w:cs="Arial"/>
        </w:rPr>
        <w:t xml:space="preserve"> Instrukcj</w:t>
      </w:r>
      <w:r>
        <w:rPr>
          <w:rFonts w:ascii="Verdana" w:hAnsi="Verdana" w:cs="Arial"/>
        </w:rPr>
        <w:t>ą</w:t>
      </w:r>
      <w:r w:rsidRPr="003E62F7">
        <w:rPr>
          <w:rFonts w:ascii="Verdana" w:hAnsi="Verdana" w:cs="Arial"/>
        </w:rPr>
        <w:t xml:space="preserve"> D</w:t>
      </w:r>
      <w:r>
        <w:rPr>
          <w:rFonts w:ascii="Verdana" w:hAnsi="Verdana" w:cs="Arial"/>
        </w:rPr>
        <w:t xml:space="preserve">P-T 14 stanowiącą załącznik do zarządzenia </w:t>
      </w:r>
      <w:r w:rsidRPr="003E62F7">
        <w:rPr>
          <w:rFonts w:ascii="Verdana" w:hAnsi="Verdana" w:cs="Arial"/>
        </w:rPr>
        <w:t>nr 10 Generalnego Dyrektora Dróg Krajowych i Au</w:t>
      </w:r>
      <w:r>
        <w:rPr>
          <w:rFonts w:ascii="Verdana" w:hAnsi="Verdana" w:cs="Arial"/>
        </w:rPr>
        <w:t>tostrad z dnia 30 marca 2017 r.</w:t>
      </w:r>
    </w:p>
    <w:p w:rsidR="00683496" w:rsidRPr="003E62F7" w:rsidRDefault="00683496" w:rsidP="00683496">
      <w:pPr>
        <w:tabs>
          <w:tab w:val="right" w:pos="0"/>
        </w:tabs>
        <w:jc w:val="both"/>
        <w:rPr>
          <w:rFonts w:ascii="Verdana" w:hAnsi="Verdana" w:cs="Arial"/>
        </w:rPr>
      </w:pPr>
      <w:r w:rsidRPr="003E62F7">
        <w:rPr>
          <w:rFonts w:ascii="Verdana" w:hAnsi="Verdana" w:cs="Arial"/>
        </w:rPr>
        <w:t xml:space="preserve">Wskaźnik zagęszczenia warstwy należy obliczać z dokładnością do jednego miejsca </w:t>
      </w:r>
      <w:r>
        <w:rPr>
          <w:rFonts w:ascii="Verdana" w:hAnsi="Verdana" w:cs="Arial"/>
        </w:rPr>
        <w:br/>
      </w:r>
      <w:r w:rsidRPr="003E62F7">
        <w:rPr>
          <w:rFonts w:ascii="Verdana" w:hAnsi="Verdana" w:cs="Arial"/>
        </w:rPr>
        <w:t>po przecinku.</w:t>
      </w:r>
    </w:p>
    <w:p w:rsidR="00683496" w:rsidRDefault="00683496" w:rsidP="00683496">
      <w:pPr>
        <w:jc w:val="both"/>
        <w:rPr>
          <w:rFonts w:ascii="Verdana" w:hAnsi="Verdana" w:cs="Arial"/>
        </w:rPr>
      </w:pPr>
      <w:r w:rsidRPr="009040B8">
        <w:rPr>
          <w:rFonts w:ascii="Verdana" w:hAnsi="Verdana" w:cs="Arial"/>
        </w:rPr>
        <w:t>Określenie gęstości objętościowej należy wykonywać według PN-EN 12697-</w:t>
      </w:r>
      <w:r>
        <w:rPr>
          <w:rFonts w:ascii="Verdana" w:hAnsi="Verdana" w:cs="Arial"/>
        </w:rPr>
        <w:t>6</w:t>
      </w:r>
      <w:r w:rsidRPr="009040B8">
        <w:rPr>
          <w:rFonts w:ascii="Verdana" w:hAnsi="Verdana" w:cs="Arial"/>
        </w:rPr>
        <w:t xml:space="preserve"> [3</w:t>
      </w:r>
      <w:r>
        <w:rPr>
          <w:rFonts w:ascii="Verdana" w:hAnsi="Verdana" w:cs="Arial"/>
        </w:rPr>
        <w:t>2].</w:t>
      </w:r>
    </w:p>
    <w:p w:rsidR="00683496" w:rsidRPr="009040B8" w:rsidRDefault="00683496" w:rsidP="00683496">
      <w:pPr>
        <w:jc w:val="both"/>
        <w:rPr>
          <w:rFonts w:ascii="Verdana" w:hAnsi="Verdana" w:cs="Arial"/>
        </w:rPr>
      </w:pPr>
    </w:p>
    <w:p w:rsidR="00683496" w:rsidRDefault="00683496" w:rsidP="00683496">
      <w:pPr>
        <w:jc w:val="both"/>
        <w:rPr>
          <w:rFonts w:ascii="Verdana" w:hAnsi="Verdana" w:cs="Arial"/>
          <w:b/>
        </w:rPr>
      </w:pPr>
    </w:p>
    <w:p w:rsidR="00683496" w:rsidRDefault="00683496" w:rsidP="00683496">
      <w:pPr>
        <w:jc w:val="both"/>
        <w:rPr>
          <w:rFonts w:ascii="Verdana" w:hAnsi="Verdana" w:cs="Arial"/>
          <w:b/>
        </w:rPr>
      </w:pPr>
    </w:p>
    <w:p w:rsidR="00683496" w:rsidRDefault="00683496" w:rsidP="00683496">
      <w:pPr>
        <w:jc w:val="both"/>
        <w:rPr>
          <w:rFonts w:ascii="Verdana" w:hAnsi="Verdana" w:cs="Arial"/>
          <w:b/>
        </w:rPr>
      </w:pPr>
    </w:p>
    <w:p w:rsidR="00683496" w:rsidRPr="009040B8" w:rsidRDefault="00683496" w:rsidP="00683496">
      <w:pPr>
        <w:jc w:val="both"/>
        <w:rPr>
          <w:rFonts w:ascii="Verdana" w:hAnsi="Verdana" w:cs="Arial"/>
          <w:b/>
        </w:rPr>
      </w:pPr>
      <w:r w:rsidRPr="009040B8">
        <w:rPr>
          <w:rFonts w:ascii="Verdana" w:hAnsi="Verdana" w:cs="Arial"/>
          <w:b/>
        </w:rPr>
        <w:t>6.4.2.3. Spadki poprzeczne</w:t>
      </w:r>
    </w:p>
    <w:p w:rsidR="00683496" w:rsidRPr="009040B8" w:rsidRDefault="00683496" w:rsidP="00683496">
      <w:pPr>
        <w:jc w:val="both"/>
        <w:rPr>
          <w:rFonts w:ascii="Verdana" w:hAnsi="Verdana" w:cs="Arial"/>
          <w:highlight w:val="yellow"/>
        </w:rPr>
      </w:pPr>
      <w:r w:rsidRPr="009040B8">
        <w:rPr>
          <w:rFonts w:ascii="Verdana" w:hAnsi="Verdana" w:cs="Arial"/>
        </w:rPr>
        <w:t>Spadki poprzeczne nawierzchni należy badać nie rzadziej niż co 50 m oraz w punktach głównych łuków poziomych.</w:t>
      </w:r>
      <w:r w:rsidRPr="009040B8">
        <w:rPr>
          <w:rFonts w:ascii="Verdana" w:hAnsi="Verdana" w:cs="Arial"/>
          <w:highlight w:val="yellow"/>
        </w:rPr>
        <w:t xml:space="preserve"> </w:t>
      </w:r>
    </w:p>
    <w:p w:rsidR="00683496" w:rsidRPr="009040B8" w:rsidRDefault="00683496" w:rsidP="00683496">
      <w:pPr>
        <w:jc w:val="both"/>
        <w:rPr>
          <w:rFonts w:ascii="Verdana" w:hAnsi="Verdana" w:cs="Arial"/>
        </w:rPr>
      </w:pPr>
      <w:r w:rsidRPr="009040B8">
        <w:rPr>
          <w:rFonts w:ascii="Verdana" w:hAnsi="Verdana" w:cs="Arial"/>
        </w:rPr>
        <w:t>Obliguje się wykonawcę do sporządzenia inwentaryzacji istniejących spadków poprzecznych co 10 m.</w:t>
      </w:r>
    </w:p>
    <w:p w:rsidR="00683496" w:rsidRDefault="00683496" w:rsidP="00683496">
      <w:pPr>
        <w:jc w:val="both"/>
        <w:rPr>
          <w:rFonts w:ascii="Verdana" w:hAnsi="Verdana" w:cs="Arial"/>
        </w:rPr>
      </w:pPr>
      <w:r w:rsidRPr="009040B8">
        <w:rPr>
          <w:rFonts w:ascii="Verdana" w:hAnsi="Verdana" w:cs="Arial"/>
        </w:rPr>
        <w:t xml:space="preserve">Spadki poprzeczne powinny być zgodne z ustaleniami Inspektora Nadzoru z tolerancją </w:t>
      </w:r>
      <w:r>
        <w:rPr>
          <w:rFonts w:ascii="Verdana" w:hAnsi="Verdana" w:cs="Arial"/>
        </w:rPr>
        <w:t xml:space="preserve">                 </w:t>
      </w:r>
      <w:r w:rsidRPr="009040B8">
        <w:rPr>
          <w:rFonts w:ascii="Verdana" w:hAnsi="Verdana" w:cs="Arial"/>
        </w:rPr>
        <w:t>± 0,5%.</w:t>
      </w:r>
    </w:p>
    <w:p w:rsidR="00683496" w:rsidRPr="00581983" w:rsidRDefault="00683496" w:rsidP="00683496">
      <w:pPr>
        <w:jc w:val="both"/>
        <w:rPr>
          <w:rFonts w:ascii="Verdana" w:hAnsi="Verdana" w:cs="Arial"/>
        </w:rPr>
      </w:pPr>
    </w:p>
    <w:p w:rsidR="00683496" w:rsidRPr="009040B8" w:rsidRDefault="00683496" w:rsidP="00683496">
      <w:pPr>
        <w:keepNext/>
        <w:jc w:val="both"/>
        <w:rPr>
          <w:rFonts w:ascii="Verdana" w:hAnsi="Verdana" w:cs="Arial"/>
          <w:b/>
        </w:rPr>
      </w:pPr>
      <w:r w:rsidRPr="009040B8">
        <w:rPr>
          <w:rFonts w:ascii="Verdana" w:hAnsi="Verdana" w:cs="Arial"/>
          <w:b/>
        </w:rPr>
        <w:t>6.4.2.4. Równość podłużna</w:t>
      </w:r>
    </w:p>
    <w:p w:rsidR="00683496" w:rsidRPr="009040B8" w:rsidRDefault="00683496" w:rsidP="00683496">
      <w:pPr>
        <w:jc w:val="both"/>
        <w:rPr>
          <w:rFonts w:ascii="Verdana" w:hAnsi="Verdana" w:cs="Arial"/>
        </w:rPr>
      </w:pPr>
      <w:r w:rsidRPr="009040B8">
        <w:rPr>
          <w:rFonts w:ascii="Verdana" w:hAnsi="Verdana" w:cs="Arial"/>
        </w:rPr>
        <w:t>Pomiary równości podłużnej należy wykonywać w środku każdego ocenianego pasa ruchu.</w:t>
      </w:r>
    </w:p>
    <w:p w:rsidR="00683496" w:rsidRPr="009040B8" w:rsidRDefault="00683496" w:rsidP="00683496">
      <w:pPr>
        <w:jc w:val="both"/>
        <w:rPr>
          <w:rFonts w:ascii="Verdana" w:hAnsi="Verdana" w:cs="Arial"/>
        </w:rPr>
      </w:pPr>
      <w:r w:rsidRPr="009040B8">
        <w:rPr>
          <w:rFonts w:ascii="Verdana" w:hAnsi="Verdana" w:cs="Arial"/>
        </w:rPr>
        <w:t>Do oceny równości podłużnej warstwy wiążącej i wyrównawczej nawierzchni dróg klasy Z i dróg wyższych klas należy stosować jedną z poniższych metod. Równość podłużna mierzona obiema metodami (metodą profilometryczną i łaty 4-metrowej) powinna być spełniona jednocześnie dla wykonanej warstwy wiążącej i/lub wyrównawczej.</w:t>
      </w:r>
    </w:p>
    <w:p w:rsidR="00683496" w:rsidRPr="009040B8" w:rsidRDefault="00683496" w:rsidP="00683496">
      <w:pPr>
        <w:jc w:val="both"/>
        <w:rPr>
          <w:rFonts w:ascii="Verdana" w:hAnsi="Verdana" w:cs="Arial"/>
        </w:rPr>
      </w:pPr>
    </w:p>
    <w:p w:rsidR="00683496" w:rsidRPr="009040B8" w:rsidRDefault="00683496" w:rsidP="00683496">
      <w:pPr>
        <w:jc w:val="both"/>
        <w:rPr>
          <w:rFonts w:ascii="Verdana" w:hAnsi="Verdana" w:cs="Arial"/>
          <w:b/>
        </w:rPr>
      </w:pPr>
      <w:r w:rsidRPr="009040B8">
        <w:rPr>
          <w:rFonts w:ascii="Verdana" w:hAnsi="Verdana" w:cs="Arial"/>
          <w:b/>
        </w:rPr>
        <w:t xml:space="preserve">6.4.2.4.1. Metoda profilometryczna </w:t>
      </w:r>
    </w:p>
    <w:p w:rsidR="00683496" w:rsidRPr="00190B46" w:rsidRDefault="00683496" w:rsidP="00683496">
      <w:pPr>
        <w:shd w:val="clear" w:color="auto" w:fill="FFFFFF"/>
        <w:tabs>
          <w:tab w:val="left" w:pos="0"/>
          <w:tab w:val="left" w:pos="1253"/>
        </w:tabs>
        <w:ind w:right="29"/>
        <w:jc w:val="both"/>
        <w:rPr>
          <w:rFonts w:ascii="Verdana" w:hAnsi="Verdana"/>
          <w:bCs/>
        </w:rPr>
      </w:pPr>
      <w:r w:rsidRPr="00190B46">
        <w:rPr>
          <w:rFonts w:ascii="Verdana" w:hAnsi="Verdana"/>
          <w:bCs/>
        </w:rPr>
        <w:t xml:space="preserve">Do oceny równości podłużnej warstwy </w:t>
      </w:r>
      <w:r>
        <w:rPr>
          <w:rFonts w:ascii="Verdana" w:hAnsi="Verdana"/>
          <w:bCs/>
        </w:rPr>
        <w:t>wiążącej</w:t>
      </w:r>
      <w:r w:rsidRPr="00190B46">
        <w:rPr>
          <w:rFonts w:ascii="Verdana" w:hAnsi="Verdana"/>
          <w:bCs/>
        </w:rPr>
        <w:t xml:space="preserve"> nawierzchni </w:t>
      </w:r>
      <w:r w:rsidRPr="003A78B5">
        <w:rPr>
          <w:rFonts w:ascii="Verdana" w:hAnsi="Verdana"/>
          <w:bCs/>
        </w:rPr>
        <w:t>dróg klasy A, S, GP oraz G n</w:t>
      </w:r>
      <w:r w:rsidRPr="00190B46">
        <w:rPr>
          <w:rFonts w:ascii="Verdana" w:hAnsi="Verdana"/>
          <w:bCs/>
        </w:rPr>
        <w:t>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rsidR="00683496" w:rsidRPr="00190B46" w:rsidRDefault="00683496" w:rsidP="00683496">
      <w:pPr>
        <w:shd w:val="clear" w:color="auto" w:fill="FFFFFF"/>
        <w:tabs>
          <w:tab w:val="left" w:pos="0"/>
        </w:tabs>
        <w:ind w:right="24"/>
        <w:jc w:val="both"/>
        <w:rPr>
          <w:rFonts w:ascii="Verdana" w:hAnsi="Verdana"/>
          <w:bCs/>
        </w:rPr>
      </w:pPr>
      <w:r w:rsidRPr="00190B46">
        <w:rPr>
          <w:rFonts w:ascii="Verdana" w:hAnsi="Verdana"/>
          <w:bCs/>
        </w:rPr>
        <w:t>Do oceny równości odcinka nawierzchni ustala się minimalną liczbę wskaźników IRI równą 5.</w:t>
      </w:r>
    </w:p>
    <w:p w:rsidR="00683496" w:rsidRPr="00190B46" w:rsidRDefault="00683496" w:rsidP="00683496">
      <w:pPr>
        <w:shd w:val="clear" w:color="auto" w:fill="FFFFFF"/>
        <w:tabs>
          <w:tab w:val="left" w:pos="0"/>
        </w:tabs>
        <w:ind w:right="24"/>
        <w:jc w:val="both"/>
        <w:rPr>
          <w:rFonts w:ascii="Verdana" w:hAnsi="Verdana"/>
          <w:bCs/>
        </w:rPr>
      </w:pPr>
      <w:r w:rsidRPr="00190B46">
        <w:rPr>
          <w:rFonts w:ascii="Verdana" w:hAnsi="Verdana"/>
          <w:bCs/>
        </w:rPr>
        <w:t xml:space="preserve"> W przypadku odbioru robót na krótkich odcinkach nawierzchni, których całkowita długość jest mniejsza niż 250 m, dopuszcza się wyznaczanie wskaźników IRI z krokiem mniejszym </w:t>
      </w:r>
      <w:r w:rsidRPr="00190B46">
        <w:rPr>
          <w:rFonts w:ascii="Verdana" w:hAnsi="Verdana"/>
          <w:bCs/>
        </w:rPr>
        <w:lastRenderedPageBreak/>
        <w:t>niż 50 m, przy czym należy ustalać maksymalną możliwą dłu</w:t>
      </w:r>
      <w:r w:rsidRPr="00190B46">
        <w:rPr>
          <w:rFonts w:ascii="Verdana" w:hAnsi="Verdana"/>
          <w:bCs/>
        </w:rPr>
        <w:softHyphen/>
        <w:t>gość kroku pomiarowego, z uwzględnieniem minimalnej wymaganej liczby wskaźników IRI równej 5.</w:t>
      </w:r>
    </w:p>
    <w:p w:rsidR="00683496" w:rsidRPr="00190B46" w:rsidRDefault="00683496" w:rsidP="00683496">
      <w:pPr>
        <w:shd w:val="clear" w:color="auto" w:fill="FFFFFF"/>
        <w:tabs>
          <w:tab w:val="left" w:pos="0"/>
        </w:tabs>
        <w:ind w:right="29"/>
        <w:jc w:val="both"/>
        <w:rPr>
          <w:rFonts w:ascii="Verdana" w:hAnsi="Verdana"/>
          <w:bCs/>
        </w:rPr>
      </w:pPr>
      <w:r w:rsidRPr="00190B46">
        <w:rPr>
          <w:rFonts w:ascii="Verdana" w:hAnsi="Verdana"/>
          <w:bCs/>
        </w:rPr>
        <w:t xml:space="preserve">Wymagana równość podłużna jest określona przez wartości wskaźnika, których nie można przekroczyć na 50%, 80% i 100% długości badanego odcinka nawierzchni. </w:t>
      </w:r>
    </w:p>
    <w:p w:rsidR="00683496" w:rsidRPr="00190B46" w:rsidRDefault="00683496" w:rsidP="00683496">
      <w:pPr>
        <w:shd w:val="clear" w:color="auto" w:fill="FFFFFF"/>
        <w:tabs>
          <w:tab w:val="left" w:pos="0"/>
        </w:tabs>
        <w:ind w:right="29"/>
        <w:jc w:val="both"/>
        <w:rPr>
          <w:rFonts w:ascii="Verdana" w:hAnsi="Verdana"/>
          <w:bCs/>
        </w:rPr>
      </w:pPr>
      <w:r w:rsidRPr="00190B46">
        <w:rPr>
          <w:rFonts w:ascii="Verdana" w:hAnsi="Verdana"/>
          <w:bCs/>
        </w:rPr>
        <w:t xml:space="preserve">Jeżeli na odcinku nie można wyznaczyć co najmniej 10 wartości IRI, to wartość miarodajna, będąca sumą wartości średniej i odchylenia standardowego nie powinna przekroczyć wartości odpowiedniej dla 80% długości badanego odcinka nawierzchni. Wartości dopuszczalne przy odbiorze warstwy metodą profilometryczną określa </w:t>
      </w:r>
      <w:r>
        <w:rPr>
          <w:rFonts w:ascii="Verdana" w:hAnsi="Verdana"/>
          <w:bCs/>
        </w:rPr>
        <w:t xml:space="preserve">tabela: </w:t>
      </w:r>
    </w:p>
    <w:p w:rsidR="00683496" w:rsidRPr="00190B46" w:rsidRDefault="00683496" w:rsidP="00683496">
      <w:pPr>
        <w:shd w:val="clear" w:color="auto" w:fill="FFFFFF"/>
        <w:spacing w:before="80"/>
        <w:jc w:val="both"/>
        <w:rPr>
          <w:rFonts w:ascii="Verdana" w:hAnsi="Verdana"/>
          <w:bCs/>
        </w:rPr>
      </w:pPr>
      <w:r w:rsidRPr="00190B46">
        <w:rPr>
          <w:rFonts w:ascii="Verdana" w:hAnsi="Verdana"/>
          <w:bCs/>
        </w:rPr>
        <w:t>Tab</w:t>
      </w:r>
      <w:r>
        <w:rPr>
          <w:rFonts w:ascii="Verdana" w:hAnsi="Verdana"/>
          <w:bCs/>
        </w:rPr>
        <w:t>ela</w:t>
      </w:r>
      <w:r w:rsidRPr="00190B46">
        <w:rPr>
          <w:rFonts w:ascii="Verdana" w:hAnsi="Verdana"/>
          <w:bCs/>
        </w:rPr>
        <w:t xml:space="preserve"> 23. Wartości dopuszczalne przy odbiorze warstwy metodą profilometryczną </w:t>
      </w:r>
    </w:p>
    <w:tbl>
      <w:tblPr>
        <w:tblpPr w:leftFromText="141" w:rightFromText="141" w:vertAnchor="text" w:horzAnchor="margin" w:tblpY="195"/>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3685"/>
        <w:gridCol w:w="1134"/>
        <w:gridCol w:w="1134"/>
        <w:gridCol w:w="1134"/>
      </w:tblGrid>
      <w:tr w:rsidR="00683496" w:rsidRPr="00190B46" w:rsidTr="00683496">
        <w:tc>
          <w:tcPr>
            <w:tcW w:w="2055" w:type="dxa"/>
            <w:vAlign w:val="center"/>
          </w:tcPr>
          <w:p w:rsidR="00683496" w:rsidRPr="00190B46" w:rsidRDefault="00683496" w:rsidP="00683496">
            <w:pPr>
              <w:ind w:right="135"/>
              <w:jc w:val="center"/>
              <w:rPr>
                <w:rFonts w:ascii="Verdana" w:hAnsi="Verdana"/>
              </w:rPr>
            </w:pPr>
            <w:r w:rsidRPr="00190B46">
              <w:rPr>
                <w:rFonts w:ascii="Verdana" w:hAnsi="Verdana"/>
              </w:rPr>
              <w:t>Klasa techniczna drogi</w:t>
            </w:r>
          </w:p>
        </w:tc>
        <w:tc>
          <w:tcPr>
            <w:tcW w:w="3685" w:type="dxa"/>
            <w:vAlign w:val="center"/>
          </w:tcPr>
          <w:p w:rsidR="00683496" w:rsidRPr="00190B46" w:rsidRDefault="00683496" w:rsidP="00683496">
            <w:pPr>
              <w:ind w:right="135"/>
              <w:jc w:val="center"/>
              <w:rPr>
                <w:rFonts w:ascii="Verdana" w:hAnsi="Verdana"/>
              </w:rPr>
            </w:pPr>
            <w:r w:rsidRPr="00190B46">
              <w:rPr>
                <w:rFonts w:ascii="Verdana" w:hAnsi="Verdana"/>
              </w:rPr>
              <w:t>Element nawierzchni</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t>50%</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t>80%</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t>100%</w:t>
            </w:r>
          </w:p>
        </w:tc>
      </w:tr>
      <w:tr w:rsidR="00683496" w:rsidRPr="00190B46" w:rsidTr="00683496">
        <w:trPr>
          <w:cantSplit/>
        </w:trPr>
        <w:tc>
          <w:tcPr>
            <w:tcW w:w="2055" w:type="dxa"/>
            <w:vMerge w:val="restart"/>
            <w:vAlign w:val="center"/>
          </w:tcPr>
          <w:p w:rsidR="00683496" w:rsidRPr="00190B46" w:rsidRDefault="00683496" w:rsidP="00683496">
            <w:pPr>
              <w:ind w:right="135"/>
              <w:jc w:val="center"/>
              <w:rPr>
                <w:rFonts w:ascii="Verdana" w:hAnsi="Verdana"/>
              </w:rPr>
            </w:pPr>
            <w:r w:rsidRPr="00190B46">
              <w:rPr>
                <w:rFonts w:ascii="Verdana" w:hAnsi="Verdana"/>
              </w:rPr>
              <w:t>A, S, GP</w:t>
            </w:r>
          </w:p>
        </w:tc>
        <w:tc>
          <w:tcPr>
            <w:tcW w:w="3685" w:type="dxa"/>
          </w:tcPr>
          <w:p w:rsidR="00683496" w:rsidRPr="00190B46" w:rsidRDefault="00683496" w:rsidP="00683496">
            <w:pPr>
              <w:ind w:right="135"/>
              <w:rPr>
                <w:rFonts w:ascii="Verdana" w:hAnsi="Verdana"/>
              </w:rPr>
            </w:pPr>
            <w:r w:rsidRPr="00190B46">
              <w:rPr>
                <w:rFonts w:ascii="Verdana" w:hAnsi="Verdana"/>
              </w:rPr>
              <w:t>pasy ruchu zasadnicze, awaryjne, dodatkowe, włączania i wyłączania</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2,0</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3,4</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5,6</w:t>
            </w:r>
          </w:p>
        </w:tc>
      </w:tr>
      <w:tr w:rsidR="00683496" w:rsidRPr="00190B46" w:rsidTr="00683496">
        <w:trPr>
          <w:cantSplit/>
        </w:trPr>
        <w:tc>
          <w:tcPr>
            <w:tcW w:w="2055" w:type="dxa"/>
            <w:vMerge/>
            <w:vAlign w:val="center"/>
          </w:tcPr>
          <w:p w:rsidR="00683496" w:rsidRPr="00190B46" w:rsidRDefault="00683496" w:rsidP="00683496">
            <w:pPr>
              <w:ind w:right="135"/>
              <w:jc w:val="center"/>
              <w:rPr>
                <w:rFonts w:ascii="Verdana" w:hAnsi="Verdana"/>
              </w:rPr>
            </w:pPr>
          </w:p>
        </w:tc>
        <w:tc>
          <w:tcPr>
            <w:tcW w:w="3685" w:type="dxa"/>
          </w:tcPr>
          <w:p w:rsidR="00683496" w:rsidRPr="00190B46" w:rsidRDefault="00683496" w:rsidP="00683496">
            <w:pPr>
              <w:ind w:right="135"/>
              <w:rPr>
                <w:rFonts w:ascii="Verdana" w:hAnsi="Verdana"/>
              </w:rPr>
            </w:pPr>
            <w:r w:rsidRPr="00190B46">
              <w:rPr>
                <w:rFonts w:ascii="Verdana" w:hAnsi="Verdana"/>
              </w:rPr>
              <w:t>jezdnie łącznic, jezdnie dróg rozprowadzających, jezdnie MOP, utwardzone pobocza</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3,4</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4,8</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6,8</w:t>
            </w:r>
          </w:p>
        </w:tc>
      </w:tr>
      <w:tr w:rsidR="00683496" w:rsidRPr="00190B46" w:rsidTr="00683496">
        <w:trPr>
          <w:cantSplit/>
          <w:trHeight w:val="805"/>
        </w:trPr>
        <w:tc>
          <w:tcPr>
            <w:tcW w:w="2055" w:type="dxa"/>
            <w:vAlign w:val="center"/>
          </w:tcPr>
          <w:p w:rsidR="00683496" w:rsidRPr="00190B46" w:rsidRDefault="00683496" w:rsidP="00683496">
            <w:pPr>
              <w:ind w:right="135"/>
              <w:jc w:val="center"/>
              <w:rPr>
                <w:rFonts w:ascii="Verdana" w:hAnsi="Verdana"/>
              </w:rPr>
            </w:pPr>
            <w:r w:rsidRPr="00190B46">
              <w:rPr>
                <w:rFonts w:ascii="Verdana" w:hAnsi="Verdana"/>
              </w:rPr>
              <w:t>G</w:t>
            </w:r>
          </w:p>
        </w:tc>
        <w:tc>
          <w:tcPr>
            <w:tcW w:w="3685" w:type="dxa"/>
          </w:tcPr>
          <w:p w:rsidR="00683496" w:rsidRPr="00190B46" w:rsidRDefault="00683496" w:rsidP="00683496">
            <w:pPr>
              <w:ind w:right="135"/>
              <w:rPr>
                <w:rFonts w:ascii="Verdana" w:hAnsi="Verdana"/>
              </w:rPr>
            </w:pPr>
            <w:r w:rsidRPr="00190B46">
              <w:rPr>
                <w:rFonts w:ascii="Verdana" w:hAnsi="Verdana"/>
              </w:rPr>
              <w:t>pasy ruchu zasadnicze, dodatkowe, włączania i wyłączania, postojowe, utwardzone pobocze</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3,4</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4,8</w:t>
            </w:r>
          </w:p>
        </w:tc>
        <w:tc>
          <w:tcPr>
            <w:tcW w:w="1134" w:type="dxa"/>
            <w:vAlign w:val="center"/>
          </w:tcPr>
          <w:p w:rsidR="00683496" w:rsidRPr="00190B46" w:rsidRDefault="00683496" w:rsidP="00683496">
            <w:pPr>
              <w:ind w:right="135"/>
              <w:jc w:val="center"/>
              <w:rPr>
                <w:rFonts w:ascii="Verdana" w:hAnsi="Verdana"/>
              </w:rPr>
            </w:pPr>
            <w:r w:rsidRPr="00190B46">
              <w:rPr>
                <w:rFonts w:ascii="Verdana" w:hAnsi="Verdana"/>
              </w:rPr>
              <w:sym w:font="Symbol" w:char="F0A3"/>
            </w:r>
            <w:r w:rsidRPr="00190B46">
              <w:rPr>
                <w:rFonts w:ascii="Verdana" w:hAnsi="Verdana"/>
              </w:rPr>
              <w:t xml:space="preserve"> 6,8</w:t>
            </w:r>
          </w:p>
        </w:tc>
      </w:tr>
    </w:tbl>
    <w:p w:rsidR="00683496" w:rsidRDefault="00683496" w:rsidP="00683496">
      <w:pPr>
        <w:jc w:val="both"/>
        <w:rPr>
          <w:rFonts w:ascii="Verdana" w:hAnsi="Verdana" w:cs="Arial"/>
          <w:b/>
        </w:rPr>
      </w:pPr>
    </w:p>
    <w:p w:rsidR="00683496" w:rsidRPr="009040B8" w:rsidRDefault="00683496" w:rsidP="00683496">
      <w:pPr>
        <w:jc w:val="both"/>
        <w:rPr>
          <w:rFonts w:ascii="Verdana" w:hAnsi="Verdana" w:cs="Arial"/>
          <w:b/>
        </w:rPr>
      </w:pPr>
      <w:r w:rsidRPr="009040B8">
        <w:rPr>
          <w:rFonts w:ascii="Verdana" w:hAnsi="Verdana" w:cs="Arial"/>
          <w:b/>
        </w:rPr>
        <w:t xml:space="preserve">6.4.2.4.2. Metoda czterometrowej łaty i klina </w:t>
      </w:r>
    </w:p>
    <w:p w:rsidR="00683496" w:rsidRDefault="00683496" w:rsidP="00683496">
      <w:pPr>
        <w:jc w:val="both"/>
        <w:rPr>
          <w:rFonts w:ascii="Verdana" w:hAnsi="Verdana" w:cs="Arial"/>
        </w:rPr>
      </w:pPr>
      <w:r w:rsidRPr="002876EA">
        <w:rPr>
          <w:rFonts w:ascii="Verdana" w:hAnsi="Verdana" w:cs="Arial"/>
        </w:rPr>
        <w:t xml:space="preserve">Do oceny równości podłużnej warstwy </w:t>
      </w:r>
      <w:r>
        <w:rPr>
          <w:rFonts w:ascii="Verdana" w:hAnsi="Verdana" w:cs="Arial"/>
        </w:rPr>
        <w:t>wiążącej</w:t>
      </w:r>
      <w:r w:rsidRPr="002876EA">
        <w:rPr>
          <w:rFonts w:ascii="Verdana" w:hAnsi="Verdana" w:cs="Arial"/>
        </w:rPr>
        <w:t xml:space="preserve"> niezależnie od pomiarów profilometrycznych można stosować metodę równoważną do metody łaty 4-metrowej i klina, umożliwiającą pomiar ciągły (</w:t>
      </w:r>
      <w:proofErr w:type="spellStart"/>
      <w:r w:rsidRPr="002876EA">
        <w:rPr>
          <w:rFonts w:ascii="Verdana" w:hAnsi="Verdana" w:cs="Arial"/>
        </w:rPr>
        <w:t>planograf</w:t>
      </w:r>
      <w:proofErr w:type="spellEnd"/>
      <w:r w:rsidRPr="002876EA">
        <w:rPr>
          <w:rFonts w:ascii="Verdana" w:hAnsi="Verdana" w:cs="Arial"/>
        </w:rPr>
        <w:t>). Wymagana równość podłużna jest określona przez wartość odchylenia równości (prześwitu). Przez odchylenie równości rozumie się największą odległość między łatą a mierzoną powierzchnią. Dopuszczalne nierówności określa tabela:</w:t>
      </w:r>
    </w:p>
    <w:p w:rsidR="00683496" w:rsidRPr="002876EA" w:rsidRDefault="00683496" w:rsidP="00683496">
      <w:pPr>
        <w:jc w:val="both"/>
        <w:rPr>
          <w:rFonts w:ascii="Verdana" w:hAnsi="Verdana" w:cs="Arial"/>
        </w:rPr>
      </w:pPr>
      <w:r w:rsidRPr="002876EA">
        <w:rPr>
          <w:rFonts w:ascii="Verdana" w:hAnsi="Verdana" w:cs="Arial"/>
        </w:rPr>
        <w:tab/>
      </w:r>
    </w:p>
    <w:p w:rsidR="00683496" w:rsidRPr="002876EA" w:rsidRDefault="00683496" w:rsidP="00683496">
      <w:pPr>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2</w:t>
      </w:r>
      <w:r>
        <w:rPr>
          <w:rFonts w:ascii="Verdana" w:hAnsi="Verdana" w:cs="Arial"/>
        </w:rPr>
        <w:t>4</w:t>
      </w:r>
      <w:r w:rsidRPr="002876EA">
        <w:rPr>
          <w:rFonts w:ascii="Verdana" w:hAnsi="Verdana" w:cs="Arial"/>
        </w:rPr>
        <w:t xml:space="preserve">. Dopuszczalne nierówności podłużne dla warstwy </w:t>
      </w:r>
      <w:r>
        <w:rPr>
          <w:rFonts w:ascii="Verdana" w:hAnsi="Verdana" w:cs="Arial"/>
        </w:rPr>
        <w:t>wiążącej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3506"/>
        <w:gridCol w:w="2892"/>
      </w:tblGrid>
      <w:tr w:rsidR="00683496" w:rsidRPr="008307F7" w:rsidTr="00683496">
        <w:tc>
          <w:tcPr>
            <w:tcW w:w="2835" w:type="dxa"/>
            <w:vAlign w:val="center"/>
          </w:tcPr>
          <w:p w:rsidR="00683496" w:rsidRPr="008307F7" w:rsidRDefault="00683496" w:rsidP="00683496">
            <w:pPr>
              <w:jc w:val="center"/>
              <w:rPr>
                <w:rFonts w:ascii="Verdana" w:hAnsi="Verdana"/>
              </w:rPr>
            </w:pPr>
            <w:r w:rsidRPr="008307F7">
              <w:rPr>
                <w:rFonts w:ascii="Verdana" w:hAnsi="Verdana"/>
              </w:rPr>
              <w:t>Klasa drogi</w:t>
            </w:r>
          </w:p>
        </w:tc>
        <w:tc>
          <w:tcPr>
            <w:tcW w:w="3575" w:type="dxa"/>
            <w:vAlign w:val="center"/>
          </w:tcPr>
          <w:p w:rsidR="00683496" w:rsidRPr="008307F7" w:rsidRDefault="00683496" w:rsidP="00683496">
            <w:pPr>
              <w:jc w:val="center"/>
              <w:rPr>
                <w:rFonts w:ascii="Verdana" w:hAnsi="Verdana"/>
              </w:rPr>
            </w:pPr>
            <w:r w:rsidRPr="008307F7">
              <w:rPr>
                <w:rFonts w:ascii="Verdana" w:hAnsi="Verdana"/>
              </w:rPr>
              <w:t>Element nawierzchni</w:t>
            </w:r>
          </w:p>
        </w:tc>
        <w:tc>
          <w:tcPr>
            <w:tcW w:w="2946" w:type="dxa"/>
            <w:vAlign w:val="center"/>
          </w:tcPr>
          <w:p w:rsidR="00683496" w:rsidRPr="008307F7" w:rsidRDefault="00683496" w:rsidP="00683496">
            <w:pPr>
              <w:jc w:val="center"/>
              <w:rPr>
                <w:rFonts w:ascii="Verdana" w:hAnsi="Verdana"/>
              </w:rPr>
            </w:pPr>
            <w:r w:rsidRPr="008307F7">
              <w:rPr>
                <w:rFonts w:ascii="Verdana" w:hAnsi="Verdana"/>
              </w:rPr>
              <w:t xml:space="preserve">Dopuszczalne odbiorcze wartości odchyleń równości </w:t>
            </w:r>
            <w:r>
              <w:rPr>
                <w:rFonts w:ascii="Verdana" w:hAnsi="Verdana"/>
              </w:rPr>
              <w:t xml:space="preserve">podłużnej </w:t>
            </w:r>
            <w:r w:rsidRPr="008307F7">
              <w:rPr>
                <w:rFonts w:ascii="Verdana" w:hAnsi="Verdana"/>
              </w:rPr>
              <w:t xml:space="preserve">warstwy </w:t>
            </w:r>
            <w:r>
              <w:rPr>
                <w:rFonts w:ascii="Verdana" w:hAnsi="Verdana"/>
              </w:rPr>
              <w:t xml:space="preserve">wiążącej </w:t>
            </w:r>
            <w:r w:rsidRPr="008307F7">
              <w:rPr>
                <w:rFonts w:ascii="Verdana" w:hAnsi="Verdana"/>
              </w:rPr>
              <w:t>[mm]</w:t>
            </w:r>
          </w:p>
        </w:tc>
      </w:tr>
      <w:tr w:rsidR="00683496" w:rsidRPr="008307F7" w:rsidTr="00683496">
        <w:tc>
          <w:tcPr>
            <w:tcW w:w="2835" w:type="dxa"/>
            <w:vMerge w:val="restart"/>
            <w:vAlign w:val="center"/>
          </w:tcPr>
          <w:p w:rsidR="00683496" w:rsidRPr="008307F7" w:rsidRDefault="00683496" w:rsidP="00683496">
            <w:pPr>
              <w:jc w:val="center"/>
              <w:rPr>
                <w:rFonts w:ascii="Verdana" w:hAnsi="Verdana"/>
              </w:rPr>
            </w:pPr>
            <w:r w:rsidRPr="008307F7">
              <w:rPr>
                <w:rFonts w:ascii="Verdana" w:hAnsi="Verdana"/>
              </w:rPr>
              <w:t>A, S, GP</w:t>
            </w: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Pasy ruchu zasadnicze, awaryjne, dodatkowe, włączenia i wyłączenia, jezdnie łącznic</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Pr>
                <w:rFonts w:ascii="Verdana" w:hAnsi="Verdana"/>
              </w:rPr>
              <w:t>6</w:t>
            </w:r>
          </w:p>
        </w:tc>
      </w:tr>
      <w:tr w:rsidR="00683496" w:rsidRPr="008307F7" w:rsidTr="00683496">
        <w:tc>
          <w:tcPr>
            <w:tcW w:w="2835" w:type="dxa"/>
            <w:vMerge/>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Jezdnie MOP, utwardzone pobocza</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Pr>
                <w:rFonts w:ascii="Verdana" w:hAnsi="Verdana"/>
              </w:rPr>
              <w:t>9</w:t>
            </w:r>
          </w:p>
        </w:tc>
      </w:tr>
      <w:tr w:rsidR="00683496" w:rsidRPr="008307F7" w:rsidTr="00683496">
        <w:trPr>
          <w:trHeight w:val="458"/>
        </w:trPr>
        <w:tc>
          <w:tcPr>
            <w:tcW w:w="2835" w:type="dxa"/>
            <w:vMerge w:val="restart"/>
            <w:vAlign w:val="center"/>
          </w:tcPr>
          <w:p w:rsidR="00683496" w:rsidRPr="008307F7" w:rsidRDefault="00683496" w:rsidP="00683496">
            <w:pPr>
              <w:jc w:val="center"/>
              <w:rPr>
                <w:rFonts w:ascii="Verdana" w:hAnsi="Verdana"/>
              </w:rPr>
            </w:pPr>
            <w:r w:rsidRPr="008307F7">
              <w:rPr>
                <w:rFonts w:ascii="Verdana" w:hAnsi="Verdana"/>
              </w:rPr>
              <w:t>G, Z</w:t>
            </w: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Pasy ruchu zasadnicze, dodatkowe, włączenia i wyłączenia, postojowe</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Pr>
                <w:rFonts w:ascii="Verdana" w:hAnsi="Verdana"/>
              </w:rPr>
              <w:t>9</w:t>
            </w:r>
          </w:p>
        </w:tc>
      </w:tr>
      <w:tr w:rsidR="00683496" w:rsidRPr="008307F7" w:rsidTr="00683496">
        <w:trPr>
          <w:trHeight w:val="457"/>
        </w:trPr>
        <w:tc>
          <w:tcPr>
            <w:tcW w:w="2835" w:type="dxa"/>
            <w:vMerge/>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Utwardzone pobocza</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Pr>
                <w:rFonts w:ascii="Verdana" w:hAnsi="Verdana"/>
              </w:rPr>
              <w:t>12</w:t>
            </w:r>
          </w:p>
        </w:tc>
      </w:tr>
      <w:tr w:rsidR="00683496" w:rsidRPr="008307F7" w:rsidTr="00683496">
        <w:trPr>
          <w:trHeight w:val="457"/>
        </w:trPr>
        <w:tc>
          <w:tcPr>
            <w:tcW w:w="2835" w:type="dxa"/>
            <w:vAlign w:val="center"/>
          </w:tcPr>
          <w:p w:rsidR="00683496" w:rsidRPr="008307F7" w:rsidRDefault="00683496" w:rsidP="00683496">
            <w:pPr>
              <w:jc w:val="center"/>
              <w:rPr>
                <w:rFonts w:ascii="Verdana" w:hAnsi="Verdana"/>
              </w:rPr>
            </w:pPr>
            <w:r w:rsidRPr="008307F7">
              <w:rPr>
                <w:rFonts w:ascii="Verdana" w:hAnsi="Verdana"/>
              </w:rPr>
              <w:t>L, D, place, parkingi</w:t>
            </w: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Wszystkie pasy ruchu i powierzchnie przeznaczone do ruchu i postoju pojazdów</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Pr>
                <w:rFonts w:ascii="Verdana" w:hAnsi="Verdana"/>
              </w:rPr>
              <w:t>12</w:t>
            </w:r>
          </w:p>
        </w:tc>
      </w:tr>
    </w:tbl>
    <w:p w:rsidR="00683496" w:rsidRPr="009040B8" w:rsidRDefault="00683496" w:rsidP="00683496">
      <w:pPr>
        <w:jc w:val="both"/>
        <w:rPr>
          <w:rFonts w:ascii="Verdana" w:hAnsi="Verdana" w:cs="Arial"/>
        </w:rPr>
      </w:pPr>
    </w:p>
    <w:p w:rsidR="00683496" w:rsidRPr="009040B8" w:rsidRDefault="00683496" w:rsidP="00683496">
      <w:pPr>
        <w:keepNext/>
        <w:spacing w:before="120"/>
        <w:jc w:val="both"/>
        <w:rPr>
          <w:rFonts w:ascii="Verdana" w:hAnsi="Verdana" w:cs="Arial"/>
          <w:b/>
        </w:rPr>
      </w:pPr>
      <w:r w:rsidRPr="009040B8">
        <w:rPr>
          <w:rFonts w:ascii="Verdana" w:hAnsi="Verdana" w:cs="Arial"/>
          <w:b/>
        </w:rPr>
        <w:t>6.4.2.5. Równość poprzeczna</w:t>
      </w:r>
    </w:p>
    <w:p w:rsidR="00683496" w:rsidRPr="00707E6F" w:rsidRDefault="00683496" w:rsidP="00683496">
      <w:pPr>
        <w:autoSpaceDE w:val="0"/>
        <w:autoSpaceDN w:val="0"/>
        <w:adjustRightInd w:val="0"/>
        <w:rPr>
          <w:rFonts w:ascii="Verdana" w:hAnsi="Verdana"/>
        </w:rPr>
      </w:pPr>
      <w:r w:rsidRPr="00707E6F">
        <w:rPr>
          <w:rFonts w:ascii="Verdana" w:hAnsi="Verdana"/>
        </w:rPr>
        <w:t xml:space="preserve">Do oceny równości poprzecznej warstw nawierzchni dróg wszystkich klas technicznych oraz placów i parkingów należy stosować metodę pomiaru profilometrycznego a w miejscach niedostępnych dla sprzętu pomiarowego z wykorzystaniem łaty i </w:t>
      </w:r>
      <w:proofErr w:type="spellStart"/>
      <w:r w:rsidRPr="00707E6F">
        <w:rPr>
          <w:rFonts w:ascii="Verdana" w:hAnsi="Verdana"/>
        </w:rPr>
        <w:t>kilna</w:t>
      </w:r>
      <w:proofErr w:type="spellEnd"/>
      <w:r w:rsidRPr="00707E6F">
        <w:rPr>
          <w:rFonts w:ascii="Verdana" w:hAnsi="Verdana"/>
        </w:rPr>
        <w:t>, umożliwiającą wyznaczenie odchylenia równości w przekroju poprzecznym pasa ruchu/elementu drogi. Odchylenie to jest obliczane jako największa odległość (prześwit) pomiędzy t</w:t>
      </w:r>
      <w:r>
        <w:rPr>
          <w:rFonts w:ascii="Verdana" w:hAnsi="Verdana"/>
        </w:rPr>
        <w:t>eoretyczną łatą (o długości 2 m</w:t>
      </w:r>
      <w:r w:rsidRPr="00707E6F">
        <w:rPr>
          <w:rFonts w:ascii="Verdana" w:hAnsi="Verdana"/>
        </w:rPr>
        <w:t xml:space="preserve">) a zarejestrowanym profilem poprzecznym warstwy. Wartość odchylenia równości poprzecznej standardowo należy wyznaczać z krokiem co 1 m. Zaleca </w:t>
      </w:r>
      <w:r w:rsidRPr="00707E6F">
        <w:rPr>
          <w:rFonts w:ascii="Verdana" w:hAnsi="Verdana"/>
        </w:rPr>
        <w:lastRenderedPageBreak/>
        <w:t>się utrzymywanie w czasie pomiaru stałej prędkości pomiarowej w zakresie 50-70 km/h, przy czym w zależności od panujących warunków oraz organizacji ruchu dopuszcza się wykonywanie pomiarów z prędkością 0-110 km/h. W czasie pomiaru należy bezwzględnie unikać gwałtownych zmian prędkości.</w:t>
      </w:r>
    </w:p>
    <w:p w:rsidR="00683496" w:rsidRPr="009040B8" w:rsidRDefault="00683496" w:rsidP="00683496">
      <w:pPr>
        <w:jc w:val="both"/>
        <w:rPr>
          <w:rFonts w:ascii="Verdana" w:hAnsi="Verdana" w:cs="Arial"/>
        </w:rPr>
      </w:pPr>
      <w:r>
        <w:rPr>
          <w:rFonts w:ascii="Verdana" w:hAnsi="Verdana" w:cs="Arial"/>
        </w:rPr>
        <w:t>W miejscach niedostępnych dla profilografu pomiar równości poprzecznej warstw nawierzchni należy wykonać z użyciem łaty i klina. Długość łaty w pomiarze równości poprzecznej powinna wynosić 2 m. Pomiar powinien być wykonywany nie rzadziej niż co 5 m</w:t>
      </w:r>
      <w:r w:rsidRPr="009040B8">
        <w:rPr>
          <w:rFonts w:ascii="Verdana" w:hAnsi="Verdana" w:cs="Arial"/>
        </w:rPr>
        <w:t>. Wartości odchyleń, wyrażone w mm, określa tabela:</w:t>
      </w:r>
    </w:p>
    <w:p w:rsidR="00683496" w:rsidRPr="00707E6F" w:rsidRDefault="00683496" w:rsidP="00683496">
      <w:pPr>
        <w:autoSpaceDE w:val="0"/>
        <w:autoSpaceDN w:val="0"/>
        <w:adjustRightInd w:val="0"/>
        <w:rPr>
          <w:rFonts w:ascii="Verdana" w:hAnsi="Verdana"/>
        </w:rPr>
      </w:pPr>
      <w:r w:rsidRPr="00707E6F">
        <w:rPr>
          <w:rFonts w:ascii="Verdana" w:hAnsi="Verdana"/>
        </w:rPr>
        <w:t xml:space="preserve"> </w:t>
      </w:r>
    </w:p>
    <w:p w:rsidR="00683496" w:rsidRPr="00707E6F" w:rsidRDefault="00683496" w:rsidP="00683496">
      <w:pPr>
        <w:autoSpaceDE w:val="0"/>
        <w:autoSpaceDN w:val="0"/>
        <w:adjustRightInd w:val="0"/>
        <w:rPr>
          <w:rFonts w:ascii="Verdana" w:hAnsi="Verdana"/>
        </w:rPr>
      </w:pPr>
      <w:r w:rsidRPr="00707E6F">
        <w:rPr>
          <w:rFonts w:ascii="Verdana" w:hAnsi="Verdana"/>
        </w:rPr>
        <w:t>Tabela 2</w:t>
      </w:r>
      <w:r>
        <w:rPr>
          <w:rFonts w:ascii="Verdana" w:hAnsi="Verdana"/>
        </w:rPr>
        <w:t>5.</w:t>
      </w:r>
      <w:r w:rsidRPr="003A78B5">
        <w:rPr>
          <w:rFonts w:ascii="Verdana" w:hAnsi="Verdana"/>
        </w:rPr>
        <w:t xml:space="preserve"> </w:t>
      </w:r>
      <w:r w:rsidRPr="008307F7">
        <w:rPr>
          <w:rFonts w:ascii="Verdana" w:hAnsi="Verdana"/>
        </w:rPr>
        <w:t>Wartości dopuszczalne odchyleń równości poprzecznej przy odbiorze warstwy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3106"/>
        <w:gridCol w:w="3108"/>
      </w:tblGrid>
      <w:tr w:rsidR="00683496" w:rsidRPr="00707E6F" w:rsidTr="00683496">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Klasa drogi</w:t>
            </w:r>
          </w:p>
        </w:tc>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Element nawierzchni</w:t>
            </w:r>
          </w:p>
        </w:tc>
        <w:tc>
          <w:tcPr>
            <w:tcW w:w="3260"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Dopuszczalne wartości odchyleń równości poprzecznej warstwy wiążącej [mm]</w:t>
            </w:r>
          </w:p>
        </w:tc>
      </w:tr>
      <w:tr w:rsidR="00683496" w:rsidRPr="00707E6F" w:rsidTr="00683496">
        <w:tc>
          <w:tcPr>
            <w:tcW w:w="3259" w:type="dxa"/>
            <w:vMerge w:val="restart"/>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A, S, GP</w:t>
            </w:r>
          </w:p>
        </w:tc>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Pasy ruchu zasadnicze, awaryjne, dodatkowe, włączenia i wyłączenia, jezdnia łącznic</w:t>
            </w:r>
          </w:p>
        </w:tc>
        <w:tc>
          <w:tcPr>
            <w:tcW w:w="3260"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6</w:t>
            </w:r>
          </w:p>
        </w:tc>
      </w:tr>
      <w:tr w:rsidR="00683496" w:rsidRPr="00707E6F" w:rsidTr="00683496">
        <w:tc>
          <w:tcPr>
            <w:tcW w:w="3259" w:type="dxa"/>
            <w:vMerge/>
            <w:vAlign w:val="center"/>
          </w:tcPr>
          <w:p w:rsidR="00683496" w:rsidRPr="00707E6F" w:rsidRDefault="00683496" w:rsidP="00683496">
            <w:pPr>
              <w:autoSpaceDE w:val="0"/>
              <w:autoSpaceDN w:val="0"/>
              <w:adjustRightInd w:val="0"/>
              <w:jc w:val="center"/>
              <w:rPr>
                <w:rFonts w:ascii="Verdana" w:hAnsi="Verdana"/>
              </w:rPr>
            </w:pPr>
          </w:p>
        </w:tc>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Jezdnie MOP, utwardzone pobocza</w:t>
            </w:r>
          </w:p>
        </w:tc>
        <w:tc>
          <w:tcPr>
            <w:tcW w:w="3260"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9</w:t>
            </w:r>
          </w:p>
        </w:tc>
      </w:tr>
      <w:tr w:rsidR="00683496" w:rsidRPr="00707E6F" w:rsidTr="00683496">
        <w:tc>
          <w:tcPr>
            <w:tcW w:w="3259" w:type="dxa"/>
            <w:vMerge w:val="restart"/>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G, Z</w:t>
            </w:r>
          </w:p>
        </w:tc>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Pasy ruchu zasadnicze, dodatkowe, włączenia i wyłączenia, postojowe</w:t>
            </w:r>
          </w:p>
        </w:tc>
        <w:tc>
          <w:tcPr>
            <w:tcW w:w="3260"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9</w:t>
            </w:r>
          </w:p>
        </w:tc>
      </w:tr>
      <w:tr w:rsidR="00683496" w:rsidRPr="00707E6F" w:rsidTr="00683496">
        <w:tc>
          <w:tcPr>
            <w:tcW w:w="3259" w:type="dxa"/>
            <w:vMerge/>
            <w:vAlign w:val="center"/>
          </w:tcPr>
          <w:p w:rsidR="00683496" w:rsidRPr="00707E6F" w:rsidRDefault="00683496" w:rsidP="00683496">
            <w:pPr>
              <w:autoSpaceDE w:val="0"/>
              <w:autoSpaceDN w:val="0"/>
              <w:adjustRightInd w:val="0"/>
              <w:jc w:val="center"/>
              <w:rPr>
                <w:rFonts w:ascii="Verdana" w:hAnsi="Verdana"/>
              </w:rPr>
            </w:pPr>
          </w:p>
        </w:tc>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Utwardzone pobocza</w:t>
            </w:r>
          </w:p>
        </w:tc>
        <w:tc>
          <w:tcPr>
            <w:tcW w:w="3260"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12</w:t>
            </w:r>
          </w:p>
        </w:tc>
      </w:tr>
      <w:tr w:rsidR="00683496" w:rsidRPr="00707E6F" w:rsidTr="00683496">
        <w:trPr>
          <w:trHeight w:val="736"/>
        </w:trPr>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L, D, place, parkingi</w:t>
            </w:r>
          </w:p>
        </w:tc>
        <w:tc>
          <w:tcPr>
            <w:tcW w:w="3259"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Wszystkie pasy ruchu i powierzchnie przeznaczone do ruchu i postoju pojazdów</w:t>
            </w:r>
          </w:p>
        </w:tc>
        <w:tc>
          <w:tcPr>
            <w:tcW w:w="3260" w:type="dxa"/>
            <w:vAlign w:val="center"/>
          </w:tcPr>
          <w:p w:rsidR="00683496" w:rsidRPr="00707E6F" w:rsidRDefault="00683496" w:rsidP="00683496">
            <w:pPr>
              <w:autoSpaceDE w:val="0"/>
              <w:autoSpaceDN w:val="0"/>
              <w:adjustRightInd w:val="0"/>
              <w:jc w:val="center"/>
              <w:rPr>
                <w:rFonts w:ascii="Verdana" w:hAnsi="Verdana"/>
              </w:rPr>
            </w:pPr>
            <w:r w:rsidRPr="00707E6F">
              <w:rPr>
                <w:rFonts w:ascii="Verdana" w:hAnsi="Verdana"/>
              </w:rPr>
              <w:t>12</w:t>
            </w:r>
          </w:p>
        </w:tc>
      </w:tr>
    </w:tbl>
    <w:p w:rsidR="00683496" w:rsidRDefault="00683496" w:rsidP="00683496">
      <w:pPr>
        <w:jc w:val="both"/>
        <w:rPr>
          <w:rFonts w:ascii="Verdana" w:hAnsi="Verdana" w:cs="Arial"/>
        </w:rPr>
      </w:pPr>
    </w:p>
    <w:p w:rsidR="00683496" w:rsidRDefault="00683496" w:rsidP="00683496">
      <w:pPr>
        <w:jc w:val="both"/>
        <w:rPr>
          <w:rFonts w:ascii="Verdana" w:hAnsi="Verdana" w:cs="Arial"/>
          <w:b/>
        </w:rPr>
      </w:pPr>
    </w:p>
    <w:p w:rsidR="00683496" w:rsidRPr="009040B8" w:rsidRDefault="00683496" w:rsidP="00683496">
      <w:pPr>
        <w:jc w:val="both"/>
        <w:rPr>
          <w:rFonts w:ascii="Verdana" w:hAnsi="Verdana" w:cs="Arial"/>
          <w:b/>
        </w:rPr>
      </w:pPr>
      <w:r w:rsidRPr="009040B8">
        <w:rPr>
          <w:rFonts w:ascii="Verdana" w:hAnsi="Verdana" w:cs="Arial"/>
          <w:b/>
        </w:rPr>
        <w:t>6.4.2.6. Pozostałe właściwości warstwy asfaltowej</w:t>
      </w:r>
    </w:p>
    <w:p w:rsidR="00683496" w:rsidRDefault="00683496" w:rsidP="00683496">
      <w:pPr>
        <w:jc w:val="both"/>
        <w:rPr>
          <w:rFonts w:ascii="Verdana" w:hAnsi="Verdana" w:cs="Arial"/>
        </w:rPr>
      </w:pPr>
      <w:r w:rsidRPr="009040B8">
        <w:rPr>
          <w:rFonts w:ascii="Verdana" w:hAnsi="Verdana" w:cs="Arial"/>
        </w:rPr>
        <w:t>Szerokość warstwy, mierzona 20 razy na 1 km każdej jezdni, nie może się różnić od szerokości projektowanej o więcej niż ± 5 cm.</w:t>
      </w:r>
    </w:p>
    <w:p w:rsidR="00683496" w:rsidRDefault="00683496" w:rsidP="00683496">
      <w:pPr>
        <w:jc w:val="both"/>
        <w:rPr>
          <w:rFonts w:ascii="Verdana" w:hAnsi="Verdana" w:cs="Arial"/>
        </w:rPr>
      </w:pPr>
      <w:r w:rsidRPr="009040B8">
        <w:rPr>
          <w:rFonts w:ascii="Verdana" w:hAnsi="Verdana" w:cs="Arial"/>
        </w:rPr>
        <w:t>Rzędne wysokościowe, mierzone co 50 m na odcinkach prostych i co 10 m na łukach poziomych w osi podłużnej i krawędziach, powinny być zgodne z dokumentacją projektową z dopuszczalną tolerancją ± 1 cm, przy czym co najmniej 95% wykonanych pomiarów nie może przekraczać przedziału dopuszczalnych odchyleń.</w:t>
      </w:r>
      <w:r w:rsidRPr="009040B8">
        <w:rPr>
          <w:rFonts w:ascii="Verdana" w:hAnsi="Verdana" w:cs="Arial"/>
          <w:b/>
        </w:rPr>
        <w:t xml:space="preserve"> </w:t>
      </w:r>
    </w:p>
    <w:p w:rsidR="00683496" w:rsidRDefault="00683496" w:rsidP="00683496">
      <w:pPr>
        <w:jc w:val="both"/>
        <w:rPr>
          <w:rFonts w:ascii="Verdana" w:hAnsi="Verdana" w:cs="Arial"/>
          <w:b/>
        </w:rPr>
      </w:pPr>
      <w:r w:rsidRPr="009040B8">
        <w:rPr>
          <w:rFonts w:ascii="Verdana" w:hAnsi="Verdana" w:cs="Arial"/>
        </w:rPr>
        <w:t>Ukształtowanie osi w planie, mierzone co 50 m, nie powinno różnić się od dokumentacji projektowej o ± 5 cm.</w:t>
      </w:r>
      <w:r w:rsidRPr="009040B8">
        <w:rPr>
          <w:rFonts w:ascii="Verdana" w:hAnsi="Verdana" w:cs="Arial"/>
          <w:b/>
        </w:rPr>
        <w:t xml:space="preserve"> </w:t>
      </w:r>
    </w:p>
    <w:p w:rsidR="00683496" w:rsidRPr="00330A9A" w:rsidRDefault="00683496" w:rsidP="00683496">
      <w:pPr>
        <w:jc w:val="both"/>
        <w:rPr>
          <w:rFonts w:ascii="Verdana" w:hAnsi="Verdana" w:cs="Arial"/>
        </w:rPr>
      </w:pPr>
      <w:r w:rsidRPr="009040B8">
        <w:rPr>
          <w:rFonts w:ascii="Verdana" w:hAnsi="Verdana" w:cs="Arial"/>
        </w:rPr>
        <w:t xml:space="preserve">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t>
      </w:r>
      <w:proofErr w:type="spellStart"/>
      <w:r w:rsidRPr="009040B8">
        <w:rPr>
          <w:rFonts w:ascii="Verdana" w:hAnsi="Verdana" w:cs="Arial"/>
        </w:rPr>
        <w:t>wykruszeń</w:t>
      </w:r>
      <w:proofErr w:type="spellEnd"/>
      <w:r w:rsidRPr="009040B8">
        <w:rPr>
          <w:rFonts w:ascii="Verdana" w:hAnsi="Verdana" w:cs="Arial"/>
        </w:rPr>
        <w:t>.</w:t>
      </w:r>
    </w:p>
    <w:p w:rsidR="00683496" w:rsidRDefault="00683496" w:rsidP="00683496">
      <w:pPr>
        <w:keepNext/>
        <w:widowControl w:val="0"/>
        <w:numPr>
          <w:ilvl w:val="12"/>
          <w:numId w:val="0"/>
        </w:numPr>
        <w:jc w:val="both"/>
        <w:outlineLvl w:val="0"/>
        <w:rPr>
          <w:rFonts w:ascii="Verdana" w:hAnsi="Verdana" w:cs="Arial"/>
          <w:b/>
          <w:snapToGrid w:val="0"/>
        </w:rPr>
      </w:pPr>
    </w:p>
    <w:p w:rsidR="00683496" w:rsidRPr="001A44DB" w:rsidRDefault="00683496" w:rsidP="00683496">
      <w:pPr>
        <w:keepNext/>
        <w:widowControl w:val="0"/>
        <w:numPr>
          <w:ilvl w:val="12"/>
          <w:numId w:val="0"/>
        </w:numPr>
        <w:jc w:val="both"/>
        <w:outlineLvl w:val="0"/>
        <w:rPr>
          <w:rFonts w:ascii="Verdana" w:hAnsi="Verdana" w:cs="Arial"/>
          <w:b/>
          <w:snapToGrid w:val="0"/>
        </w:rPr>
      </w:pPr>
      <w:r w:rsidRPr="009040B8">
        <w:rPr>
          <w:rFonts w:ascii="Verdana" w:hAnsi="Verdana" w:cs="Arial"/>
          <w:b/>
          <w:snapToGrid w:val="0"/>
        </w:rPr>
        <w:t>7. Obmiar robót</w:t>
      </w: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7.1. Ogólne zasady obmiaru robót</w:t>
      </w:r>
    </w:p>
    <w:p w:rsidR="00683496" w:rsidRPr="009040B8" w:rsidRDefault="00683496" w:rsidP="00683496">
      <w:pPr>
        <w:numPr>
          <w:ilvl w:val="12"/>
          <w:numId w:val="0"/>
        </w:numPr>
        <w:jc w:val="both"/>
        <w:rPr>
          <w:rFonts w:ascii="Verdana" w:hAnsi="Verdana" w:cs="Arial"/>
        </w:rPr>
      </w:pPr>
      <w:r w:rsidRPr="009040B8">
        <w:rPr>
          <w:rFonts w:ascii="Verdana" w:hAnsi="Verdana" w:cs="Arial"/>
        </w:rPr>
        <w:t xml:space="preserve">Ogólne zasady obmiaru robót podano w </w:t>
      </w:r>
      <w:r>
        <w:rPr>
          <w:rFonts w:ascii="Verdana" w:hAnsi="Verdana" w:cs="Arial"/>
        </w:rPr>
        <w:t>S</w:t>
      </w:r>
      <w:r w:rsidRPr="009040B8">
        <w:rPr>
          <w:rFonts w:ascii="Verdana" w:hAnsi="Verdana" w:cs="Arial"/>
        </w:rPr>
        <w:t xml:space="preserve">ST  D-M-00.00.00 „Wymagania ogólne” [1] </w:t>
      </w:r>
      <w:r>
        <w:rPr>
          <w:rFonts w:ascii="Verdana" w:hAnsi="Verdana" w:cs="Arial"/>
        </w:rPr>
        <w:br/>
      </w:r>
      <w:r w:rsidRPr="009040B8">
        <w:rPr>
          <w:rFonts w:ascii="Verdana" w:hAnsi="Verdana" w:cs="Arial"/>
        </w:rPr>
        <w:t>pkt 7.</w:t>
      </w:r>
    </w:p>
    <w:p w:rsidR="00683496" w:rsidRPr="009040B8" w:rsidRDefault="00683496" w:rsidP="00683496">
      <w:pPr>
        <w:numPr>
          <w:ilvl w:val="12"/>
          <w:numId w:val="0"/>
        </w:numPr>
        <w:jc w:val="both"/>
        <w:rPr>
          <w:rFonts w:ascii="Verdana" w:hAnsi="Verdana" w:cs="Arial"/>
        </w:rPr>
      </w:pP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7.2. Jednostka obmiarowa</w:t>
      </w:r>
    </w:p>
    <w:p w:rsidR="00683496" w:rsidRPr="009040B8" w:rsidRDefault="00683496" w:rsidP="00683496">
      <w:pPr>
        <w:numPr>
          <w:ilvl w:val="12"/>
          <w:numId w:val="0"/>
        </w:numPr>
        <w:jc w:val="both"/>
        <w:rPr>
          <w:rFonts w:ascii="Verdana" w:hAnsi="Verdana" w:cs="Arial"/>
        </w:rPr>
      </w:pPr>
      <w:r w:rsidRPr="009040B8">
        <w:rPr>
          <w:rFonts w:ascii="Verdana" w:hAnsi="Verdana" w:cs="Arial"/>
        </w:rPr>
        <w:t>Jednostką obmiarową jest m</w:t>
      </w:r>
      <w:r w:rsidRPr="009040B8">
        <w:rPr>
          <w:rFonts w:ascii="Verdana" w:hAnsi="Verdana" w:cs="Arial"/>
          <w:vertAlign w:val="superscript"/>
        </w:rPr>
        <w:t>2</w:t>
      </w:r>
      <w:r w:rsidRPr="009040B8">
        <w:rPr>
          <w:rFonts w:ascii="Verdana" w:hAnsi="Verdana" w:cs="Arial"/>
        </w:rPr>
        <w:t xml:space="preserve"> (metr kwadratowy)</w:t>
      </w:r>
      <w:r w:rsidRPr="000266A2">
        <w:rPr>
          <w:rFonts w:ascii="Verdana" w:hAnsi="Verdana" w:cs="Arial"/>
        </w:rPr>
        <w:t xml:space="preserve"> </w:t>
      </w:r>
      <w:r>
        <w:rPr>
          <w:rFonts w:ascii="Verdana" w:hAnsi="Verdana" w:cs="Arial"/>
        </w:rPr>
        <w:t>lub Mg (tona)</w:t>
      </w:r>
      <w:r w:rsidRPr="009040B8">
        <w:rPr>
          <w:rFonts w:ascii="Verdana" w:hAnsi="Verdana" w:cs="Arial"/>
        </w:rPr>
        <w:t xml:space="preserve">  wykonanej warstwy </w:t>
      </w:r>
      <w:r>
        <w:rPr>
          <w:rFonts w:ascii="Verdana" w:hAnsi="Verdana" w:cs="Arial"/>
        </w:rPr>
        <w:br/>
      </w:r>
      <w:r w:rsidRPr="009040B8">
        <w:rPr>
          <w:rFonts w:ascii="Verdana" w:hAnsi="Verdana" w:cs="Arial"/>
        </w:rPr>
        <w:t>z betonu asfaltowego.</w:t>
      </w:r>
    </w:p>
    <w:p w:rsidR="00683496" w:rsidRPr="009040B8" w:rsidRDefault="00683496" w:rsidP="00683496">
      <w:pPr>
        <w:numPr>
          <w:ilvl w:val="12"/>
          <w:numId w:val="0"/>
        </w:numPr>
        <w:jc w:val="both"/>
        <w:rPr>
          <w:rFonts w:ascii="Verdana" w:hAnsi="Verdana" w:cs="Arial"/>
        </w:rPr>
      </w:pPr>
    </w:p>
    <w:p w:rsidR="00683496" w:rsidRPr="009040B8" w:rsidRDefault="00683496" w:rsidP="00683496">
      <w:pPr>
        <w:keepNext/>
        <w:widowControl w:val="0"/>
        <w:numPr>
          <w:ilvl w:val="12"/>
          <w:numId w:val="0"/>
        </w:numPr>
        <w:jc w:val="both"/>
        <w:outlineLvl w:val="0"/>
        <w:rPr>
          <w:rFonts w:ascii="Verdana" w:hAnsi="Verdana" w:cs="Arial"/>
          <w:b/>
          <w:snapToGrid w:val="0"/>
        </w:rPr>
      </w:pPr>
      <w:r w:rsidRPr="009040B8">
        <w:rPr>
          <w:rFonts w:ascii="Verdana" w:hAnsi="Verdana" w:cs="Arial"/>
          <w:b/>
          <w:snapToGrid w:val="0"/>
        </w:rPr>
        <w:t>8. Odbiór robót</w:t>
      </w:r>
    </w:p>
    <w:p w:rsidR="00683496" w:rsidRPr="009040B8" w:rsidRDefault="00683496" w:rsidP="00683496">
      <w:pPr>
        <w:numPr>
          <w:ilvl w:val="12"/>
          <w:numId w:val="0"/>
        </w:numPr>
        <w:jc w:val="both"/>
        <w:rPr>
          <w:rFonts w:ascii="Verdana" w:hAnsi="Verdana" w:cs="Arial"/>
        </w:rPr>
      </w:pPr>
      <w:r w:rsidRPr="009040B8">
        <w:rPr>
          <w:rFonts w:ascii="Verdana" w:hAnsi="Verdana" w:cs="Arial"/>
        </w:rPr>
        <w:t>Ogólne zasady odbioru robót podano w SST D-M-00.00.00 „Wymagania ogólne” pkt 8.</w:t>
      </w:r>
    </w:p>
    <w:p w:rsidR="00683496" w:rsidRPr="009040B8" w:rsidRDefault="00683496" w:rsidP="00683496">
      <w:pPr>
        <w:numPr>
          <w:ilvl w:val="12"/>
          <w:numId w:val="0"/>
        </w:numPr>
        <w:jc w:val="both"/>
        <w:rPr>
          <w:rFonts w:ascii="Verdana" w:hAnsi="Verdana" w:cs="Arial"/>
        </w:rPr>
      </w:pPr>
      <w:r w:rsidRPr="009040B8">
        <w:rPr>
          <w:rFonts w:ascii="Verdana" w:hAnsi="Verdana" w:cs="Arial"/>
        </w:rPr>
        <w:t xml:space="preserve">Roboty uznaje się za wykonane zgodnie z dokumentacją przetargowa, SST </w:t>
      </w:r>
      <w:r>
        <w:rPr>
          <w:rFonts w:ascii="Verdana" w:hAnsi="Verdana" w:cs="Arial"/>
        </w:rPr>
        <w:br/>
      </w:r>
      <w:r w:rsidRPr="009040B8">
        <w:rPr>
          <w:rFonts w:ascii="Verdana" w:hAnsi="Verdana" w:cs="Arial"/>
        </w:rPr>
        <w:t>i wymaganiami Przedstawiciela Zamawiającego/Inspektora Nadzoru, jeżeli wszystkie pomiary i badania z zachowaniem tolerancji według pkt 6 dały wyniki pozytywne.</w:t>
      </w:r>
    </w:p>
    <w:p w:rsidR="00683496" w:rsidRPr="00E86DD9" w:rsidRDefault="00683496" w:rsidP="00683496">
      <w:pPr>
        <w:tabs>
          <w:tab w:val="right" w:pos="0"/>
        </w:tabs>
        <w:jc w:val="both"/>
        <w:rPr>
          <w:rFonts w:ascii="Verdana" w:hAnsi="Verdana" w:cs="Arial"/>
        </w:rPr>
      </w:pPr>
      <w:r w:rsidRPr="00E86DD9">
        <w:rPr>
          <w:rFonts w:ascii="Verdana" w:hAnsi="Verdana" w:cs="Arial"/>
        </w:rPr>
        <w:lastRenderedPageBreak/>
        <w:t xml:space="preserve">Jeśli warunki umowy przewidują dokonywanie potrąceń, to </w:t>
      </w:r>
      <w:r>
        <w:rPr>
          <w:rFonts w:ascii="Verdana" w:hAnsi="Verdana" w:cs="Arial"/>
        </w:rPr>
        <w:t xml:space="preserve">Przedstawiciel </w:t>
      </w:r>
      <w:r w:rsidRPr="00E86DD9">
        <w:rPr>
          <w:rFonts w:ascii="Verdana" w:hAnsi="Verdana" w:cs="Arial"/>
        </w:rPr>
        <w:t>Zamawiającego/Inspektor Nadzoru może w razie niedotrzymania wartości dopuszczalnych</w:t>
      </w:r>
      <w:r>
        <w:rPr>
          <w:rFonts w:ascii="Verdana" w:hAnsi="Verdana" w:cs="Arial"/>
        </w:rPr>
        <w:t xml:space="preserve"> </w:t>
      </w:r>
      <w:r w:rsidRPr="00E86DD9">
        <w:rPr>
          <w:rFonts w:ascii="Verdana" w:hAnsi="Verdana" w:cs="Arial"/>
        </w:rPr>
        <w:t>dokonać takich potrąceń</w:t>
      </w:r>
      <w:r>
        <w:rPr>
          <w:rFonts w:ascii="Verdana" w:hAnsi="Verdana" w:cs="Arial"/>
        </w:rPr>
        <w:t xml:space="preserve"> w zakresie składu mieszanki mineralno-asfaltowej wg niniejszej SST pkt. 6.4.1, natomiast </w:t>
      </w:r>
      <w:r>
        <w:rPr>
          <w:rFonts w:ascii="Verdana" w:hAnsi="Verdana"/>
        </w:rPr>
        <w:t xml:space="preserve">dla pozostałych parametrów będzie miała zastosowanie </w:t>
      </w:r>
      <w:r w:rsidRPr="00E86DD9">
        <w:rPr>
          <w:rFonts w:ascii="Verdana" w:hAnsi="Verdana" w:cs="Arial"/>
        </w:rPr>
        <w:t>Instrukcj</w:t>
      </w:r>
      <w:r>
        <w:rPr>
          <w:rFonts w:ascii="Verdana" w:hAnsi="Verdana" w:cs="Arial"/>
        </w:rPr>
        <w:t>a</w:t>
      </w:r>
      <w:r w:rsidRPr="00E86DD9">
        <w:rPr>
          <w:rFonts w:ascii="Verdana" w:hAnsi="Verdana" w:cs="Arial"/>
        </w:rPr>
        <w:t xml:space="preserve"> DP-T 14 </w:t>
      </w:r>
      <w:r>
        <w:rPr>
          <w:rFonts w:ascii="Verdana" w:hAnsi="Verdana" w:cs="Arial"/>
        </w:rPr>
        <w:t xml:space="preserve">stanowiąca </w:t>
      </w:r>
      <w:r w:rsidRPr="00E86DD9">
        <w:rPr>
          <w:rFonts w:ascii="Verdana" w:hAnsi="Verdana" w:cs="Arial"/>
        </w:rPr>
        <w:t>załącznik do zarządzenia nr 10 Generalnego Dyrektora Dróg Krajowych i Au</w:t>
      </w:r>
      <w:r>
        <w:rPr>
          <w:rFonts w:ascii="Verdana" w:hAnsi="Verdana" w:cs="Arial"/>
        </w:rPr>
        <w:t>tostrad z dnia 30 marca 2017 r.</w:t>
      </w:r>
    </w:p>
    <w:p w:rsidR="00683496" w:rsidRPr="009040B8" w:rsidRDefault="00683496" w:rsidP="00683496">
      <w:pPr>
        <w:numPr>
          <w:ilvl w:val="12"/>
          <w:numId w:val="0"/>
        </w:numPr>
        <w:jc w:val="both"/>
        <w:rPr>
          <w:rFonts w:ascii="Verdana" w:hAnsi="Verdana" w:cs="Arial"/>
        </w:rPr>
      </w:pPr>
    </w:p>
    <w:p w:rsidR="00683496" w:rsidRPr="009040B8" w:rsidRDefault="00683496" w:rsidP="00683496">
      <w:pPr>
        <w:keepNext/>
        <w:widowControl w:val="0"/>
        <w:numPr>
          <w:ilvl w:val="12"/>
          <w:numId w:val="0"/>
        </w:numPr>
        <w:jc w:val="both"/>
        <w:outlineLvl w:val="0"/>
        <w:rPr>
          <w:rFonts w:ascii="Verdana" w:hAnsi="Verdana" w:cs="Arial"/>
          <w:b/>
          <w:snapToGrid w:val="0"/>
        </w:rPr>
      </w:pPr>
      <w:r w:rsidRPr="009040B8">
        <w:rPr>
          <w:rFonts w:ascii="Verdana" w:hAnsi="Verdana" w:cs="Arial"/>
          <w:b/>
          <w:snapToGrid w:val="0"/>
        </w:rPr>
        <w:t>9. Podstawa płatności</w:t>
      </w: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9.1. Ogólne ustalenia dotyczące podstawy płatności</w:t>
      </w:r>
    </w:p>
    <w:p w:rsidR="00683496" w:rsidRPr="009040B8" w:rsidRDefault="00683496" w:rsidP="00683496">
      <w:pPr>
        <w:numPr>
          <w:ilvl w:val="12"/>
          <w:numId w:val="0"/>
        </w:numPr>
        <w:jc w:val="both"/>
        <w:rPr>
          <w:rFonts w:ascii="Verdana" w:hAnsi="Verdana" w:cs="Arial"/>
        </w:rPr>
      </w:pPr>
      <w:r w:rsidRPr="009040B8">
        <w:rPr>
          <w:rFonts w:ascii="Verdana" w:hAnsi="Verdana" w:cs="Arial"/>
        </w:rPr>
        <w:t xml:space="preserve">Ogólne ustalenia dotyczące podstawy płatności podano w </w:t>
      </w:r>
      <w:r>
        <w:rPr>
          <w:rFonts w:ascii="Verdana" w:hAnsi="Verdana" w:cs="Arial"/>
        </w:rPr>
        <w:t>S</w:t>
      </w:r>
      <w:r w:rsidRPr="009040B8">
        <w:rPr>
          <w:rFonts w:ascii="Verdana" w:hAnsi="Verdana" w:cs="Arial"/>
        </w:rPr>
        <w:t>ST D-M-00.00.00 „Wymagania ogólne” [1] pkt 9.</w:t>
      </w:r>
    </w:p>
    <w:p w:rsidR="00683496" w:rsidRPr="009040B8" w:rsidRDefault="00683496" w:rsidP="00683496">
      <w:pPr>
        <w:numPr>
          <w:ilvl w:val="12"/>
          <w:numId w:val="0"/>
        </w:numPr>
        <w:jc w:val="both"/>
        <w:rPr>
          <w:rFonts w:ascii="Verdana" w:hAnsi="Verdana" w:cs="Arial"/>
        </w:rPr>
      </w:pPr>
    </w:p>
    <w:p w:rsidR="00683496" w:rsidRPr="009040B8" w:rsidRDefault="00683496" w:rsidP="00683496">
      <w:pPr>
        <w:keepNext/>
        <w:numPr>
          <w:ilvl w:val="12"/>
          <w:numId w:val="0"/>
        </w:numPr>
        <w:jc w:val="both"/>
        <w:outlineLvl w:val="1"/>
        <w:rPr>
          <w:rFonts w:ascii="Verdana" w:hAnsi="Verdana" w:cs="Arial"/>
          <w:b/>
          <w:bCs/>
          <w:iCs/>
        </w:rPr>
      </w:pPr>
      <w:r w:rsidRPr="009040B8">
        <w:rPr>
          <w:rFonts w:ascii="Verdana" w:hAnsi="Verdana" w:cs="Arial"/>
          <w:b/>
          <w:bCs/>
          <w:iCs/>
        </w:rPr>
        <w:t>9.2. Cena jednostki obmiarowej</w:t>
      </w:r>
    </w:p>
    <w:p w:rsidR="00683496" w:rsidRPr="009040B8" w:rsidRDefault="00683496" w:rsidP="00683496">
      <w:pPr>
        <w:numPr>
          <w:ilvl w:val="12"/>
          <w:numId w:val="0"/>
        </w:numPr>
        <w:jc w:val="both"/>
        <w:rPr>
          <w:rFonts w:ascii="Verdana" w:hAnsi="Verdana" w:cs="Arial"/>
        </w:rPr>
      </w:pPr>
      <w:r w:rsidRPr="009040B8">
        <w:rPr>
          <w:rFonts w:ascii="Verdana" w:hAnsi="Verdana" w:cs="Arial"/>
        </w:rPr>
        <w:t>Cena wykonania</w:t>
      </w:r>
      <w:r>
        <w:rPr>
          <w:rFonts w:ascii="Verdana" w:hAnsi="Verdana" w:cs="Arial"/>
        </w:rPr>
        <w:t xml:space="preserve"> dla w-wy wiążącej 1 m</w:t>
      </w:r>
      <w:r>
        <w:rPr>
          <w:rFonts w:ascii="Verdana" w:hAnsi="Verdana" w:cs="Arial"/>
          <w:vertAlign w:val="superscript"/>
        </w:rPr>
        <w:t>2</w:t>
      </w:r>
      <w:r>
        <w:rPr>
          <w:rFonts w:ascii="Verdana" w:hAnsi="Verdana" w:cs="Arial"/>
        </w:rPr>
        <w:t>, w przypadku warstwy wyrównawczej 1 Mg</w:t>
      </w:r>
      <w:r w:rsidRPr="009040B8">
        <w:rPr>
          <w:rFonts w:ascii="Verdana" w:hAnsi="Verdana" w:cs="Arial"/>
        </w:rPr>
        <w:t xml:space="preserve"> </w:t>
      </w:r>
      <w:r>
        <w:rPr>
          <w:rFonts w:ascii="Verdana" w:hAnsi="Verdana" w:cs="Arial"/>
        </w:rPr>
        <w:br/>
      </w:r>
      <w:r w:rsidRPr="009040B8">
        <w:rPr>
          <w:rFonts w:ascii="Verdana" w:hAnsi="Verdana" w:cs="Arial"/>
        </w:rPr>
        <w:t>z betonu asfaltowego (AC) obejmuje:</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prace pomiarowe i roboty przygotowawcze,</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oznakowanie robót,</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oczyszczenie i skropienie podłoża</w:t>
      </w:r>
      <w:r>
        <w:rPr>
          <w:rFonts w:ascii="Verdana" w:hAnsi="Verdana" w:cs="Arial"/>
        </w:rPr>
        <w:t xml:space="preserve"> oraz wykonanie warstwy ochronnej emulsji</w:t>
      </w:r>
      <w:r w:rsidRPr="009040B8">
        <w:rPr>
          <w:rFonts w:ascii="Verdana" w:hAnsi="Verdana" w:cs="Arial"/>
        </w:rPr>
        <w:t xml:space="preserve">, </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dostarczenie materiałów i sprzętu,</w:t>
      </w:r>
    </w:p>
    <w:p w:rsidR="00683496" w:rsidRPr="001976D1" w:rsidRDefault="00683496" w:rsidP="00683496">
      <w:pPr>
        <w:numPr>
          <w:ilvl w:val="0"/>
          <w:numId w:val="1"/>
        </w:numPr>
        <w:overflowPunct w:val="0"/>
        <w:autoSpaceDE w:val="0"/>
        <w:autoSpaceDN w:val="0"/>
        <w:adjustRightInd w:val="0"/>
        <w:jc w:val="both"/>
        <w:textAlignment w:val="baseline"/>
        <w:rPr>
          <w:rFonts w:ascii="Verdana" w:hAnsi="Verdana" w:cs="Arial"/>
        </w:rPr>
      </w:pPr>
      <w:r w:rsidRPr="009040B8">
        <w:rPr>
          <w:rFonts w:ascii="Verdana" w:hAnsi="Verdana" w:cs="Arial"/>
        </w:rPr>
        <w:t>opracowanie recepty laboratoryjnej</w:t>
      </w:r>
      <w:r w:rsidRPr="001976D1">
        <w:rPr>
          <w:rFonts w:ascii="Verdana" w:hAnsi="Verdana"/>
        </w:rPr>
        <w:t xml:space="preserve"> </w:t>
      </w:r>
      <w:r w:rsidRPr="002E4E49">
        <w:rPr>
          <w:rFonts w:ascii="Verdana" w:hAnsi="Verdana"/>
        </w:rPr>
        <w:t xml:space="preserve">dla mieszanki mineralno-asfaltowej wraz </w:t>
      </w:r>
      <w:r>
        <w:rPr>
          <w:rFonts w:ascii="Verdana" w:hAnsi="Verdana"/>
        </w:rPr>
        <w:br/>
      </w:r>
      <w:r w:rsidRPr="002E4E49">
        <w:rPr>
          <w:rFonts w:ascii="Verdana" w:hAnsi="Verdana"/>
        </w:rPr>
        <w:t>z przeprowadzeniem wymaganych badań przy opracowaniu recepty</w:t>
      </w:r>
      <w:r w:rsidRPr="002876EA">
        <w:rPr>
          <w:rFonts w:ascii="Verdana" w:hAnsi="Verdana" w:cs="Arial"/>
        </w:rPr>
        <w:t>,</w:t>
      </w:r>
    </w:p>
    <w:p w:rsidR="00683496" w:rsidRPr="001976D1"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wykonanie próby technologicznej i odcinka próbnego</w:t>
      </w:r>
      <w:r w:rsidRPr="001976D1">
        <w:rPr>
          <w:rFonts w:ascii="Verdana" w:hAnsi="Verdana"/>
        </w:rPr>
        <w:t xml:space="preserve"> </w:t>
      </w:r>
      <w:r w:rsidRPr="002E4E49">
        <w:rPr>
          <w:rFonts w:ascii="Verdana" w:hAnsi="Verdana"/>
        </w:rPr>
        <w:t>wraz z wykonaniem niezbędnych badań laboratoryjnych, pomiarów i sprawdzeń</w:t>
      </w:r>
      <w:r w:rsidRPr="009040B8">
        <w:rPr>
          <w:rFonts w:ascii="Verdana" w:hAnsi="Verdana" w:cs="Arial"/>
        </w:rPr>
        <w:t>,</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wyprodukowanie mieszanki i jej transport na miejsce wbudowania,</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 xml:space="preserve">uszczelnienie połączeń technologicznych poprzecznych taśmami kauczukowo-asfaltowymi, </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 xml:space="preserve">uszczelnienie połączeń technologicznych podłużnych, krawędzi urządzeń obcych </w:t>
      </w:r>
      <w:r>
        <w:rPr>
          <w:rFonts w:ascii="Verdana" w:hAnsi="Verdana" w:cs="Arial"/>
        </w:rPr>
        <w:br/>
      </w:r>
      <w:r w:rsidRPr="009040B8">
        <w:rPr>
          <w:rFonts w:ascii="Verdana" w:hAnsi="Verdana" w:cs="Arial"/>
        </w:rPr>
        <w:t>w nawierzchni</w:t>
      </w:r>
      <w:r>
        <w:rPr>
          <w:rFonts w:ascii="Verdana" w:hAnsi="Verdana" w:cs="Arial"/>
        </w:rPr>
        <w:t xml:space="preserve"> i </w:t>
      </w:r>
      <w:r w:rsidRPr="009040B8">
        <w:rPr>
          <w:rFonts w:ascii="Verdana" w:hAnsi="Verdana" w:cs="Arial"/>
        </w:rPr>
        <w:t>krawężników asfaltem użytym do bieżącej produkcji mieszanki mineralno-asfaltowej lub taśmami kauczukowo-asfaltowymi,</w:t>
      </w:r>
    </w:p>
    <w:p w:rsidR="00683496" w:rsidRPr="009040B8" w:rsidRDefault="00683496" w:rsidP="00683496">
      <w:pPr>
        <w:numPr>
          <w:ilvl w:val="0"/>
          <w:numId w:val="1"/>
        </w:numPr>
        <w:overflowPunct w:val="0"/>
        <w:autoSpaceDE w:val="0"/>
        <w:autoSpaceDN w:val="0"/>
        <w:jc w:val="both"/>
        <w:textAlignment w:val="baseline"/>
        <w:rPr>
          <w:rFonts w:ascii="Verdana" w:hAnsi="Verdana" w:cs="Arial"/>
        </w:rPr>
      </w:pPr>
      <w:r w:rsidRPr="009040B8">
        <w:rPr>
          <w:rFonts w:ascii="Verdana" w:hAnsi="Verdana" w:cs="Arial"/>
        </w:rPr>
        <w:t>rozłożenie i zagęszczenie mieszanki,</w:t>
      </w:r>
    </w:p>
    <w:p w:rsidR="00683496" w:rsidRPr="009040B8" w:rsidRDefault="00683496" w:rsidP="00683496">
      <w:pPr>
        <w:numPr>
          <w:ilvl w:val="0"/>
          <w:numId w:val="1"/>
        </w:numPr>
        <w:overflowPunct w:val="0"/>
        <w:autoSpaceDE w:val="0"/>
        <w:autoSpaceDN w:val="0"/>
        <w:jc w:val="both"/>
        <w:textAlignment w:val="baseline"/>
        <w:rPr>
          <w:rFonts w:ascii="Verdana" w:hAnsi="Verdana" w:cs="Arial"/>
          <w:color w:val="000000"/>
        </w:rPr>
      </w:pPr>
      <w:r w:rsidRPr="009040B8">
        <w:rPr>
          <w:rFonts w:ascii="Verdana" w:hAnsi="Verdana" w:cs="Arial"/>
          <w:color w:val="000000"/>
        </w:rPr>
        <w:t xml:space="preserve">obcięcie krawędzi zewnętrznych i uszczelnienie asfaltem </w:t>
      </w:r>
      <w:r>
        <w:rPr>
          <w:rFonts w:ascii="Verdana" w:hAnsi="Verdana" w:cs="Arial"/>
          <w:color w:val="000000"/>
        </w:rPr>
        <w:t>drogowym</w:t>
      </w:r>
      <w:r w:rsidRPr="009040B8">
        <w:rPr>
          <w:rFonts w:ascii="Verdana" w:hAnsi="Verdana" w:cs="Arial"/>
          <w:color w:val="000000"/>
        </w:rPr>
        <w:t>,</w:t>
      </w:r>
    </w:p>
    <w:p w:rsidR="00683496" w:rsidRDefault="00683496" w:rsidP="00683496">
      <w:pPr>
        <w:numPr>
          <w:ilvl w:val="0"/>
          <w:numId w:val="1"/>
        </w:numPr>
        <w:overflowPunct w:val="0"/>
        <w:autoSpaceDE w:val="0"/>
        <w:autoSpaceDN w:val="0"/>
        <w:jc w:val="both"/>
        <w:textAlignment w:val="baseline"/>
        <w:rPr>
          <w:rFonts w:ascii="Verdana" w:hAnsi="Verdana" w:cs="Arial"/>
          <w:color w:val="000000"/>
        </w:rPr>
      </w:pPr>
      <w:r w:rsidRPr="009040B8">
        <w:rPr>
          <w:rFonts w:ascii="Verdana" w:hAnsi="Verdana" w:cs="Arial"/>
          <w:color w:val="000000"/>
        </w:rPr>
        <w:t>przeprowadzenie pomiarów i badań  wymaganych w specyfikacji technicznej,</w:t>
      </w:r>
    </w:p>
    <w:p w:rsidR="00683496" w:rsidRPr="00330A9A" w:rsidRDefault="00683496" w:rsidP="00683496">
      <w:pPr>
        <w:pStyle w:val="Tekstpodstawowy"/>
        <w:numPr>
          <w:ilvl w:val="0"/>
          <w:numId w:val="1"/>
        </w:numPr>
        <w:spacing w:after="0"/>
        <w:jc w:val="both"/>
        <w:rPr>
          <w:rFonts w:ascii="Verdana" w:hAnsi="Verdana"/>
        </w:rPr>
      </w:pPr>
      <w:r w:rsidRPr="00F56FA6">
        <w:rPr>
          <w:rFonts w:ascii="Verdana" w:hAnsi="Verdana"/>
        </w:rPr>
        <w:t xml:space="preserve">naprawa nawierzchni po pobraniu próbek i wykonaniu badań przez Wykonawcę </w:t>
      </w:r>
      <w:r>
        <w:rPr>
          <w:rFonts w:ascii="Verdana" w:hAnsi="Verdana"/>
        </w:rPr>
        <w:br/>
      </w:r>
      <w:r w:rsidRPr="00F56FA6">
        <w:rPr>
          <w:rFonts w:ascii="Verdana" w:hAnsi="Verdana"/>
        </w:rPr>
        <w:t>i Zamawiającego,</w:t>
      </w:r>
    </w:p>
    <w:p w:rsidR="00683496" w:rsidRPr="009040B8" w:rsidRDefault="00683496" w:rsidP="00683496">
      <w:pPr>
        <w:numPr>
          <w:ilvl w:val="0"/>
          <w:numId w:val="1"/>
        </w:numPr>
        <w:overflowPunct w:val="0"/>
        <w:autoSpaceDE w:val="0"/>
        <w:autoSpaceDN w:val="0"/>
        <w:jc w:val="both"/>
        <w:textAlignment w:val="baseline"/>
        <w:rPr>
          <w:rFonts w:ascii="Verdana" w:hAnsi="Verdana" w:cs="Arial"/>
          <w:b/>
          <w:bCs/>
        </w:rPr>
      </w:pPr>
      <w:r w:rsidRPr="009040B8">
        <w:rPr>
          <w:rFonts w:ascii="Verdana" w:hAnsi="Verdana" w:cs="Arial"/>
        </w:rPr>
        <w:t>odwiezienie sprzętu.</w:t>
      </w:r>
    </w:p>
    <w:p w:rsidR="00683496" w:rsidRPr="009040B8" w:rsidRDefault="00683496" w:rsidP="00683496">
      <w:pPr>
        <w:keepNext/>
        <w:jc w:val="both"/>
        <w:outlineLvl w:val="1"/>
        <w:rPr>
          <w:rFonts w:ascii="Verdana" w:hAnsi="Verdana" w:cs="Arial"/>
          <w:b/>
          <w:bCs/>
          <w:iCs/>
        </w:rPr>
      </w:pPr>
    </w:p>
    <w:p w:rsidR="00683496" w:rsidRPr="009040B8" w:rsidRDefault="00683496" w:rsidP="00683496">
      <w:pPr>
        <w:keepNext/>
        <w:jc w:val="both"/>
        <w:outlineLvl w:val="1"/>
        <w:rPr>
          <w:rFonts w:ascii="Verdana" w:hAnsi="Verdana" w:cs="Arial"/>
          <w:b/>
          <w:bCs/>
          <w:iCs/>
        </w:rPr>
      </w:pPr>
      <w:r w:rsidRPr="009040B8">
        <w:rPr>
          <w:rFonts w:ascii="Verdana" w:hAnsi="Verdana" w:cs="Arial"/>
          <w:b/>
          <w:bCs/>
          <w:iCs/>
        </w:rPr>
        <w:t>9.3. Sposób rozliczenia robót tymczasowych i prac towarzyszących</w:t>
      </w:r>
    </w:p>
    <w:p w:rsidR="00683496" w:rsidRPr="009040B8" w:rsidRDefault="00683496" w:rsidP="00683496">
      <w:pPr>
        <w:jc w:val="both"/>
        <w:rPr>
          <w:rFonts w:ascii="Verdana" w:hAnsi="Verdana" w:cs="Arial"/>
        </w:rPr>
      </w:pPr>
      <w:r w:rsidRPr="009040B8">
        <w:rPr>
          <w:rFonts w:ascii="Verdana" w:hAnsi="Verdana" w:cs="Arial"/>
        </w:rPr>
        <w:t>Cena wykonania robót określonych niniejszą SST obejmuje:</w:t>
      </w:r>
    </w:p>
    <w:p w:rsidR="00683496" w:rsidRPr="009040B8" w:rsidRDefault="00683496" w:rsidP="00683496">
      <w:pPr>
        <w:numPr>
          <w:ilvl w:val="0"/>
          <w:numId w:val="1"/>
        </w:numPr>
        <w:overflowPunct w:val="0"/>
        <w:autoSpaceDE w:val="0"/>
        <w:autoSpaceDN w:val="0"/>
        <w:adjustRightInd w:val="0"/>
        <w:jc w:val="both"/>
        <w:textAlignment w:val="baseline"/>
        <w:rPr>
          <w:rFonts w:ascii="Verdana" w:hAnsi="Verdana" w:cs="Arial"/>
        </w:rPr>
      </w:pPr>
      <w:r w:rsidRPr="009040B8">
        <w:rPr>
          <w:rFonts w:ascii="Verdana" w:hAnsi="Verdana" w:cs="Arial"/>
        </w:rPr>
        <w:t>roboty tymczasowe, które są potrzebne do wykonania robót podstawowych, ale nie są przekazywane Przedstawicielowi Zamawiającego/Inspektorowi Nadzoru i są usuwane po wykonaniu robót podstawowych,</w:t>
      </w:r>
    </w:p>
    <w:p w:rsidR="00683496" w:rsidRPr="009040B8" w:rsidRDefault="00683496" w:rsidP="00683496">
      <w:pPr>
        <w:numPr>
          <w:ilvl w:val="0"/>
          <w:numId w:val="1"/>
        </w:numPr>
        <w:overflowPunct w:val="0"/>
        <w:autoSpaceDE w:val="0"/>
        <w:autoSpaceDN w:val="0"/>
        <w:adjustRightInd w:val="0"/>
        <w:jc w:val="both"/>
        <w:textAlignment w:val="baseline"/>
        <w:rPr>
          <w:rFonts w:ascii="Verdana" w:hAnsi="Verdana" w:cs="Arial"/>
        </w:rPr>
      </w:pPr>
      <w:r w:rsidRPr="009040B8">
        <w:rPr>
          <w:rFonts w:ascii="Verdana" w:hAnsi="Verdana" w:cs="Arial"/>
        </w:rPr>
        <w:t>prace towarzyszące, które są niezbędne do wykonania robót podstawowych, niezaliczane do robót tymczasowych, jak geodezyjne wytyczenie robót itd.</w:t>
      </w:r>
    </w:p>
    <w:p w:rsidR="00683496" w:rsidRPr="009040B8" w:rsidRDefault="00683496" w:rsidP="00683496">
      <w:pPr>
        <w:keepNext/>
        <w:widowControl w:val="0"/>
        <w:outlineLvl w:val="0"/>
        <w:rPr>
          <w:rFonts w:ascii="Verdana" w:hAnsi="Verdana" w:cs="Arial"/>
          <w:b/>
          <w:snapToGrid w:val="0"/>
        </w:rPr>
      </w:pPr>
    </w:p>
    <w:p w:rsidR="00683496" w:rsidRPr="009040B8" w:rsidRDefault="00683496" w:rsidP="00683496">
      <w:pPr>
        <w:keepNext/>
        <w:widowControl w:val="0"/>
        <w:outlineLvl w:val="0"/>
        <w:rPr>
          <w:rFonts w:ascii="Verdana" w:hAnsi="Verdana" w:cs="Arial"/>
          <w:b/>
          <w:snapToGrid w:val="0"/>
        </w:rPr>
      </w:pPr>
      <w:r w:rsidRPr="009040B8">
        <w:rPr>
          <w:rFonts w:ascii="Verdana" w:hAnsi="Verdana" w:cs="Arial"/>
          <w:b/>
          <w:snapToGrid w:val="0"/>
        </w:rPr>
        <w:t>10. Przepisy związane</w:t>
      </w:r>
    </w:p>
    <w:p w:rsidR="00683496" w:rsidRPr="009040B8" w:rsidRDefault="00683496" w:rsidP="00683496">
      <w:pPr>
        <w:keepNext/>
        <w:outlineLvl w:val="1"/>
        <w:rPr>
          <w:rFonts w:ascii="Verdana" w:hAnsi="Verdana" w:cs="Arial"/>
          <w:b/>
          <w:bCs/>
          <w:iCs/>
        </w:rPr>
      </w:pPr>
      <w:r w:rsidRPr="009040B8">
        <w:rPr>
          <w:rFonts w:ascii="Verdana" w:hAnsi="Verdana" w:cs="Arial"/>
          <w:b/>
          <w:bCs/>
          <w:iCs/>
        </w:rPr>
        <w:t>10.1. Ogólne specyfikacje techniczne (SST)</w:t>
      </w:r>
    </w:p>
    <w:tbl>
      <w:tblPr>
        <w:tblW w:w="14171" w:type="dxa"/>
        <w:tblLayout w:type="fixed"/>
        <w:tblCellMar>
          <w:left w:w="70" w:type="dxa"/>
          <w:right w:w="70" w:type="dxa"/>
        </w:tblCellMar>
        <w:tblLook w:val="0000" w:firstRow="0" w:lastRow="0" w:firstColumn="0" w:lastColumn="0" w:noHBand="0" w:noVBand="0"/>
      </w:tblPr>
      <w:tblGrid>
        <w:gridCol w:w="496"/>
        <w:gridCol w:w="4819"/>
        <w:gridCol w:w="1842"/>
        <w:gridCol w:w="1842"/>
        <w:gridCol w:w="5172"/>
      </w:tblGrid>
      <w:tr w:rsidR="00683496" w:rsidRPr="009040B8" w:rsidTr="00683496">
        <w:tc>
          <w:tcPr>
            <w:tcW w:w="496" w:type="dxa"/>
          </w:tcPr>
          <w:p w:rsidR="00683496" w:rsidRPr="009040B8" w:rsidRDefault="00683496" w:rsidP="00683496">
            <w:pPr>
              <w:jc w:val="center"/>
              <w:rPr>
                <w:rFonts w:ascii="Verdana" w:hAnsi="Verdana" w:cs="Arial"/>
              </w:rPr>
            </w:pPr>
            <w:r w:rsidRPr="009040B8">
              <w:rPr>
                <w:rFonts w:ascii="Verdana" w:hAnsi="Verdana" w:cs="Arial"/>
              </w:rPr>
              <w:t>1.</w:t>
            </w:r>
          </w:p>
        </w:tc>
        <w:tc>
          <w:tcPr>
            <w:tcW w:w="4819" w:type="dxa"/>
          </w:tcPr>
          <w:p w:rsidR="00683496" w:rsidRPr="009040B8" w:rsidRDefault="00683496" w:rsidP="00683496">
            <w:pPr>
              <w:ind w:right="-2197"/>
              <w:jc w:val="both"/>
              <w:rPr>
                <w:rFonts w:ascii="Verdana" w:hAnsi="Verdana" w:cs="Arial"/>
              </w:rPr>
            </w:pPr>
            <w:r w:rsidRPr="009040B8">
              <w:rPr>
                <w:rFonts w:ascii="Verdana" w:hAnsi="Verdana" w:cs="Arial"/>
              </w:rPr>
              <w:t xml:space="preserve">  D-M-00.00.00.    Wymagania ogólne</w:t>
            </w:r>
          </w:p>
        </w:tc>
        <w:tc>
          <w:tcPr>
            <w:tcW w:w="1842" w:type="dxa"/>
          </w:tcPr>
          <w:p w:rsidR="00683496" w:rsidRPr="009040B8" w:rsidRDefault="00683496" w:rsidP="00683496">
            <w:pPr>
              <w:rPr>
                <w:rFonts w:ascii="Verdana" w:hAnsi="Verdana" w:cs="Arial"/>
              </w:rPr>
            </w:pPr>
          </w:p>
        </w:tc>
        <w:tc>
          <w:tcPr>
            <w:tcW w:w="1842" w:type="dxa"/>
          </w:tcPr>
          <w:p w:rsidR="00683496" w:rsidRPr="009040B8" w:rsidRDefault="00683496" w:rsidP="00683496">
            <w:pPr>
              <w:ind w:left="-3471" w:firstLine="3471"/>
              <w:rPr>
                <w:rFonts w:ascii="Verdana" w:hAnsi="Verdana" w:cs="Arial"/>
              </w:rPr>
            </w:pPr>
          </w:p>
        </w:tc>
        <w:tc>
          <w:tcPr>
            <w:tcW w:w="5172" w:type="dxa"/>
          </w:tcPr>
          <w:p w:rsidR="00683496" w:rsidRPr="009040B8" w:rsidRDefault="00683496" w:rsidP="00683496">
            <w:pPr>
              <w:rPr>
                <w:rFonts w:ascii="Verdana" w:hAnsi="Verdana" w:cs="Arial"/>
              </w:rPr>
            </w:pPr>
          </w:p>
        </w:tc>
      </w:tr>
    </w:tbl>
    <w:p w:rsidR="00683496" w:rsidRDefault="00683496" w:rsidP="00683496">
      <w:pPr>
        <w:keepNext/>
        <w:outlineLvl w:val="1"/>
        <w:rPr>
          <w:rFonts w:ascii="Verdana" w:hAnsi="Verdana" w:cs="Arial"/>
          <w:b/>
          <w:bCs/>
          <w:iCs/>
        </w:rPr>
      </w:pPr>
    </w:p>
    <w:p w:rsidR="00683496" w:rsidRPr="009040B8" w:rsidRDefault="00683496" w:rsidP="00683496">
      <w:pPr>
        <w:keepNext/>
        <w:outlineLvl w:val="1"/>
        <w:rPr>
          <w:rFonts w:ascii="Verdana" w:hAnsi="Verdana" w:cs="Arial"/>
          <w:b/>
          <w:bCs/>
          <w:iCs/>
        </w:rPr>
      </w:pPr>
      <w:r w:rsidRPr="009040B8">
        <w:rPr>
          <w:rFonts w:ascii="Verdana" w:hAnsi="Verdana" w:cs="Arial"/>
          <w:b/>
          <w:bCs/>
          <w:iCs/>
        </w:rPr>
        <w:t>10.2. Normy</w:t>
      </w:r>
    </w:p>
    <w:p w:rsidR="00683496" w:rsidRPr="009040B8" w:rsidRDefault="00683496" w:rsidP="00683496">
      <w:pPr>
        <w:spacing w:after="120"/>
        <w:rPr>
          <w:rFonts w:ascii="Verdana" w:hAnsi="Verdana" w:cs="Arial"/>
        </w:rPr>
      </w:pPr>
      <w:r w:rsidRPr="009040B8">
        <w:rPr>
          <w:rFonts w:ascii="Verdana" w:hAnsi="Verdana" w:cs="Arial"/>
        </w:rPr>
        <w:t>(Zestawienie zawiera dodatkowo normy PN-EN związane z badaniami materiałów występujących w niniejszej SST)</w:t>
      </w:r>
    </w:p>
    <w:tbl>
      <w:tblPr>
        <w:tblW w:w="10038" w:type="dxa"/>
        <w:tblLook w:val="01E0" w:firstRow="1" w:lastRow="1" w:firstColumn="1" w:lastColumn="1" w:noHBand="0" w:noVBand="0"/>
      </w:tblPr>
      <w:tblGrid>
        <w:gridCol w:w="743"/>
        <w:gridCol w:w="1456"/>
        <w:gridCol w:w="7839"/>
      </w:tblGrid>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w:t>
            </w:r>
          </w:p>
        </w:tc>
        <w:tc>
          <w:tcPr>
            <w:tcW w:w="1473" w:type="dxa"/>
          </w:tcPr>
          <w:p w:rsidR="00683496" w:rsidRPr="009040B8" w:rsidRDefault="00683496" w:rsidP="00683496">
            <w:pPr>
              <w:rPr>
                <w:rFonts w:ascii="Verdana" w:hAnsi="Verdana" w:cs="Arial"/>
              </w:rPr>
            </w:pPr>
            <w:r w:rsidRPr="009040B8">
              <w:rPr>
                <w:rFonts w:ascii="Verdana" w:hAnsi="Verdana" w:cs="Arial"/>
              </w:rPr>
              <w:t>PN-EN 196-21</w:t>
            </w:r>
          </w:p>
        </w:tc>
        <w:tc>
          <w:tcPr>
            <w:tcW w:w="8031" w:type="dxa"/>
          </w:tcPr>
          <w:p w:rsidR="00683496" w:rsidRPr="009040B8" w:rsidRDefault="00683496" w:rsidP="00683496">
            <w:pPr>
              <w:rPr>
                <w:rFonts w:ascii="Verdana" w:hAnsi="Verdana" w:cs="Arial"/>
              </w:rPr>
            </w:pPr>
            <w:r w:rsidRPr="009040B8">
              <w:rPr>
                <w:rFonts w:ascii="Verdana" w:hAnsi="Verdana" w:cs="Arial"/>
              </w:rPr>
              <w:t>Metody badania cementu – Oznaczanie zawartości chlorków, dwutlenku węgla i alkaliów w cemencie</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w:t>
            </w:r>
          </w:p>
        </w:tc>
        <w:tc>
          <w:tcPr>
            <w:tcW w:w="1473" w:type="dxa"/>
          </w:tcPr>
          <w:p w:rsidR="00683496" w:rsidRPr="009040B8" w:rsidRDefault="00683496" w:rsidP="00683496">
            <w:pPr>
              <w:rPr>
                <w:rFonts w:ascii="Verdana" w:hAnsi="Verdana" w:cs="Arial"/>
              </w:rPr>
            </w:pPr>
            <w:r w:rsidRPr="009040B8">
              <w:rPr>
                <w:rFonts w:ascii="Verdana" w:hAnsi="Verdana" w:cs="Arial"/>
              </w:rPr>
              <w:t>PN-EN 459-2</w:t>
            </w:r>
          </w:p>
        </w:tc>
        <w:tc>
          <w:tcPr>
            <w:tcW w:w="8031" w:type="dxa"/>
          </w:tcPr>
          <w:p w:rsidR="00683496" w:rsidRPr="009040B8" w:rsidRDefault="00683496" w:rsidP="00683496">
            <w:pPr>
              <w:rPr>
                <w:rFonts w:ascii="Verdana" w:hAnsi="Verdana" w:cs="Arial"/>
              </w:rPr>
            </w:pPr>
            <w:r w:rsidRPr="009040B8">
              <w:rPr>
                <w:rFonts w:ascii="Verdana" w:hAnsi="Verdana" w:cs="Arial"/>
              </w:rPr>
              <w:t>Wapno budowlane – Część 2: Metody badań</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w:t>
            </w:r>
          </w:p>
        </w:tc>
        <w:tc>
          <w:tcPr>
            <w:tcW w:w="1473" w:type="dxa"/>
          </w:tcPr>
          <w:p w:rsidR="00683496" w:rsidRPr="009040B8" w:rsidRDefault="00683496" w:rsidP="00683496">
            <w:pPr>
              <w:rPr>
                <w:rFonts w:ascii="Verdana" w:hAnsi="Verdana" w:cs="Arial"/>
              </w:rPr>
            </w:pPr>
            <w:r w:rsidRPr="009040B8">
              <w:rPr>
                <w:rFonts w:ascii="Verdana" w:hAnsi="Verdana" w:cs="Arial"/>
              </w:rPr>
              <w:t>PN-EN 932-3</w:t>
            </w:r>
          </w:p>
        </w:tc>
        <w:tc>
          <w:tcPr>
            <w:tcW w:w="8031" w:type="dxa"/>
          </w:tcPr>
          <w:p w:rsidR="00683496" w:rsidRPr="009040B8" w:rsidRDefault="00683496" w:rsidP="00683496">
            <w:pPr>
              <w:rPr>
                <w:rFonts w:ascii="Verdana" w:hAnsi="Verdana" w:cs="Arial"/>
              </w:rPr>
            </w:pPr>
            <w:r w:rsidRPr="009040B8">
              <w:rPr>
                <w:rFonts w:ascii="Verdana" w:hAnsi="Verdana" w:cs="Arial"/>
              </w:rPr>
              <w:t>Badania podstawowych właściwości kruszyw – Procedura i terminologia uproszczonego opisu petrograficznego</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lastRenderedPageBreak/>
              <w:t>5.</w:t>
            </w:r>
          </w:p>
        </w:tc>
        <w:tc>
          <w:tcPr>
            <w:tcW w:w="1473" w:type="dxa"/>
          </w:tcPr>
          <w:p w:rsidR="00683496" w:rsidRPr="009040B8" w:rsidRDefault="00683496" w:rsidP="00683496">
            <w:pPr>
              <w:rPr>
                <w:rFonts w:ascii="Verdana" w:hAnsi="Verdana" w:cs="Arial"/>
              </w:rPr>
            </w:pPr>
            <w:r w:rsidRPr="009040B8">
              <w:rPr>
                <w:rFonts w:ascii="Verdana" w:hAnsi="Verdana" w:cs="Arial"/>
              </w:rPr>
              <w:t>PN-EN 933-1</w:t>
            </w:r>
          </w:p>
        </w:tc>
        <w:tc>
          <w:tcPr>
            <w:tcW w:w="8031" w:type="dxa"/>
          </w:tcPr>
          <w:p w:rsidR="00683496" w:rsidRPr="009040B8" w:rsidRDefault="00683496" w:rsidP="00683496">
            <w:pPr>
              <w:rPr>
                <w:rFonts w:ascii="Verdana" w:hAnsi="Verdana" w:cs="Arial"/>
              </w:rPr>
            </w:pPr>
            <w:r w:rsidRPr="009040B8">
              <w:rPr>
                <w:rFonts w:ascii="Verdana" w:hAnsi="Verdana" w:cs="Arial"/>
              </w:rPr>
              <w:t>Badania geometrycznych właściwości kruszyw – Oznaczanie składu ziarnowego – Metoda przesiewania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6.</w:t>
            </w:r>
          </w:p>
        </w:tc>
        <w:tc>
          <w:tcPr>
            <w:tcW w:w="1473" w:type="dxa"/>
          </w:tcPr>
          <w:p w:rsidR="00683496" w:rsidRPr="009040B8" w:rsidRDefault="00683496" w:rsidP="00683496">
            <w:pPr>
              <w:rPr>
                <w:rFonts w:ascii="Verdana" w:hAnsi="Verdana" w:cs="Arial"/>
              </w:rPr>
            </w:pPr>
            <w:r w:rsidRPr="009040B8">
              <w:rPr>
                <w:rFonts w:ascii="Verdana" w:hAnsi="Verdana" w:cs="Arial"/>
              </w:rPr>
              <w:t>PN-EN 933-3</w:t>
            </w:r>
          </w:p>
        </w:tc>
        <w:tc>
          <w:tcPr>
            <w:tcW w:w="8031" w:type="dxa"/>
          </w:tcPr>
          <w:p w:rsidR="00683496" w:rsidRPr="009040B8" w:rsidRDefault="00683496" w:rsidP="00683496">
            <w:pPr>
              <w:rPr>
                <w:rFonts w:ascii="Verdana" w:hAnsi="Verdana" w:cs="Arial"/>
              </w:rPr>
            </w:pPr>
            <w:r w:rsidRPr="009040B8">
              <w:rPr>
                <w:rFonts w:ascii="Verdana" w:hAnsi="Verdana" w:cs="Arial"/>
              </w:rPr>
              <w:t>Badania geometrycznych właściwości kruszyw – Oznaczanie kształtu ziaren za pomocą wskaźnika płaskości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7.</w:t>
            </w:r>
          </w:p>
        </w:tc>
        <w:tc>
          <w:tcPr>
            <w:tcW w:w="1473" w:type="dxa"/>
          </w:tcPr>
          <w:p w:rsidR="00683496" w:rsidRPr="009040B8" w:rsidRDefault="00683496" w:rsidP="00683496">
            <w:pPr>
              <w:rPr>
                <w:rFonts w:ascii="Verdana" w:hAnsi="Verdana" w:cs="Arial"/>
              </w:rPr>
            </w:pPr>
            <w:r w:rsidRPr="009040B8">
              <w:rPr>
                <w:rFonts w:ascii="Verdana" w:hAnsi="Verdana" w:cs="Arial"/>
              </w:rPr>
              <w:t>PN-EN 933-4</w:t>
            </w:r>
          </w:p>
        </w:tc>
        <w:tc>
          <w:tcPr>
            <w:tcW w:w="8031" w:type="dxa"/>
          </w:tcPr>
          <w:p w:rsidR="00683496" w:rsidRPr="009040B8" w:rsidRDefault="00683496" w:rsidP="00683496">
            <w:pPr>
              <w:rPr>
                <w:rFonts w:ascii="Verdana" w:hAnsi="Verdana" w:cs="Arial"/>
              </w:rPr>
            </w:pPr>
            <w:r w:rsidRPr="009040B8">
              <w:rPr>
                <w:rFonts w:ascii="Verdana" w:hAnsi="Verdana" w:cs="Arial"/>
              </w:rPr>
              <w:t>Badania geometrycznych właściwości kruszyw – Część 4: Oznaczanie kształtu ziaren – Wskaźnik kształtu</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8.</w:t>
            </w:r>
          </w:p>
        </w:tc>
        <w:tc>
          <w:tcPr>
            <w:tcW w:w="1473" w:type="dxa"/>
          </w:tcPr>
          <w:p w:rsidR="00683496" w:rsidRPr="009040B8" w:rsidRDefault="00683496" w:rsidP="00683496">
            <w:pPr>
              <w:rPr>
                <w:rFonts w:ascii="Verdana" w:hAnsi="Verdana" w:cs="Arial"/>
              </w:rPr>
            </w:pPr>
            <w:r w:rsidRPr="009040B8">
              <w:rPr>
                <w:rFonts w:ascii="Verdana" w:hAnsi="Verdana" w:cs="Arial"/>
              </w:rPr>
              <w:t>PN-EN 933-5</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Badania geometrycznych właściwości kruszyw – Oznaczanie procentowej zawartości ziaren o powierzchniach powstałych w wyniku </w:t>
            </w:r>
            <w:proofErr w:type="spellStart"/>
            <w:r w:rsidRPr="009040B8">
              <w:rPr>
                <w:rFonts w:ascii="Verdana" w:hAnsi="Verdana" w:cs="Arial"/>
              </w:rPr>
              <w:t>przekruszenia</w:t>
            </w:r>
            <w:proofErr w:type="spellEnd"/>
            <w:r w:rsidRPr="009040B8">
              <w:rPr>
                <w:rFonts w:ascii="Verdana" w:hAnsi="Verdana" w:cs="Arial"/>
              </w:rPr>
              <w:t xml:space="preserve"> lub łamania kruszyw grubych</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9.</w:t>
            </w:r>
          </w:p>
        </w:tc>
        <w:tc>
          <w:tcPr>
            <w:tcW w:w="1473" w:type="dxa"/>
          </w:tcPr>
          <w:p w:rsidR="00683496" w:rsidRPr="009040B8" w:rsidRDefault="00683496" w:rsidP="00683496">
            <w:pPr>
              <w:rPr>
                <w:rFonts w:ascii="Verdana" w:hAnsi="Verdana" w:cs="Arial"/>
              </w:rPr>
            </w:pPr>
            <w:r w:rsidRPr="009040B8">
              <w:rPr>
                <w:rFonts w:ascii="Verdana" w:hAnsi="Verdana" w:cs="Arial"/>
              </w:rPr>
              <w:t>PN-EN 933-6</w:t>
            </w:r>
          </w:p>
        </w:tc>
        <w:tc>
          <w:tcPr>
            <w:tcW w:w="8031" w:type="dxa"/>
          </w:tcPr>
          <w:p w:rsidR="00683496" w:rsidRPr="009040B8" w:rsidRDefault="00683496" w:rsidP="00683496">
            <w:pPr>
              <w:rPr>
                <w:rFonts w:ascii="Verdana" w:hAnsi="Verdana" w:cs="Arial"/>
              </w:rPr>
            </w:pPr>
            <w:r w:rsidRPr="009040B8">
              <w:rPr>
                <w:rFonts w:ascii="Verdana" w:hAnsi="Verdana" w:cs="Arial"/>
              </w:rPr>
              <w:t>Badania geometrycznych właściwości kruszyw – Część 6: Ocena właściwości powierzchni – Wskaźnik przepływu kruszywa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10.</w:t>
            </w:r>
          </w:p>
        </w:tc>
        <w:tc>
          <w:tcPr>
            <w:tcW w:w="1473" w:type="dxa"/>
          </w:tcPr>
          <w:p w:rsidR="00683496" w:rsidRPr="009040B8" w:rsidRDefault="00683496" w:rsidP="00683496">
            <w:pPr>
              <w:rPr>
                <w:rFonts w:ascii="Verdana" w:hAnsi="Verdana" w:cs="Arial"/>
              </w:rPr>
            </w:pPr>
            <w:r w:rsidRPr="009040B8">
              <w:rPr>
                <w:rFonts w:ascii="Verdana" w:hAnsi="Verdana" w:cs="Arial"/>
              </w:rPr>
              <w:t>PN-EN 933-9</w:t>
            </w:r>
          </w:p>
        </w:tc>
        <w:tc>
          <w:tcPr>
            <w:tcW w:w="8031" w:type="dxa"/>
          </w:tcPr>
          <w:p w:rsidR="00683496" w:rsidRPr="009040B8" w:rsidRDefault="00683496" w:rsidP="00683496">
            <w:pPr>
              <w:rPr>
                <w:rFonts w:ascii="Verdana" w:hAnsi="Verdana" w:cs="Arial"/>
              </w:rPr>
            </w:pPr>
            <w:r w:rsidRPr="009040B8">
              <w:rPr>
                <w:rFonts w:ascii="Verdana" w:hAnsi="Verdana" w:cs="Arial"/>
              </w:rPr>
              <w:t>Badania geometrycznych właściwości kruszyw – Ocena zawartości drobnych cząstek – Badania błękitem metylenowym</w:t>
            </w:r>
          </w:p>
          <w:p w:rsidR="00683496" w:rsidRPr="009040B8" w:rsidRDefault="00683496" w:rsidP="00683496">
            <w:pPr>
              <w:rPr>
                <w:rFonts w:ascii="Verdana" w:hAnsi="Verdana" w:cs="Arial"/>
              </w:rPr>
            </w:pP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11.</w:t>
            </w:r>
          </w:p>
        </w:tc>
        <w:tc>
          <w:tcPr>
            <w:tcW w:w="1473" w:type="dxa"/>
          </w:tcPr>
          <w:p w:rsidR="00683496" w:rsidRPr="009040B8" w:rsidRDefault="00683496" w:rsidP="00683496">
            <w:pPr>
              <w:rPr>
                <w:rFonts w:ascii="Verdana" w:hAnsi="Verdana" w:cs="Arial"/>
              </w:rPr>
            </w:pPr>
            <w:r w:rsidRPr="009040B8">
              <w:rPr>
                <w:rFonts w:ascii="Verdana" w:hAnsi="Verdana" w:cs="Arial"/>
              </w:rPr>
              <w:t>PN-EN 933-10</w:t>
            </w:r>
          </w:p>
        </w:tc>
        <w:tc>
          <w:tcPr>
            <w:tcW w:w="8031" w:type="dxa"/>
          </w:tcPr>
          <w:p w:rsidR="00683496" w:rsidRPr="009040B8" w:rsidRDefault="00683496" w:rsidP="00683496">
            <w:pPr>
              <w:rPr>
                <w:rFonts w:ascii="Verdana" w:hAnsi="Verdana" w:cs="Arial"/>
              </w:rPr>
            </w:pPr>
            <w:r w:rsidRPr="009040B8">
              <w:rPr>
                <w:rFonts w:ascii="Verdana" w:hAnsi="Verdana" w:cs="Arial"/>
              </w:rPr>
              <w:t>Badania geometrycznych właściwości kruszyw – Część 10: Ocena zawartości drobnych cząstek – Uziarnienie wypełniaczy (przesiewanie w strumieniu powietrza)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12.</w:t>
            </w:r>
          </w:p>
        </w:tc>
        <w:tc>
          <w:tcPr>
            <w:tcW w:w="1473" w:type="dxa"/>
          </w:tcPr>
          <w:p w:rsidR="00683496" w:rsidRPr="009040B8" w:rsidRDefault="00683496" w:rsidP="00683496">
            <w:pPr>
              <w:rPr>
                <w:rFonts w:ascii="Verdana" w:hAnsi="Verdana" w:cs="Arial"/>
              </w:rPr>
            </w:pPr>
            <w:r w:rsidRPr="009040B8">
              <w:rPr>
                <w:rFonts w:ascii="Verdana" w:hAnsi="Verdana" w:cs="Arial"/>
              </w:rPr>
              <w:t>PN-EN 1097-2</w:t>
            </w:r>
          </w:p>
        </w:tc>
        <w:tc>
          <w:tcPr>
            <w:tcW w:w="8031" w:type="dxa"/>
          </w:tcPr>
          <w:p w:rsidR="00683496" w:rsidRPr="009040B8" w:rsidRDefault="00683496" w:rsidP="00683496">
            <w:pPr>
              <w:rPr>
                <w:rFonts w:ascii="Verdana" w:hAnsi="Verdana" w:cs="Arial"/>
              </w:rPr>
            </w:pPr>
            <w:r w:rsidRPr="009040B8">
              <w:rPr>
                <w:rFonts w:ascii="Verdana" w:hAnsi="Verdana" w:cs="Arial"/>
              </w:rPr>
              <w:t>Badania mechanicznych i fizycznych właściwości kruszyw – Metody oznaczania odporności na rozdrabnianie</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13.</w:t>
            </w:r>
          </w:p>
        </w:tc>
        <w:tc>
          <w:tcPr>
            <w:tcW w:w="1473" w:type="dxa"/>
          </w:tcPr>
          <w:p w:rsidR="00683496" w:rsidRPr="009040B8" w:rsidRDefault="00683496" w:rsidP="00683496">
            <w:pPr>
              <w:rPr>
                <w:rFonts w:ascii="Verdana" w:hAnsi="Verdana" w:cs="Arial"/>
              </w:rPr>
            </w:pPr>
            <w:r w:rsidRPr="009040B8">
              <w:rPr>
                <w:rFonts w:ascii="Verdana" w:hAnsi="Verdana" w:cs="Arial"/>
              </w:rPr>
              <w:t>PN-EN 1097-3</w:t>
            </w:r>
          </w:p>
        </w:tc>
        <w:tc>
          <w:tcPr>
            <w:tcW w:w="8031" w:type="dxa"/>
          </w:tcPr>
          <w:p w:rsidR="00683496" w:rsidRPr="009040B8" w:rsidRDefault="00683496" w:rsidP="00683496">
            <w:pPr>
              <w:rPr>
                <w:rFonts w:ascii="Verdana" w:hAnsi="Verdana" w:cs="Arial"/>
              </w:rPr>
            </w:pPr>
            <w:r w:rsidRPr="009040B8">
              <w:rPr>
                <w:rFonts w:ascii="Verdana" w:hAnsi="Verdana" w:cs="Arial"/>
              </w:rPr>
              <w:t>Badania mechanicznych i fizycznych właściwości kruszyw – Oznaczanie gęstości nasypowej i jamistości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14.</w:t>
            </w:r>
          </w:p>
        </w:tc>
        <w:tc>
          <w:tcPr>
            <w:tcW w:w="1473" w:type="dxa"/>
          </w:tcPr>
          <w:p w:rsidR="00683496" w:rsidRPr="009040B8" w:rsidRDefault="00683496" w:rsidP="00683496">
            <w:pPr>
              <w:rPr>
                <w:rFonts w:ascii="Verdana" w:hAnsi="Verdana" w:cs="Arial"/>
              </w:rPr>
            </w:pPr>
            <w:r w:rsidRPr="009040B8">
              <w:rPr>
                <w:rFonts w:ascii="Verdana" w:hAnsi="Verdana" w:cs="Arial"/>
              </w:rPr>
              <w:t>PN-EN 1097-4</w:t>
            </w:r>
          </w:p>
        </w:tc>
        <w:tc>
          <w:tcPr>
            <w:tcW w:w="8031" w:type="dxa"/>
          </w:tcPr>
          <w:p w:rsidR="00683496" w:rsidRPr="009040B8" w:rsidRDefault="00683496" w:rsidP="00683496">
            <w:pPr>
              <w:rPr>
                <w:rFonts w:ascii="Verdana" w:hAnsi="Verdana" w:cs="Arial"/>
              </w:rPr>
            </w:pPr>
            <w:r w:rsidRPr="009040B8">
              <w:rPr>
                <w:rFonts w:ascii="Verdana" w:hAnsi="Verdana" w:cs="Arial"/>
              </w:rPr>
              <w:t>Badania mechanicznych i fizycznych właściwości kruszyw – Część 4: Oznaczanie pustych przestrzeni suchego, zagęszczonego wypełniacza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15.</w:t>
            </w:r>
          </w:p>
        </w:tc>
        <w:tc>
          <w:tcPr>
            <w:tcW w:w="1473" w:type="dxa"/>
          </w:tcPr>
          <w:p w:rsidR="00683496" w:rsidRPr="009040B8" w:rsidRDefault="00683496" w:rsidP="00683496">
            <w:pPr>
              <w:rPr>
                <w:rFonts w:ascii="Verdana" w:hAnsi="Verdana" w:cs="Arial"/>
              </w:rPr>
            </w:pPr>
            <w:r w:rsidRPr="009040B8">
              <w:rPr>
                <w:rFonts w:ascii="Verdana" w:hAnsi="Verdana" w:cs="Arial"/>
              </w:rPr>
              <w:t>PN-EN 1097-5</w:t>
            </w:r>
          </w:p>
        </w:tc>
        <w:tc>
          <w:tcPr>
            <w:tcW w:w="8031" w:type="dxa"/>
          </w:tcPr>
          <w:p w:rsidR="00683496" w:rsidRPr="009040B8" w:rsidRDefault="00683496" w:rsidP="00683496">
            <w:pPr>
              <w:rPr>
                <w:rFonts w:ascii="Verdana" w:hAnsi="Verdana" w:cs="Arial"/>
              </w:rPr>
            </w:pPr>
            <w:r w:rsidRPr="009040B8">
              <w:rPr>
                <w:rFonts w:ascii="Verdana" w:hAnsi="Verdana" w:cs="Arial"/>
              </w:rPr>
              <w:t>Badania mechanicznych i fizycznych właściwości kruszyw – Część 5: Oznaczanie zawartości wody przez suszenie w suszarce z wentylacją</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16.</w:t>
            </w:r>
          </w:p>
        </w:tc>
        <w:tc>
          <w:tcPr>
            <w:tcW w:w="1473" w:type="dxa"/>
          </w:tcPr>
          <w:p w:rsidR="00683496" w:rsidRPr="009040B8" w:rsidRDefault="00683496" w:rsidP="00683496">
            <w:pPr>
              <w:rPr>
                <w:rFonts w:ascii="Verdana" w:hAnsi="Verdana" w:cs="Arial"/>
              </w:rPr>
            </w:pPr>
            <w:r w:rsidRPr="009040B8">
              <w:rPr>
                <w:rFonts w:ascii="Verdana" w:hAnsi="Verdana" w:cs="Arial"/>
              </w:rPr>
              <w:t>PN-EN 1097-6</w:t>
            </w:r>
          </w:p>
        </w:tc>
        <w:tc>
          <w:tcPr>
            <w:tcW w:w="8031" w:type="dxa"/>
          </w:tcPr>
          <w:p w:rsidR="00683496" w:rsidRPr="009040B8" w:rsidRDefault="00683496" w:rsidP="00683496">
            <w:pPr>
              <w:rPr>
                <w:rFonts w:ascii="Verdana" w:hAnsi="Verdana" w:cs="Arial"/>
              </w:rPr>
            </w:pPr>
            <w:r w:rsidRPr="009040B8">
              <w:rPr>
                <w:rFonts w:ascii="Verdana" w:hAnsi="Verdana" w:cs="Arial"/>
              </w:rPr>
              <w:t>Badania mechanicznych i fizycznych właściwości kruszyw –Część 6: Oznaczanie gęstości ziaren i nasiąkliwości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17.</w:t>
            </w:r>
          </w:p>
        </w:tc>
        <w:tc>
          <w:tcPr>
            <w:tcW w:w="1473" w:type="dxa"/>
          </w:tcPr>
          <w:p w:rsidR="00683496" w:rsidRPr="009040B8" w:rsidRDefault="00683496" w:rsidP="00683496">
            <w:pPr>
              <w:rPr>
                <w:rFonts w:ascii="Verdana" w:hAnsi="Verdana" w:cs="Arial"/>
              </w:rPr>
            </w:pPr>
            <w:r w:rsidRPr="009040B8">
              <w:rPr>
                <w:rFonts w:ascii="Verdana" w:hAnsi="Verdana" w:cs="Arial"/>
              </w:rPr>
              <w:t>PN-EN 1097-7</w:t>
            </w:r>
          </w:p>
        </w:tc>
        <w:tc>
          <w:tcPr>
            <w:tcW w:w="8031" w:type="dxa"/>
          </w:tcPr>
          <w:p w:rsidR="00683496" w:rsidRPr="009040B8" w:rsidRDefault="00683496" w:rsidP="00683496">
            <w:pPr>
              <w:rPr>
                <w:rFonts w:ascii="Verdana" w:hAnsi="Verdana" w:cs="Arial"/>
              </w:rPr>
            </w:pPr>
            <w:r w:rsidRPr="009040B8">
              <w:rPr>
                <w:rFonts w:ascii="Verdana" w:hAnsi="Verdana" w:cs="Arial"/>
              </w:rPr>
              <w:t>Badania mechanicznych i fizycznych właściwości kruszyw – Część 7: Oznaczanie gęstości wypełniacza – Metoda piknometryczna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18.</w:t>
            </w:r>
          </w:p>
        </w:tc>
        <w:tc>
          <w:tcPr>
            <w:tcW w:w="1473" w:type="dxa"/>
          </w:tcPr>
          <w:p w:rsidR="00683496" w:rsidRPr="009040B8" w:rsidRDefault="00683496" w:rsidP="00683496">
            <w:pPr>
              <w:rPr>
                <w:rFonts w:ascii="Verdana" w:hAnsi="Verdana" w:cs="Arial"/>
              </w:rPr>
            </w:pPr>
            <w:r w:rsidRPr="009040B8">
              <w:rPr>
                <w:rFonts w:ascii="Verdana" w:hAnsi="Verdana" w:cs="Arial"/>
              </w:rPr>
              <w:t>PN-EN 1097-8</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Badania mechanicznych i fizycznych właściwości kruszyw – Część 8: Oznaczanie </w:t>
            </w:r>
            <w:proofErr w:type="spellStart"/>
            <w:r w:rsidRPr="009040B8">
              <w:rPr>
                <w:rFonts w:ascii="Verdana" w:hAnsi="Verdana" w:cs="Arial"/>
              </w:rPr>
              <w:t>polerowalności</w:t>
            </w:r>
            <w:proofErr w:type="spellEnd"/>
            <w:r w:rsidRPr="009040B8">
              <w:rPr>
                <w:rFonts w:ascii="Verdana" w:hAnsi="Verdana" w:cs="Arial"/>
              </w:rPr>
              <w:t xml:space="preserve"> kamienia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19.</w:t>
            </w:r>
          </w:p>
        </w:tc>
        <w:tc>
          <w:tcPr>
            <w:tcW w:w="1473" w:type="dxa"/>
          </w:tcPr>
          <w:p w:rsidR="00683496" w:rsidRPr="009040B8" w:rsidRDefault="00683496" w:rsidP="00683496">
            <w:pPr>
              <w:rPr>
                <w:rFonts w:ascii="Verdana" w:hAnsi="Verdana" w:cs="Arial"/>
              </w:rPr>
            </w:pPr>
            <w:r w:rsidRPr="009040B8">
              <w:rPr>
                <w:rFonts w:ascii="Verdana" w:hAnsi="Verdana" w:cs="Arial"/>
              </w:rPr>
              <w:t>PN-EN 1367-1</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Badania właściwości cieplnych i odporności kruszyw na działanie czynników atmosferycznych </w:t>
            </w:r>
            <w:r w:rsidRPr="009040B8">
              <w:rPr>
                <w:rFonts w:ascii="Verdana" w:hAnsi="Verdana" w:cs="Arial"/>
              </w:rPr>
              <w:br/>
              <w:t>– Część 1: Oznaczanie mrozoodporności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20.</w:t>
            </w:r>
          </w:p>
        </w:tc>
        <w:tc>
          <w:tcPr>
            <w:tcW w:w="1473" w:type="dxa"/>
          </w:tcPr>
          <w:p w:rsidR="00683496" w:rsidRPr="009040B8" w:rsidRDefault="00683496" w:rsidP="00683496">
            <w:pPr>
              <w:rPr>
                <w:rFonts w:ascii="Verdana" w:hAnsi="Verdana" w:cs="Arial"/>
              </w:rPr>
            </w:pPr>
            <w:r w:rsidRPr="009040B8">
              <w:rPr>
                <w:rFonts w:ascii="Verdana" w:hAnsi="Verdana" w:cs="Arial"/>
              </w:rPr>
              <w:t>PN-EN 1367-3</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Badania właściwości cieplnych i odporności kruszyw na działanie czynników atmosferycznych </w:t>
            </w:r>
            <w:r w:rsidRPr="009040B8">
              <w:rPr>
                <w:rFonts w:ascii="Verdana" w:hAnsi="Verdana" w:cs="Arial"/>
              </w:rPr>
              <w:br/>
              <w:t>– Część 3: Badanie bazaltowej zgorzeli słonecznej metodą gotowania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21.</w:t>
            </w:r>
          </w:p>
        </w:tc>
        <w:tc>
          <w:tcPr>
            <w:tcW w:w="1473" w:type="dxa"/>
          </w:tcPr>
          <w:p w:rsidR="00683496" w:rsidRPr="009040B8" w:rsidRDefault="00683496" w:rsidP="00683496">
            <w:pPr>
              <w:rPr>
                <w:rFonts w:ascii="Verdana" w:hAnsi="Verdana" w:cs="Arial"/>
              </w:rPr>
            </w:pPr>
            <w:r w:rsidRPr="009040B8">
              <w:rPr>
                <w:rFonts w:ascii="Verdana" w:hAnsi="Verdana" w:cs="Arial"/>
              </w:rPr>
              <w:t>PN-EN 1426</w:t>
            </w:r>
          </w:p>
        </w:tc>
        <w:tc>
          <w:tcPr>
            <w:tcW w:w="8031" w:type="dxa"/>
          </w:tcPr>
          <w:p w:rsidR="00683496" w:rsidRPr="009040B8" w:rsidRDefault="00683496" w:rsidP="00683496">
            <w:pPr>
              <w:rPr>
                <w:rFonts w:ascii="Verdana" w:hAnsi="Verdana" w:cs="Arial"/>
              </w:rPr>
            </w:pPr>
            <w:r w:rsidRPr="009040B8">
              <w:rPr>
                <w:rFonts w:ascii="Verdana" w:hAnsi="Verdana" w:cs="Arial"/>
              </w:rPr>
              <w:t>Asfalty i produkty asfaltowe – Oznaczanie penetracji igłą</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 xml:space="preserve">22. </w:t>
            </w:r>
          </w:p>
        </w:tc>
        <w:tc>
          <w:tcPr>
            <w:tcW w:w="1473" w:type="dxa"/>
          </w:tcPr>
          <w:p w:rsidR="00683496" w:rsidRPr="009040B8" w:rsidRDefault="00683496" w:rsidP="00683496">
            <w:pPr>
              <w:rPr>
                <w:rFonts w:ascii="Verdana" w:hAnsi="Verdana" w:cs="Arial"/>
              </w:rPr>
            </w:pPr>
            <w:r w:rsidRPr="009040B8">
              <w:rPr>
                <w:rFonts w:ascii="Verdana" w:hAnsi="Verdana" w:cs="Arial"/>
              </w:rPr>
              <w:t>PN-EN 1427</w:t>
            </w:r>
          </w:p>
        </w:tc>
        <w:tc>
          <w:tcPr>
            <w:tcW w:w="8031" w:type="dxa"/>
          </w:tcPr>
          <w:p w:rsidR="00683496" w:rsidRPr="009040B8" w:rsidRDefault="00683496" w:rsidP="00683496">
            <w:pPr>
              <w:rPr>
                <w:rFonts w:ascii="Verdana" w:hAnsi="Verdana" w:cs="Arial"/>
              </w:rPr>
            </w:pPr>
            <w:r w:rsidRPr="009040B8">
              <w:rPr>
                <w:rFonts w:ascii="Verdana" w:hAnsi="Verdana" w:cs="Arial"/>
              </w:rPr>
              <w:t>Asfalty i produkty asfaltowe – Oznaczanie temperatury mięknienia – Metoda Pierścień i Kula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 xml:space="preserve">23. </w:t>
            </w:r>
          </w:p>
        </w:tc>
        <w:tc>
          <w:tcPr>
            <w:tcW w:w="1473" w:type="dxa"/>
          </w:tcPr>
          <w:p w:rsidR="00683496" w:rsidRPr="009040B8" w:rsidRDefault="00683496" w:rsidP="00683496">
            <w:pPr>
              <w:rPr>
                <w:rFonts w:ascii="Verdana" w:hAnsi="Verdana" w:cs="Arial"/>
              </w:rPr>
            </w:pPr>
            <w:r w:rsidRPr="009040B8">
              <w:rPr>
                <w:rFonts w:ascii="Verdana" w:hAnsi="Verdana" w:cs="Arial"/>
              </w:rPr>
              <w:t>PN-EN 1428</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zawartości wody w emulsjach asfaltowych – Metoda destylacji azeotropowej</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24.</w:t>
            </w:r>
          </w:p>
        </w:tc>
        <w:tc>
          <w:tcPr>
            <w:tcW w:w="1473" w:type="dxa"/>
          </w:tcPr>
          <w:p w:rsidR="00683496" w:rsidRPr="009040B8" w:rsidRDefault="00683496" w:rsidP="00683496">
            <w:pPr>
              <w:rPr>
                <w:rFonts w:ascii="Verdana" w:hAnsi="Verdana" w:cs="Arial"/>
              </w:rPr>
            </w:pPr>
            <w:r w:rsidRPr="009040B8">
              <w:rPr>
                <w:rFonts w:ascii="Verdana" w:hAnsi="Verdana" w:cs="Arial"/>
              </w:rPr>
              <w:t>PN-EN 1429</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pozostałości na sicie emulsji asfaltowych oraz trwałości podczas magazynowania metodą pozostałości na sicie</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25.</w:t>
            </w:r>
          </w:p>
        </w:tc>
        <w:tc>
          <w:tcPr>
            <w:tcW w:w="1473" w:type="dxa"/>
          </w:tcPr>
          <w:p w:rsidR="00683496" w:rsidRPr="009040B8" w:rsidRDefault="00683496" w:rsidP="00683496">
            <w:pPr>
              <w:rPr>
                <w:rFonts w:ascii="Verdana" w:hAnsi="Verdana" w:cs="Arial"/>
              </w:rPr>
            </w:pPr>
            <w:r w:rsidRPr="009040B8">
              <w:rPr>
                <w:rFonts w:ascii="Verdana" w:hAnsi="Verdana" w:cs="Arial"/>
              </w:rPr>
              <w:t>PN-EN 1744-1</w:t>
            </w:r>
          </w:p>
        </w:tc>
        <w:tc>
          <w:tcPr>
            <w:tcW w:w="8031" w:type="dxa"/>
          </w:tcPr>
          <w:p w:rsidR="00683496" w:rsidRPr="009040B8" w:rsidRDefault="00683496" w:rsidP="00683496">
            <w:pPr>
              <w:rPr>
                <w:rFonts w:ascii="Verdana" w:hAnsi="Verdana" w:cs="Arial"/>
              </w:rPr>
            </w:pPr>
            <w:r w:rsidRPr="009040B8">
              <w:rPr>
                <w:rFonts w:ascii="Verdana" w:hAnsi="Verdana" w:cs="Arial"/>
              </w:rPr>
              <w:t>Badania chemicznych właściwości kruszyw – Analiza chemiczna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26.</w:t>
            </w:r>
          </w:p>
        </w:tc>
        <w:tc>
          <w:tcPr>
            <w:tcW w:w="1473" w:type="dxa"/>
          </w:tcPr>
          <w:p w:rsidR="00683496" w:rsidRPr="009040B8" w:rsidRDefault="00683496" w:rsidP="00683496">
            <w:pPr>
              <w:rPr>
                <w:rFonts w:ascii="Verdana" w:hAnsi="Verdana" w:cs="Arial"/>
              </w:rPr>
            </w:pPr>
            <w:r w:rsidRPr="009040B8">
              <w:rPr>
                <w:rFonts w:ascii="Verdana" w:hAnsi="Verdana" w:cs="Arial"/>
              </w:rPr>
              <w:t>PN-EN 1744-4</w:t>
            </w:r>
          </w:p>
        </w:tc>
        <w:tc>
          <w:tcPr>
            <w:tcW w:w="8031" w:type="dxa"/>
          </w:tcPr>
          <w:p w:rsidR="00683496" w:rsidRPr="009040B8" w:rsidRDefault="00683496" w:rsidP="00683496">
            <w:pPr>
              <w:rPr>
                <w:rFonts w:ascii="Verdana" w:hAnsi="Verdana" w:cs="Arial"/>
              </w:rPr>
            </w:pPr>
            <w:r w:rsidRPr="009040B8">
              <w:rPr>
                <w:rFonts w:ascii="Verdana" w:hAnsi="Verdana" w:cs="Arial"/>
              </w:rPr>
              <w:t>Badania chemicznych właściwości kruszyw – Część 4: Oznaczanie podatności wypełniaczy do mieszanek mineralno-asfaltowych na działanie wody</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27.</w:t>
            </w:r>
          </w:p>
        </w:tc>
        <w:tc>
          <w:tcPr>
            <w:tcW w:w="1473" w:type="dxa"/>
          </w:tcPr>
          <w:p w:rsidR="00683496" w:rsidRPr="009040B8" w:rsidRDefault="00683496" w:rsidP="00683496">
            <w:pPr>
              <w:rPr>
                <w:rFonts w:ascii="Verdana" w:hAnsi="Verdana" w:cs="Arial"/>
              </w:rPr>
            </w:pPr>
            <w:r w:rsidRPr="009040B8">
              <w:rPr>
                <w:rFonts w:ascii="Verdana" w:hAnsi="Verdana" w:cs="Arial"/>
              </w:rPr>
              <w:t>PN-EN 12591</w:t>
            </w:r>
          </w:p>
        </w:tc>
        <w:tc>
          <w:tcPr>
            <w:tcW w:w="8031" w:type="dxa"/>
          </w:tcPr>
          <w:p w:rsidR="00683496" w:rsidRPr="009040B8" w:rsidRDefault="00683496" w:rsidP="00683496">
            <w:pPr>
              <w:rPr>
                <w:rFonts w:ascii="Verdana" w:hAnsi="Verdana" w:cs="Arial"/>
              </w:rPr>
            </w:pPr>
            <w:r w:rsidRPr="009040B8">
              <w:rPr>
                <w:rFonts w:ascii="Verdana" w:hAnsi="Verdana" w:cs="Arial"/>
              </w:rPr>
              <w:t>Asfalty i produkty asfaltowe – Wymagania dla asfaltów drogowych</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28.</w:t>
            </w:r>
          </w:p>
        </w:tc>
        <w:tc>
          <w:tcPr>
            <w:tcW w:w="1473" w:type="dxa"/>
          </w:tcPr>
          <w:p w:rsidR="00683496" w:rsidRPr="009040B8" w:rsidRDefault="00683496" w:rsidP="00683496">
            <w:pPr>
              <w:rPr>
                <w:rFonts w:ascii="Verdana" w:hAnsi="Verdana" w:cs="Arial"/>
              </w:rPr>
            </w:pPr>
            <w:r w:rsidRPr="009040B8">
              <w:rPr>
                <w:rFonts w:ascii="Verdana" w:hAnsi="Verdana" w:cs="Arial"/>
              </w:rPr>
              <w:t>PN-EN 12592</w:t>
            </w:r>
          </w:p>
        </w:tc>
        <w:tc>
          <w:tcPr>
            <w:tcW w:w="8031" w:type="dxa"/>
          </w:tcPr>
          <w:p w:rsidR="00683496" w:rsidRPr="009040B8" w:rsidRDefault="00683496" w:rsidP="00683496">
            <w:pPr>
              <w:rPr>
                <w:rFonts w:ascii="Verdana" w:hAnsi="Verdana" w:cs="Arial"/>
              </w:rPr>
            </w:pPr>
            <w:r w:rsidRPr="009040B8">
              <w:rPr>
                <w:rFonts w:ascii="Verdana" w:hAnsi="Verdana" w:cs="Arial"/>
              </w:rPr>
              <w:t>Asfalty i produkty asfaltowe – Oznaczanie rozpuszczalności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29.</w:t>
            </w:r>
          </w:p>
        </w:tc>
        <w:tc>
          <w:tcPr>
            <w:tcW w:w="1473" w:type="dxa"/>
          </w:tcPr>
          <w:p w:rsidR="00683496" w:rsidRPr="009040B8" w:rsidRDefault="00683496" w:rsidP="00683496">
            <w:pPr>
              <w:rPr>
                <w:rFonts w:ascii="Verdana" w:hAnsi="Verdana" w:cs="Arial"/>
              </w:rPr>
            </w:pPr>
            <w:r w:rsidRPr="009040B8">
              <w:rPr>
                <w:rFonts w:ascii="Verdana" w:hAnsi="Verdana" w:cs="Arial"/>
              </w:rPr>
              <w:t>PN-EN 12593</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Asfalty i produkty asfaltowe – Oznaczanie temperatury łamliwości </w:t>
            </w:r>
            <w:proofErr w:type="spellStart"/>
            <w:r w:rsidRPr="009040B8">
              <w:rPr>
                <w:rFonts w:ascii="Verdana" w:hAnsi="Verdana" w:cs="Arial"/>
              </w:rPr>
              <w:t>Fraassa</w:t>
            </w:r>
            <w:proofErr w:type="spellEnd"/>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30.</w:t>
            </w:r>
          </w:p>
        </w:tc>
        <w:tc>
          <w:tcPr>
            <w:tcW w:w="1473" w:type="dxa"/>
          </w:tcPr>
          <w:p w:rsidR="00683496" w:rsidRPr="009040B8" w:rsidRDefault="00683496" w:rsidP="00683496">
            <w:pPr>
              <w:rPr>
                <w:rFonts w:ascii="Verdana" w:hAnsi="Verdana" w:cs="Arial"/>
              </w:rPr>
            </w:pPr>
            <w:r w:rsidRPr="009040B8">
              <w:rPr>
                <w:rFonts w:ascii="Verdana" w:hAnsi="Verdana" w:cs="Arial"/>
              </w:rPr>
              <w:t>PN-EN 12606-1</w:t>
            </w:r>
          </w:p>
        </w:tc>
        <w:tc>
          <w:tcPr>
            <w:tcW w:w="8031" w:type="dxa"/>
          </w:tcPr>
          <w:p w:rsidR="00683496" w:rsidRPr="009040B8" w:rsidRDefault="00683496" w:rsidP="00683496">
            <w:pPr>
              <w:rPr>
                <w:rFonts w:ascii="Verdana" w:hAnsi="Verdana" w:cs="Arial"/>
              </w:rPr>
            </w:pPr>
            <w:r w:rsidRPr="009040B8">
              <w:rPr>
                <w:rFonts w:ascii="Verdana" w:hAnsi="Verdana" w:cs="Arial"/>
              </w:rPr>
              <w:t>Asfalty i produkty asfaltowe – Oznaczanie zawartości parafiny – Część 1: Metoda destylacyjna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lastRenderedPageBreak/>
              <w:t>31.</w:t>
            </w:r>
          </w:p>
        </w:tc>
        <w:tc>
          <w:tcPr>
            <w:tcW w:w="1473" w:type="dxa"/>
          </w:tcPr>
          <w:p w:rsidR="00683496" w:rsidRPr="009040B8" w:rsidRDefault="00683496" w:rsidP="00683496">
            <w:pPr>
              <w:rPr>
                <w:rFonts w:ascii="Verdana" w:hAnsi="Verdana" w:cs="Arial"/>
              </w:rPr>
            </w:pPr>
            <w:r w:rsidRPr="009040B8">
              <w:rPr>
                <w:rFonts w:ascii="Verdana" w:hAnsi="Verdana" w:cs="Arial"/>
              </w:rPr>
              <w:t>PN-EN 12607-1</w:t>
            </w:r>
          </w:p>
          <w:p w:rsidR="00683496" w:rsidRPr="009040B8" w:rsidRDefault="00683496" w:rsidP="00683496">
            <w:pPr>
              <w:rPr>
                <w:rFonts w:ascii="Verdana" w:hAnsi="Verdana" w:cs="Arial"/>
              </w:rPr>
            </w:pPr>
            <w:r w:rsidRPr="009040B8">
              <w:rPr>
                <w:rFonts w:ascii="Verdana" w:hAnsi="Verdana" w:cs="Arial"/>
              </w:rPr>
              <w:t>i</w:t>
            </w:r>
          </w:p>
          <w:p w:rsidR="00683496" w:rsidRPr="009040B8" w:rsidRDefault="00683496" w:rsidP="00683496">
            <w:pPr>
              <w:rPr>
                <w:rFonts w:ascii="Verdana" w:hAnsi="Verdana" w:cs="Arial"/>
              </w:rPr>
            </w:pPr>
            <w:r w:rsidRPr="009040B8">
              <w:rPr>
                <w:rFonts w:ascii="Verdana" w:hAnsi="Verdana" w:cs="Arial"/>
              </w:rPr>
              <w:t>PN-EN 12607-3</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Asfalty i produkty asfaltowe – Oznaczanie odporności na twardnienie pod wpływem ciepła i powietrza </w:t>
            </w:r>
            <w:r w:rsidRPr="009040B8">
              <w:rPr>
                <w:rFonts w:ascii="Verdana" w:hAnsi="Verdana" w:cs="Arial"/>
              </w:rPr>
              <w:br/>
              <w:t>– Część 1: Metoda RTFOT</w:t>
            </w:r>
          </w:p>
          <w:p w:rsidR="00683496" w:rsidRPr="009040B8" w:rsidRDefault="00683496" w:rsidP="00683496">
            <w:pPr>
              <w:rPr>
                <w:rFonts w:ascii="Verdana" w:hAnsi="Verdana" w:cs="Arial"/>
              </w:rPr>
            </w:pPr>
            <w:r w:rsidRPr="009040B8">
              <w:rPr>
                <w:rFonts w:ascii="Verdana" w:hAnsi="Verdana" w:cs="Arial"/>
              </w:rPr>
              <w:t>Jw. Część 3: Metoda RFT</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32.</w:t>
            </w:r>
          </w:p>
        </w:tc>
        <w:tc>
          <w:tcPr>
            <w:tcW w:w="1473" w:type="dxa"/>
          </w:tcPr>
          <w:p w:rsidR="00683496" w:rsidRPr="009040B8" w:rsidRDefault="00683496" w:rsidP="00683496">
            <w:pPr>
              <w:rPr>
                <w:rFonts w:ascii="Verdana" w:hAnsi="Verdana" w:cs="Arial"/>
              </w:rPr>
            </w:pPr>
            <w:r w:rsidRPr="009040B8">
              <w:rPr>
                <w:rFonts w:ascii="Verdana" w:hAnsi="Verdana" w:cs="Arial"/>
              </w:rPr>
              <w:t>PN-EN 12697-6</w:t>
            </w:r>
          </w:p>
        </w:tc>
        <w:tc>
          <w:tcPr>
            <w:tcW w:w="8031" w:type="dxa"/>
          </w:tcPr>
          <w:p w:rsidR="00683496" w:rsidRPr="009040B8" w:rsidRDefault="00683496" w:rsidP="00683496">
            <w:pPr>
              <w:rPr>
                <w:rFonts w:ascii="Verdana" w:hAnsi="Verdana" w:cs="Arial"/>
              </w:rPr>
            </w:pPr>
            <w:r w:rsidRPr="009040B8">
              <w:rPr>
                <w:rFonts w:ascii="Verdana" w:hAnsi="Verdana" w:cs="Arial"/>
              </w:rPr>
              <w:t>Mieszanki mineralno-asfaltowe – Metody badań mieszanek mineralno-asfaltowych na gorąco</w:t>
            </w:r>
            <w:r w:rsidRPr="009040B8">
              <w:rPr>
                <w:rFonts w:ascii="Verdana" w:hAnsi="Verdana" w:cs="Arial"/>
              </w:rPr>
              <w:br/>
              <w:t>– Część 6: Oznaczanie gęstości objętościowej metodą hydrostatyczną</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33.</w:t>
            </w:r>
          </w:p>
        </w:tc>
        <w:tc>
          <w:tcPr>
            <w:tcW w:w="1473" w:type="dxa"/>
          </w:tcPr>
          <w:p w:rsidR="00683496" w:rsidRPr="009040B8" w:rsidRDefault="00683496" w:rsidP="00683496">
            <w:pPr>
              <w:rPr>
                <w:rFonts w:ascii="Verdana" w:hAnsi="Verdana" w:cs="Arial"/>
              </w:rPr>
            </w:pPr>
            <w:r w:rsidRPr="009040B8">
              <w:rPr>
                <w:rFonts w:ascii="Verdana" w:hAnsi="Verdana" w:cs="Arial"/>
              </w:rPr>
              <w:t>PN-EN 12697-8</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8: Oznaczanie zawartości wolnej przestrzeni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34.</w:t>
            </w:r>
          </w:p>
        </w:tc>
        <w:tc>
          <w:tcPr>
            <w:tcW w:w="1473" w:type="dxa"/>
          </w:tcPr>
          <w:p w:rsidR="00683496" w:rsidRPr="009040B8" w:rsidRDefault="00683496" w:rsidP="00683496">
            <w:pPr>
              <w:rPr>
                <w:rFonts w:ascii="Verdana" w:hAnsi="Verdana" w:cs="Arial"/>
              </w:rPr>
            </w:pPr>
            <w:r w:rsidRPr="009040B8">
              <w:rPr>
                <w:rFonts w:ascii="Verdana" w:hAnsi="Verdana" w:cs="Arial"/>
              </w:rPr>
              <w:t>PN-EN 12697-11</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11: Określenie powiązania pomiędzy kruszywem i asfaltem</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35.</w:t>
            </w:r>
          </w:p>
        </w:tc>
        <w:tc>
          <w:tcPr>
            <w:tcW w:w="1473" w:type="dxa"/>
          </w:tcPr>
          <w:p w:rsidR="00683496" w:rsidRPr="009040B8" w:rsidRDefault="00683496" w:rsidP="00683496">
            <w:pPr>
              <w:rPr>
                <w:rFonts w:ascii="Verdana" w:hAnsi="Verdana" w:cs="Arial"/>
              </w:rPr>
            </w:pPr>
            <w:r w:rsidRPr="009040B8">
              <w:rPr>
                <w:rFonts w:ascii="Verdana" w:hAnsi="Verdana" w:cs="Arial"/>
              </w:rPr>
              <w:t>PN-EN 12697-12</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12: Określanie wrażliwości na wodę</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36.</w:t>
            </w:r>
          </w:p>
        </w:tc>
        <w:tc>
          <w:tcPr>
            <w:tcW w:w="1473" w:type="dxa"/>
          </w:tcPr>
          <w:p w:rsidR="00683496" w:rsidRPr="009040B8" w:rsidRDefault="00683496" w:rsidP="00683496">
            <w:pPr>
              <w:rPr>
                <w:rFonts w:ascii="Verdana" w:hAnsi="Verdana" w:cs="Arial"/>
              </w:rPr>
            </w:pPr>
            <w:r w:rsidRPr="009040B8">
              <w:rPr>
                <w:rFonts w:ascii="Verdana" w:hAnsi="Verdana" w:cs="Arial"/>
              </w:rPr>
              <w:t>PN-EN 12697-13</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13: Pomiar temperatury</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37.</w:t>
            </w:r>
          </w:p>
        </w:tc>
        <w:tc>
          <w:tcPr>
            <w:tcW w:w="1473" w:type="dxa"/>
          </w:tcPr>
          <w:p w:rsidR="00683496" w:rsidRPr="009040B8" w:rsidRDefault="00683496" w:rsidP="00683496">
            <w:pPr>
              <w:rPr>
                <w:rFonts w:ascii="Verdana" w:hAnsi="Verdana" w:cs="Arial"/>
              </w:rPr>
            </w:pPr>
            <w:r w:rsidRPr="009040B8">
              <w:rPr>
                <w:rFonts w:ascii="Verdana" w:hAnsi="Verdana" w:cs="Arial"/>
              </w:rPr>
              <w:t>PN-EN 12697-18</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18: Spływanie lepiszcza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38.</w:t>
            </w:r>
          </w:p>
        </w:tc>
        <w:tc>
          <w:tcPr>
            <w:tcW w:w="1473" w:type="dxa"/>
          </w:tcPr>
          <w:p w:rsidR="00683496" w:rsidRPr="009040B8" w:rsidRDefault="00683496" w:rsidP="00683496">
            <w:pPr>
              <w:rPr>
                <w:rFonts w:ascii="Verdana" w:hAnsi="Verdana" w:cs="Arial"/>
              </w:rPr>
            </w:pPr>
            <w:r w:rsidRPr="009040B8">
              <w:rPr>
                <w:rFonts w:ascii="Verdana" w:hAnsi="Verdana" w:cs="Arial"/>
              </w:rPr>
              <w:t>PN-EN 12697-22</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22: Koleinowanie</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39.</w:t>
            </w:r>
          </w:p>
        </w:tc>
        <w:tc>
          <w:tcPr>
            <w:tcW w:w="1473" w:type="dxa"/>
          </w:tcPr>
          <w:p w:rsidR="00683496" w:rsidRPr="009040B8" w:rsidRDefault="00683496" w:rsidP="00683496">
            <w:pPr>
              <w:rPr>
                <w:rFonts w:ascii="Verdana" w:hAnsi="Verdana" w:cs="Arial"/>
              </w:rPr>
            </w:pPr>
            <w:r w:rsidRPr="009040B8">
              <w:rPr>
                <w:rFonts w:ascii="Verdana" w:hAnsi="Verdana" w:cs="Arial"/>
              </w:rPr>
              <w:t>PN-EN 12697-27</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27: Pobieranie próbek</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40.</w:t>
            </w:r>
          </w:p>
        </w:tc>
        <w:tc>
          <w:tcPr>
            <w:tcW w:w="1473" w:type="dxa"/>
          </w:tcPr>
          <w:p w:rsidR="00683496" w:rsidRPr="009040B8" w:rsidRDefault="00683496" w:rsidP="00683496">
            <w:pPr>
              <w:rPr>
                <w:rFonts w:ascii="Verdana" w:hAnsi="Verdana" w:cs="Arial"/>
              </w:rPr>
            </w:pPr>
            <w:r w:rsidRPr="009040B8">
              <w:rPr>
                <w:rFonts w:ascii="Verdana" w:hAnsi="Verdana" w:cs="Arial"/>
              </w:rPr>
              <w:t>PN-EN 12697-36</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Mieszanki mineralno-asfaltowe – Metody badań mieszanek mineralno-asfaltowych na gorąco </w:t>
            </w:r>
            <w:r w:rsidRPr="009040B8">
              <w:rPr>
                <w:rFonts w:ascii="Verdana" w:hAnsi="Verdana" w:cs="Arial"/>
              </w:rPr>
              <w:br/>
              <w:t>– Część 36: Oznaczanie grubości nawierzchni asfaltowych</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41.</w:t>
            </w:r>
          </w:p>
        </w:tc>
        <w:tc>
          <w:tcPr>
            <w:tcW w:w="1473" w:type="dxa"/>
          </w:tcPr>
          <w:p w:rsidR="00683496" w:rsidRPr="009040B8" w:rsidRDefault="00683496" w:rsidP="00683496">
            <w:pPr>
              <w:rPr>
                <w:rFonts w:ascii="Verdana" w:hAnsi="Verdana" w:cs="Arial"/>
              </w:rPr>
            </w:pPr>
            <w:r w:rsidRPr="009040B8">
              <w:rPr>
                <w:rFonts w:ascii="Verdana" w:hAnsi="Verdana" w:cs="Arial"/>
              </w:rPr>
              <w:t>PN-EN 12846</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czasu wypływu emulsji asfaltowych lepkościomierzem wypływowym</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42.</w:t>
            </w:r>
          </w:p>
        </w:tc>
        <w:tc>
          <w:tcPr>
            <w:tcW w:w="1473" w:type="dxa"/>
          </w:tcPr>
          <w:p w:rsidR="00683496" w:rsidRPr="009040B8" w:rsidRDefault="00683496" w:rsidP="00683496">
            <w:pPr>
              <w:rPr>
                <w:rFonts w:ascii="Verdana" w:hAnsi="Verdana" w:cs="Arial"/>
              </w:rPr>
            </w:pPr>
            <w:r w:rsidRPr="009040B8">
              <w:rPr>
                <w:rFonts w:ascii="Verdana" w:hAnsi="Verdana" w:cs="Arial"/>
              </w:rPr>
              <w:t>PN-EN 12847</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sedymentacji emulsji asfaltowych</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43.</w:t>
            </w:r>
          </w:p>
        </w:tc>
        <w:tc>
          <w:tcPr>
            <w:tcW w:w="1473" w:type="dxa"/>
          </w:tcPr>
          <w:p w:rsidR="00683496" w:rsidRPr="009040B8" w:rsidRDefault="00683496" w:rsidP="00683496">
            <w:pPr>
              <w:rPr>
                <w:rFonts w:ascii="Verdana" w:hAnsi="Verdana" w:cs="Arial"/>
              </w:rPr>
            </w:pPr>
            <w:r w:rsidRPr="009040B8">
              <w:rPr>
                <w:rFonts w:ascii="Verdana" w:hAnsi="Verdana" w:cs="Arial"/>
              </w:rPr>
              <w:t>PN-EN 12850</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Asfalty i lepiszcza asfaltowe – Oznaczanie wartości </w:t>
            </w:r>
            <w:proofErr w:type="spellStart"/>
            <w:r w:rsidRPr="009040B8">
              <w:rPr>
                <w:rFonts w:ascii="Verdana" w:hAnsi="Verdana" w:cs="Arial"/>
              </w:rPr>
              <w:t>pH</w:t>
            </w:r>
            <w:proofErr w:type="spellEnd"/>
            <w:r w:rsidRPr="009040B8">
              <w:rPr>
                <w:rFonts w:ascii="Verdana" w:hAnsi="Verdana" w:cs="Arial"/>
              </w:rPr>
              <w:t xml:space="preserve"> emulsji asfaltowych</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44.</w:t>
            </w:r>
          </w:p>
        </w:tc>
        <w:tc>
          <w:tcPr>
            <w:tcW w:w="1473" w:type="dxa"/>
          </w:tcPr>
          <w:p w:rsidR="00683496" w:rsidRPr="009040B8" w:rsidRDefault="00683496" w:rsidP="00683496">
            <w:pPr>
              <w:rPr>
                <w:rFonts w:ascii="Verdana" w:hAnsi="Verdana" w:cs="Arial"/>
              </w:rPr>
            </w:pPr>
            <w:r w:rsidRPr="009040B8">
              <w:rPr>
                <w:rFonts w:ascii="Verdana" w:hAnsi="Verdana" w:cs="Arial"/>
              </w:rPr>
              <w:t>PN-EN 13043</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Kruszywa do mieszanek bitumicznych i powierzchniowych utrwaleń stosowanych na drogach, lotniskach </w:t>
            </w:r>
            <w:r w:rsidRPr="009040B8">
              <w:rPr>
                <w:rFonts w:ascii="Verdana" w:hAnsi="Verdana" w:cs="Arial"/>
              </w:rPr>
              <w:br/>
              <w:t>i innych powierzchniach przeznaczonych do ruchu</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45.</w:t>
            </w:r>
          </w:p>
        </w:tc>
        <w:tc>
          <w:tcPr>
            <w:tcW w:w="1473" w:type="dxa"/>
          </w:tcPr>
          <w:p w:rsidR="00683496" w:rsidRPr="009040B8" w:rsidRDefault="00683496" w:rsidP="00683496">
            <w:pPr>
              <w:rPr>
                <w:rFonts w:ascii="Verdana" w:hAnsi="Verdana" w:cs="Arial"/>
              </w:rPr>
            </w:pPr>
            <w:r w:rsidRPr="009040B8">
              <w:rPr>
                <w:rFonts w:ascii="Verdana" w:hAnsi="Verdana" w:cs="Arial"/>
              </w:rPr>
              <w:t>PN-EN 13074</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lepiszczy z emulsji asfaltowych przez odparowanie</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46.</w:t>
            </w:r>
          </w:p>
        </w:tc>
        <w:tc>
          <w:tcPr>
            <w:tcW w:w="1473" w:type="dxa"/>
          </w:tcPr>
          <w:p w:rsidR="00683496" w:rsidRPr="009040B8" w:rsidRDefault="00683496" w:rsidP="00683496">
            <w:pPr>
              <w:rPr>
                <w:rFonts w:ascii="Verdana" w:hAnsi="Verdana" w:cs="Arial"/>
              </w:rPr>
            </w:pPr>
            <w:r w:rsidRPr="009040B8">
              <w:rPr>
                <w:rFonts w:ascii="Verdana" w:hAnsi="Verdana" w:cs="Arial"/>
              </w:rPr>
              <w:t>PN-EN 13075-1</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Badanie rozpadu – Część 1: Oznaczanie indeksu rozpadu kationowych emulsji asfaltowych, metoda z wypełniaczem mineralnym</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47.</w:t>
            </w:r>
          </w:p>
        </w:tc>
        <w:tc>
          <w:tcPr>
            <w:tcW w:w="1473" w:type="dxa"/>
          </w:tcPr>
          <w:p w:rsidR="00683496" w:rsidRPr="009040B8" w:rsidRDefault="00683496" w:rsidP="00683496">
            <w:pPr>
              <w:rPr>
                <w:rFonts w:ascii="Verdana" w:hAnsi="Verdana" w:cs="Arial"/>
              </w:rPr>
            </w:pPr>
            <w:r w:rsidRPr="009040B8">
              <w:rPr>
                <w:rFonts w:ascii="Verdana" w:hAnsi="Verdana" w:cs="Arial"/>
              </w:rPr>
              <w:t>PN-EN 13108-1</w:t>
            </w:r>
          </w:p>
        </w:tc>
        <w:tc>
          <w:tcPr>
            <w:tcW w:w="8031" w:type="dxa"/>
          </w:tcPr>
          <w:p w:rsidR="00683496" w:rsidRPr="009040B8" w:rsidRDefault="00683496" w:rsidP="00683496">
            <w:pPr>
              <w:rPr>
                <w:rFonts w:ascii="Verdana" w:hAnsi="Verdana" w:cs="Arial"/>
              </w:rPr>
            </w:pPr>
            <w:r w:rsidRPr="009040B8">
              <w:rPr>
                <w:rFonts w:ascii="Verdana" w:hAnsi="Verdana" w:cs="Arial"/>
              </w:rPr>
              <w:t>Mieszanki mineralno-asfaltowe – Wymagania – Część 1: Beton Asfaltowy</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48.</w:t>
            </w:r>
          </w:p>
        </w:tc>
        <w:tc>
          <w:tcPr>
            <w:tcW w:w="1473" w:type="dxa"/>
          </w:tcPr>
          <w:p w:rsidR="00683496" w:rsidRPr="009040B8" w:rsidRDefault="00683496" w:rsidP="00683496">
            <w:pPr>
              <w:rPr>
                <w:rFonts w:ascii="Verdana" w:hAnsi="Verdana" w:cs="Arial"/>
              </w:rPr>
            </w:pPr>
            <w:r w:rsidRPr="009040B8">
              <w:rPr>
                <w:rFonts w:ascii="Verdana" w:hAnsi="Verdana" w:cs="Arial"/>
              </w:rPr>
              <w:t>PN-EN 13108-20</w:t>
            </w:r>
          </w:p>
        </w:tc>
        <w:tc>
          <w:tcPr>
            <w:tcW w:w="8031" w:type="dxa"/>
          </w:tcPr>
          <w:p w:rsidR="00683496" w:rsidRPr="009040B8" w:rsidRDefault="00683496" w:rsidP="00683496">
            <w:pPr>
              <w:rPr>
                <w:rFonts w:ascii="Verdana" w:hAnsi="Verdana" w:cs="Arial"/>
              </w:rPr>
            </w:pPr>
            <w:r w:rsidRPr="009040B8">
              <w:rPr>
                <w:rFonts w:ascii="Verdana" w:hAnsi="Verdana" w:cs="Arial"/>
              </w:rPr>
              <w:t>Mieszanki mineralno-asfaltowe – Wymagania – Część 20: Badanie typu</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49.</w:t>
            </w:r>
          </w:p>
        </w:tc>
        <w:tc>
          <w:tcPr>
            <w:tcW w:w="1473" w:type="dxa"/>
          </w:tcPr>
          <w:p w:rsidR="00683496" w:rsidRPr="009040B8" w:rsidRDefault="00683496" w:rsidP="00683496">
            <w:pPr>
              <w:rPr>
                <w:rFonts w:ascii="Verdana" w:hAnsi="Verdana" w:cs="Arial"/>
              </w:rPr>
            </w:pPr>
            <w:r w:rsidRPr="009040B8">
              <w:rPr>
                <w:rFonts w:ascii="Verdana" w:hAnsi="Verdana" w:cs="Arial"/>
              </w:rPr>
              <w:t>PN-EN 13179-1</w:t>
            </w:r>
          </w:p>
        </w:tc>
        <w:tc>
          <w:tcPr>
            <w:tcW w:w="8031" w:type="dxa"/>
          </w:tcPr>
          <w:p w:rsidR="00683496" w:rsidRPr="009040B8" w:rsidRDefault="00683496" w:rsidP="00683496">
            <w:pPr>
              <w:rPr>
                <w:rFonts w:ascii="Verdana" w:hAnsi="Verdana" w:cs="Arial"/>
              </w:rPr>
            </w:pPr>
            <w:r w:rsidRPr="009040B8">
              <w:rPr>
                <w:rFonts w:ascii="Verdana" w:hAnsi="Verdana" w:cs="Arial"/>
              </w:rPr>
              <w:t>Badania kruszyw wypełniających stosowanych do mieszanek bitumicznych – Część 1: Badanie metodą Pierścienia i Kuli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50.</w:t>
            </w:r>
          </w:p>
        </w:tc>
        <w:tc>
          <w:tcPr>
            <w:tcW w:w="1473" w:type="dxa"/>
          </w:tcPr>
          <w:p w:rsidR="00683496" w:rsidRPr="009040B8" w:rsidRDefault="00683496" w:rsidP="00683496">
            <w:pPr>
              <w:rPr>
                <w:rFonts w:ascii="Verdana" w:hAnsi="Verdana" w:cs="Arial"/>
              </w:rPr>
            </w:pPr>
            <w:r w:rsidRPr="009040B8">
              <w:rPr>
                <w:rFonts w:ascii="Verdana" w:hAnsi="Verdana" w:cs="Arial"/>
              </w:rPr>
              <w:t>PN-EN 13179-2</w:t>
            </w:r>
          </w:p>
        </w:tc>
        <w:tc>
          <w:tcPr>
            <w:tcW w:w="8031" w:type="dxa"/>
          </w:tcPr>
          <w:p w:rsidR="00683496" w:rsidRPr="009040B8" w:rsidRDefault="00683496" w:rsidP="00683496">
            <w:pPr>
              <w:rPr>
                <w:rFonts w:ascii="Verdana" w:hAnsi="Verdana" w:cs="Arial"/>
              </w:rPr>
            </w:pPr>
            <w:r w:rsidRPr="009040B8">
              <w:rPr>
                <w:rFonts w:ascii="Verdana" w:hAnsi="Verdana" w:cs="Arial"/>
              </w:rPr>
              <w:t>Badania kruszyw wypełniających stosowanych do mieszanek bitumicznych – Część 2: Liczba bitumiczna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51.</w:t>
            </w:r>
          </w:p>
        </w:tc>
        <w:tc>
          <w:tcPr>
            <w:tcW w:w="1473" w:type="dxa"/>
          </w:tcPr>
          <w:p w:rsidR="00683496" w:rsidRPr="009040B8" w:rsidRDefault="00683496" w:rsidP="00683496">
            <w:pPr>
              <w:rPr>
                <w:rFonts w:ascii="Verdana" w:hAnsi="Verdana" w:cs="Arial"/>
              </w:rPr>
            </w:pPr>
            <w:r w:rsidRPr="009040B8">
              <w:rPr>
                <w:rFonts w:ascii="Verdana" w:hAnsi="Verdana" w:cs="Arial"/>
              </w:rPr>
              <w:t>PN-EN 13398</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nawrotu sprężystego asfaltów modyfikowanych</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52.</w:t>
            </w:r>
          </w:p>
        </w:tc>
        <w:tc>
          <w:tcPr>
            <w:tcW w:w="1473" w:type="dxa"/>
          </w:tcPr>
          <w:p w:rsidR="00683496" w:rsidRPr="009040B8" w:rsidRDefault="00683496" w:rsidP="00683496">
            <w:pPr>
              <w:rPr>
                <w:rFonts w:ascii="Verdana" w:hAnsi="Verdana" w:cs="Arial"/>
              </w:rPr>
            </w:pPr>
            <w:r w:rsidRPr="009040B8">
              <w:rPr>
                <w:rFonts w:ascii="Verdana" w:hAnsi="Verdana" w:cs="Arial"/>
              </w:rPr>
              <w:t>PN-EN 13399</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odporności na magazynowanie modyfikowanych asfaltów</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lastRenderedPageBreak/>
              <w:t>53.</w:t>
            </w:r>
          </w:p>
        </w:tc>
        <w:tc>
          <w:tcPr>
            <w:tcW w:w="1473" w:type="dxa"/>
          </w:tcPr>
          <w:p w:rsidR="00683496" w:rsidRPr="009040B8" w:rsidRDefault="00683496" w:rsidP="00683496">
            <w:pPr>
              <w:rPr>
                <w:rFonts w:ascii="Verdana" w:hAnsi="Verdana" w:cs="Arial"/>
              </w:rPr>
            </w:pPr>
            <w:r w:rsidRPr="009040B8">
              <w:rPr>
                <w:rFonts w:ascii="Verdana" w:hAnsi="Verdana" w:cs="Arial"/>
              </w:rPr>
              <w:t>PN-EN 13587</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ciągliwości lepiszczy asfaltowych metodą pomiaru ciągliwości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54.</w:t>
            </w:r>
          </w:p>
        </w:tc>
        <w:tc>
          <w:tcPr>
            <w:tcW w:w="1473" w:type="dxa"/>
          </w:tcPr>
          <w:p w:rsidR="00683496" w:rsidRPr="009040B8" w:rsidRDefault="00683496" w:rsidP="00683496">
            <w:pPr>
              <w:rPr>
                <w:rFonts w:ascii="Verdana" w:hAnsi="Verdana" w:cs="Arial"/>
              </w:rPr>
            </w:pPr>
            <w:r w:rsidRPr="009040B8">
              <w:rPr>
                <w:rFonts w:ascii="Verdana" w:hAnsi="Verdana" w:cs="Arial"/>
              </w:rPr>
              <w:t>PN-EN 13588</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kohezji lepiszczy asfaltowych metodą testu wahadłowego</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55.</w:t>
            </w:r>
          </w:p>
        </w:tc>
        <w:tc>
          <w:tcPr>
            <w:tcW w:w="1473" w:type="dxa"/>
          </w:tcPr>
          <w:p w:rsidR="00683496" w:rsidRPr="009040B8" w:rsidRDefault="00683496" w:rsidP="00683496">
            <w:pPr>
              <w:rPr>
                <w:rFonts w:ascii="Verdana" w:hAnsi="Verdana" w:cs="Arial"/>
              </w:rPr>
            </w:pPr>
            <w:r w:rsidRPr="009040B8">
              <w:rPr>
                <w:rFonts w:ascii="Verdana" w:hAnsi="Verdana" w:cs="Arial"/>
              </w:rPr>
              <w:t>PN-EN 13589</w:t>
            </w:r>
          </w:p>
        </w:tc>
        <w:tc>
          <w:tcPr>
            <w:tcW w:w="8031" w:type="dxa"/>
          </w:tcPr>
          <w:p w:rsidR="00683496" w:rsidRPr="009040B8" w:rsidRDefault="00683496" w:rsidP="00683496">
            <w:pPr>
              <w:rPr>
                <w:rFonts w:ascii="Verdana" w:hAnsi="Verdana" w:cs="Arial"/>
              </w:rPr>
            </w:pPr>
            <w:r w:rsidRPr="009040B8">
              <w:rPr>
                <w:rFonts w:ascii="Verdana" w:hAnsi="Verdana" w:cs="Arial"/>
              </w:rPr>
              <w:t xml:space="preserve">Asfalty i lepiszcza asfaltowe – Oznaczanie ciągliwości modyfikowanych asfaltów – Metoda z </w:t>
            </w:r>
            <w:proofErr w:type="spellStart"/>
            <w:r w:rsidRPr="009040B8">
              <w:rPr>
                <w:rFonts w:ascii="Verdana" w:hAnsi="Verdana" w:cs="Arial"/>
              </w:rPr>
              <w:t>duktylometrem</w:t>
            </w:r>
            <w:proofErr w:type="spellEnd"/>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56.</w:t>
            </w:r>
          </w:p>
        </w:tc>
        <w:tc>
          <w:tcPr>
            <w:tcW w:w="1473" w:type="dxa"/>
          </w:tcPr>
          <w:p w:rsidR="00683496" w:rsidRPr="009040B8" w:rsidRDefault="00683496" w:rsidP="00683496">
            <w:pPr>
              <w:rPr>
                <w:rFonts w:ascii="Verdana" w:hAnsi="Verdana" w:cs="Arial"/>
              </w:rPr>
            </w:pPr>
            <w:r w:rsidRPr="009040B8">
              <w:rPr>
                <w:rFonts w:ascii="Verdana" w:hAnsi="Verdana" w:cs="Arial"/>
              </w:rPr>
              <w:t>PN-EN 13614</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przyczepności emulsji bitumicznych przez zanurzenie w wodzie – Metoda z kruszywem</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57.</w:t>
            </w:r>
          </w:p>
        </w:tc>
        <w:tc>
          <w:tcPr>
            <w:tcW w:w="1473" w:type="dxa"/>
          </w:tcPr>
          <w:p w:rsidR="00683496" w:rsidRPr="009040B8" w:rsidRDefault="00683496" w:rsidP="00683496">
            <w:pPr>
              <w:rPr>
                <w:rFonts w:ascii="Verdana" w:hAnsi="Verdana" w:cs="Arial"/>
              </w:rPr>
            </w:pPr>
            <w:r w:rsidRPr="009040B8">
              <w:rPr>
                <w:rFonts w:ascii="Verdana" w:hAnsi="Verdana" w:cs="Arial"/>
              </w:rPr>
              <w:t>PN-EN 13703</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Oznaczanie energii deformacji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58.</w:t>
            </w:r>
          </w:p>
        </w:tc>
        <w:tc>
          <w:tcPr>
            <w:tcW w:w="1473" w:type="dxa"/>
          </w:tcPr>
          <w:p w:rsidR="00683496" w:rsidRPr="009040B8" w:rsidRDefault="00683496" w:rsidP="00683496">
            <w:pPr>
              <w:rPr>
                <w:rFonts w:ascii="Verdana" w:hAnsi="Verdana" w:cs="Arial"/>
              </w:rPr>
            </w:pPr>
            <w:r w:rsidRPr="009040B8">
              <w:rPr>
                <w:rFonts w:ascii="Verdana" w:hAnsi="Verdana" w:cs="Arial"/>
              </w:rPr>
              <w:t>PN-EN 13808</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Zasady specyfikacji kationowych emulsji asfaltowych</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59.</w:t>
            </w:r>
          </w:p>
        </w:tc>
        <w:tc>
          <w:tcPr>
            <w:tcW w:w="1473" w:type="dxa"/>
          </w:tcPr>
          <w:p w:rsidR="00683496" w:rsidRPr="009040B8" w:rsidRDefault="00683496" w:rsidP="00683496">
            <w:pPr>
              <w:rPr>
                <w:rFonts w:ascii="Verdana" w:hAnsi="Verdana" w:cs="Arial"/>
              </w:rPr>
            </w:pPr>
            <w:r w:rsidRPr="009040B8">
              <w:rPr>
                <w:rFonts w:ascii="Verdana" w:hAnsi="Verdana" w:cs="Arial"/>
              </w:rPr>
              <w:t>PN-EN 14023</w:t>
            </w:r>
          </w:p>
        </w:tc>
        <w:tc>
          <w:tcPr>
            <w:tcW w:w="8031" w:type="dxa"/>
          </w:tcPr>
          <w:p w:rsidR="00683496" w:rsidRPr="009040B8" w:rsidRDefault="00683496" w:rsidP="00683496">
            <w:pPr>
              <w:rPr>
                <w:rFonts w:ascii="Verdana" w:hAnsi="Verdana" w:cs="Arial"/>
              </w:rPr>
            </w:pPr>
            <w:r w:rsidRPr="009040B8">
              <w:rPr>
                <w:rFonts w:ascii="Verdana" w:hAnsi="Verdana" w:cs="Arial"/>
              </w:rPr>
              <w:t>Asfalty i lepiszcza asfaltowe – Zasady specyfikacji asfaltów modyfikowanych polimerami</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60.</w:t>
            </w:r>
          </w:p>
        </w:tc>
        <w:tc>
          <w:tcPr>
            <w:tcW w:w="1473" w:type="dxa"/>
          </w:tcPr>
          <w:p w:rsidR="00683496" w:rsidRPr="009040B8" w:rsidRDefault="00683496" w:rsidP="00683496">
            <w:pPr>
              <w:rPr>
                <w:rFonts w:ascii="Verdana" w:hAnsi="Verdana" w:cs="Arial"/>
              </w:rPr>
            </w:pPr>
            <w:r w:rsidRPr="009040B8">
              <w:rPr>
                <w:rFonts w:ascii="Verdana" w:hAnsi="Verdana" w:cs="Arial"/>
              </w:rPr>
              <w:t>PN-EN 14188-1</w:t>
            </w:r>
          </w:p>
        </w:tc>
        <w:tc>
          <w:tcPr>
            <w:tcW w:w="8031" w:type="dxa"/>
          </w:tcPr>
          <w:p w:rsidR="00683496" w:rsidRPr="009040B8" w:rsidRDefault="00683496" w:rsidP="00683496">
            <w:pPr>
              <w:rPr>
                <w:rFonts w:ascii="Verdana" w:hAnsi="Verdana" w:cs="Arial"/>
              </w:rPr>
            </w:pPr>
            <w:r w:rsidRPr="009040B8">
              <w:rPr>
                <w:rFonts w:ascii="Verdana" w:hAnsi="Verdana" w:cs="Arial"/>
              </w:rPr>
              <w:t>Wypełniacze złączy i zalewy – Część 1: Specyfikacja zalew na gorąco</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61.</w:t>
            </w:r>
          </w:p>
        </w:tc>
        <w:tc>
          <w:tcPr>
            <w:tcW w:w="1473" w:type="dxa"/>
          </w:tcPr>
          <w:p w:rsidR="00683496" w:rsidRPr="009040B8" w:rsidRDefault="00683496" w:rsidP="00683496">
            <w:pPr>
              <w:rPr>
                <w:rFonts w:ascii="Verdana" w:hAnsi="Verdana" w:cs="Arial"/>
              </w:rPr>
            </w:pPr>
            <w:r w:rsidRPr="009040B8">
              <w:rPr>
                <w:rFonts w:ascii="Verdana" w:hAnsi="Verdana" w:cs="Arial"/>
              </w:rPr>
              <w:t>PN-EN 14188-2</w:t>
            </w:r>
          </w:p>
        </w:tc>
        <w:tc>
          <w:tcPr>
            <w:tcW w:w="8031" w:type="dxa"/>
          </w:tcPr>
          <w:p w:rsidR="00683496" w:rsidRPr="009040B8" w:rsidRDefault="00683496" w:rsidP="00683496">
            <w:pPr>
              <w:rPr>
                <w:rFonts w:ascii="Verdana" w:hAnsi="Verdana" w:cs="Arial"/>
              </w:rPr>
            </w:pPr>
            <w:r w:rsidRPr="009040B8">
              <w:rPr>
                <w:rFonts w:ascii="Verdana" w:hAnsi="Verdana" w:cs="Arial"/>
              </w:rPr>
              <w:t>Wypełniacze złączy i zalewy – Część 2: Specyfikacja zalew na zimno</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62.</w:t>
            </w:r>
          </w:p>
        </w:tc>
        <w:tc>
          <w:tcPr>
            <w:tcW w:w="1473" w:type="dxa"/>
          </w:tcPr>
          <w:p w:rsidR="00683496" w:rsidRPr="009040B8" w:rsidRDefault="00683496" w:rsidP="00683496">
            <w:pPr>
              <w:rPr>
                <w:rFonts w:ascii="Verdana" w:hAnsi="Verdana" w:cs="Arial"/>
              </w:rPr>
            </w:pPr>
            <w:r w:rsidRPr="009040B8">
              <w:rPr>
                <w:rFonts w:ascii="Verdana" w:hAnsi="Verdana" w:cs="Arial"/>
              </w:rPr>
              <w:t>PN-EN 22592</w:t>
            </w:r>
          </w:p>
        </w:tc>
        <w:tc>
          <w:tcPr>
            <w:tcW w:w="8031" w:type="dxa"/>
          </w:tcPr>
          <w:p w:rsidR="00683496" w:rsidRPr="009040B8" w:rsidRDefault="00683496" w:rsidP="00683496">
            <w:pPr>
              <w:rPr>
                <w:rFonts w:ascii="Verdana" w:hAnsi="Verdana" w:cs="Arial"/>
              </w:rPr>
            </w:pPr>
            <w:r w:rsidRPr="009040B8">
              <w:rPr>
                <w:rFonts w:ascii="Verdana" w:hAnsi="Verdana" w:cs="Arial"/>
              </w:rPr>
              <w:t>Przetwory naftowe – Oznaczanie temperatury zapłonu i palenia – Pomiar metodą otwartego tygla Clevelanda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63.</w:t>
            </w:r>
          </w:p>
        </w:tc>
        <w:tc>
          <w:tcPr>
            <w:tcW w:w="1473" w:type="dxa"/>
          </w:tcPr>
          <w:p w:rsidR="00683496" w:rsidRPr="009040B8" w:rsidRDefault="00683496" w:rsidP="00683496">
            <w:pPr>
              <w:rPr>
                <w:rFonts w:ascii="Verdana" w:hAnsi="Verdana" w:cs="Arial"/>
              </w:rPr>
            </w:pPr>
            <w:r w:rsidRPr="009040B8">
              <w:rPr>
                <w:rFonts w:ascii="Verdana" w:hAnsi="Verdana" w:cs="Arial"/>
              </w:rPr>
              <w:t>PN-EN ISO 2592</w:t>
            </w:r>
          </w:p>
        </w:tc>
        <w:tc>
          <w:tcPr>
            <w:tcW w:w="8031" w:type="dxa"/>
          </w:tcPr>
          <w:p w:rsidR="00683496" w:rsidRPr="009040B8" w:rsidRDefault="00683496" w:rsidP="00683496">
            <w:pPr>
              <w:rPr>
                <w:rFonts w:ascii="Verdana" w:hAnsi="Verdana" w:cs="Arial"/>
              </w:rPr>
            </w:pPr>
            <w:r w:rsidRPr="009040B8">
              <w:rPr>
                <w:rFonts w:ascii="Verdana" w:hAnsi="Verdana" w:cs="Arial"/>
              </w:rPr>
              <w:t>Oznaczanie temperatury zapłonu i palenia – Metoda otwartego tygla Clevelanda</w:t>
            </w:r>
          </w:p>
        </w:tc>
      </w:tr>
      <w:tr w:rsidR="00683496" w:rsidRPr="009040B8" w:rsidTr="00683496">
        <w:tc>
          <w:tcPr>
            <w:tcW w:w="534" w:type="dxa"/>
          </w:tcPr>
          <w:p w:rsidR="00683496" w:rsidRPr="009040B8" w:rsidRDefault="00683496" w:rsidP="00683496">
            <w:pPr>
              <w:jc w:val="right"/>
              <w:rPr>
                <w:rFonts w:ascii="Verdana" w:hAnsi="Verdana" w:cs="Arial"/>
              </w:rPr>
            </w:pPr>
            <w:r w:rsidRPr="009040B8">
              <w:rPr>
                <w:rFonts w:ascii="Verdana" w:hAnsi="Verdana" w:cs="Arial"/>
              </w:rPr>
              <w:t>63.1.</w:t>
            </w:r>
          </w:p>
        </w:tc>
        <w:tc>
          <w:tcPr>
            <w:tcW w:w="1473" w:type="dxa"/>
          </w:tcPr>
          <w:p w:rsidR="00683496" w:rsidRPr="009040B8" w:rsidRDefault="00683496" w:rsidP="00683496">
            <w:pPr>
              <w:rPr>
                <w:rFonts w:ascii="Verdana" w:hAnsi="Verdana" w:cs="Arial"/>
              </w:rPr>
            </w:pPr>
            <w:r w:rsidRPr="009040B8">
              <w:rPr>
                <w:rFonts w:ascii="Verdana" w:hAnsi="Verdana" w:cs="Arial"/>
              </w:rPr>
              <w:t>PN-EN 13108-21</w:t>
            </w:r>
          </w:p>
        </w:tc>
        <w:tc>
          <w:tcPr>
            <w:tcW w:w="8031" w:type="dxa"/>
          </w:tcPr>
          <w:p w:rsidR="00683496" w:rsidRPr="009040B8" w:rsidRDefault="00683496" w:rsidP="00683496">
            <w:pPr>
              <w:rPr>
                <w:rFonts w:ascii="Verdana" w:hAnsi="Verdana" w:cs="Arial"/>
              </w:rPr>
            </w:pPr>
            <w:r w:rsidRPr="009040B8">
              <w:rPr>
                <w:rFonts w:ascii="Verdana" w:hAnsi="Verdana" w:cs="Arial"/>
              </w:rPr>
              <w:t>Mieszanki mineralno-asfaltowe – Wymagania – Część 21: Zakładowa Kontrola Produkcji</w:t>
            </w:r>
          </w:p>
        </w:tc>
      </w:tr>
      <w:tr w:rsidR="00683496" w:rsidRPr="009040B8" w:rsidTr="00683496">
        <w:tc>
          <w:tcPr>
            <w:tcW w:w="534" w:type="dxa"/>
          </w:tcPr>
          <w:p w:rsidR="00683496" w:rsidRPr="009040B8" w:rsidRDefault="00683496" w:rsidP="00683496">
            <w:pPr>
              <w:rPr>
                <w:rFonts w:ascii="Verdana" w:hAnsi="Verdana" w:cs="Arial"/>
              </w:rPr>
            </w:pPr>
          </w:p>
        </w:tc>
        <w:tc>
          <w:tcPr>
            <w:tcW w:w="1473" w:type="dxa"/>
          </w:tcPr>
          <w:p w:rsidR="00683496" w:rsidRPr="009040B8" w:rsidRDefault="00683496" w:rsidP="00683496">
            <w:pPr>
              <w:rPr>
                <w:rFonts w:ascii="Verdana" w:hAnsi="Verdana" w:cs="Arial"/>
              </w:rPr>
            </w:pPr>
          </w:p>
        </w:tc>
        <w:tc>
          <w:tcPr>
            <w:tcW w:w="8031" w:type="dxa"/>
          </w:tcPr>
          <w:p w:rsidR="00683496" w:rsidRPr="009040B8" w:rsidRDefault="00683496" w:rsidP="00683496">
            <w:pPr>
              <w:rPr>
                <w:rFonts w:ascii="Verdana" w:hAnsi="Verdana" w:cs="Arial"/>
              </w:rPr>
            </w:pPr>
          </w:p>
        </w:tc>
      </w:tr>
    </w:tbl>
    <w:p w:rsidR="00683496" w:rsidRPr="006D2270" w:rsidRDefault="00683496" w:rsidP="00683496">
      <w:pPr>
        <w:keepNext/>
        <w:outlineLvl w:val="1"/>
        <w:rPr>
          <w:rFonts w:ascii="Verdana" w:hAnsi="Verdana" w:cs="Arial"/>
          <w:b/>
          <w:bCs/>
          <w:iCs/>
        </w:rPr>
      </w:pPr>
      <w:r w:rsidRPr="006D2270">
        <w:rPr>
          <w:rFonts w:ascii="Verdana" w:hAnsi="Verdana" w:cs="Arial"/>
          <w:b/>
          <w:bCs/>
          <w:iCs/>
        </w:rPr>
        <w:t xml:space="preserve">10.3. Wymagania techniczne </w:t>
      </w:r>
    </w:p>
    <w:p w:rsidR="00683496" w:rsidRPr="00683496" w:rsidRDefault="00683496" w:rsidP="002122BD">
      <w:pPr>
        <w:numPr>
          <w:ilvl w:val="0"/>
          <w:numId w:val="45"/>
        </w:numPr>
        <w:tabs>
          <w:tab w:val="num" w:pos="426"/>
        </w:tabs>
        <w:overflowPunct w:val="0"/>
        <w:autoSpaceDE w:val="0"/>
        <w:autoSpaceDN w:val="0"/>
        <w:adjustRightInd w:val="0"/>
        <w:ind w:left="426" w:hanging="426"/>
        <w:jc w:val="both"/>
        <w:textAlignment w:val="baseline"/>
        <w:rPr>
          <w:sz w:val="22"/>
          <w:szCs w:val="22"/>
        </w:rPr>
      </w:pPr>
      <w:r w:rsidRPr="00683496">
        <w:rPr>
          <w:sz w:val="22"/>
          <w:szCs w:val="22"/>
        </w:rPr>
        <w:t xml:space="preserve">WT-1 2014 Kruszywa do mieszanek mineralno-asfaltowych i powierzchniowych utrwaleń na drogach krajowych Wymagania Techniczne, </w:t>
      </w:r>
      <w:r w:rsidRPr="00683496">
        <w:rPr>
          <w:rStyle w:val="FontStyle81"/>
          <w:rFonts w:ascii="Times New Roman" w:hAnsi="Times New Roman" w:cs="Times New Roman"/>
          <w:sz w:val="22"/>
          <w:szCs w:val="22"/>
        </w:rPr>
        <w:t>Załącznik do zarządzenia nr 46 Generalnego Dyrektora Dróg Krajowych i Autostrad z dnia 25.09.2014 r.,</w:t>
      </w:r>
    </w:p>
    <w:p w:rsidR="00683496" w:rsidRPr="00683496" w:rsidRDefault="00683496" w:rsidP="002122BD">
      <w:pPr>
        <w:numPr>
          <w:ilvl w:val="0"/>
          <w:numId w:val="45"/>
        </w:numPr>
        <w:tabs>
          <w:tab w:val="num" w:pos="426"/>
        </w:tabs>
        <w:overflowPunct w:val="0"/>
        <w:autoSpaceDE w:val="0"/>
        <w:autoSpaceDN w:val="0"/>
        <w:adjustRightInd w:val="0"/>
        <w:ind w:left="426" w:hanging="426"/>
        <w:jc w:val="both"/>
        <w:textAlignment w:val="baseline"/>
        <w:rPr>
          <w:sz w:val="22"/>
          <w:szCs w:val="22"/>
        </w:rPr>
      </w:pPr>
      <w:r w:rsidRPr="00683496">
        <w:rPr>
          <w:sz w:val="22"/>
          <w:szCs w:val="22"/>
        </w:rPr>
        <w:t xml:space="preserve">WT-2 2014-część I Nawierzchnie asfaltowe na drogach krajowych Mieszanki mineralno-asfaltowe Wymagania Techniczne, </w:t>
      </w:r>
      <w:r w:rsidRPr="00683496">
        <w:rPr>
          <w:rStyle w:val="FontStyle81"/>
          <w:rFonts w:ascii="Times New Roman" w:hAnsi="Times New Roman" w:cs="Times New Roman"/>
          <w:sz w:val="22"/>
          <w:szCs w:val="22"/>
        </w:rPr>
        <w:t>Załącznik do zarządzenia nr 54 Generalnego Dyrektora Dróg Krajowych i Autostrad z dnia 18.11.2014 r.</w:t>
      </w:r>
      <w:r w:rsidRPr="00683496">
        <w:rPr>
          <w:sz w:val="22"/>
          <w:szCs w:val="22"/>
        </w:rPr>
        <w:t>,</w:t>
      </w:r>
    </w:p>
    <w:p w:rsidR="00683496" w:rsidRPr="00683496" w:rsidRDefault="00683496" w:rsidP="002122BD">
      <w:pPr>
        <w:numPr>
          <w:ilvl w:val="0"/>
          <w:numId w:val="45"/>
        </w:numPr>
        <w:tabs>
          <w:tab w:val="left" w:pos="426"/>
        </w:tabs>
        <w:rPr>
          <w:sz w:val="22"/>
          <w:szCs w:val="22"/>
        </w:rPr>
      </w:pPr>
      <w:r w:rsidRPr="00683496">
        <w:rPr>
          <w:sz w:val="22"/>
          <w:szCs w:val="22"/>
        </w:rPr>
        <w:t>WT-2 2016-część II Nawierzchnie asfaltowe na drogach krajowych Wykonanie warstw nawierzchni asfaltowych Wymagania Techniczne, Załącznik do zarządzenia Nr 7 Generalnego Dyrektora Dróg Krajowych i Autostrad z dnia 09.05.2016 r.,</w:t>
      </w:r>
    </w:p>
    <w:p w:rsidR="00683496" w:rsidRPr="00683496" w:rsidRDefault="00683496" w:rsidP="002122BD">
      <w:pPr>
        <w:numPr>
          <w:ilvl w:val="0"/>
          <w:numId w:val="45"/>
        </w:numPr>
        <w:tabs>
          <w:tab w:val="right" w:pos="709"/>
        </w:tabs>
        <w:spacing w:line="276" w:lineRule="auto"/>
        <w:jc w:val="both"/>
        <w:rPr>
          <w:sz w:val="22"/>
          <w:szCs w:val="22"/>
        </w:rPr>
      </w:pPr>
      <w:r w:rsidRPr="00683496">
        <w:rPr>
          <w:sz w:val="22"/>
          <w:szCs w:val="22"/>
        </w:rPr>
        <w:t xml:space="preserve">Instrukcji DP-T 14 Ocena jakości na drogach krajowych. Część I – Roboty drogowe, załącznik do zarządzenia nr 10 Generalnego Dyrektora Dróg Krajowych i Autostrad </w:t>
      </w:r>
      <w:r w:rsidRPr="00683496">
        <w:rPr>
          <w:sz w:val="22"/>
          <w:szCs w:val="22"/>
        </w:rPr>
        <w:br/>
        <w:t>z dnia 30 marca 2017 r.</w:t>
      </w:r>
    </w:p>
    <w:p w:rsidR="00683496" w:rsidRDefault="00683496" w:rsidP="00683496">
      <w:pPr>
        <w:overflowPunct w:val="0"/>
        <w:autoSpaceDE w:val="0"/>
        <w:autoSpaceDN w:val="0"/>
        <w:adjustRightInd w:val="0"/>
        <w:jc w:val="both"/>
        <w:textAlignment w:val="baseline"/>
        <w:rPr>
          <w:rFonts w:ascii="Verdana" w:hAnsi="Verdana" w:cs="Arial"/>
          <w:b/>
          <w:bCs/>
          <w:iCs/>
        </w:rPr>
      </w:pPr>
    </w:p>
    <w:p w:rsidR="00683496" w:rsidRPr="00D6645C" w:rsidRDefault="00683496" w:rsidP="00683496">
      <w:pPr>
        <w:overflowPunct w:val="0"/>
        <w:autoSpaceDE w:val="0"/>
        <w:autoSpaceDN w:val="0"/>
        <w:adjustRightInd w:val="0"/>
        <w:jc w:val="both"/>
        <w:textAlignment w:val="baseline"/>
        <w:rPr>
          <w:rFonts w:ascii="Verdana" w:hAnsi="Verdana" w:cs="Arial"/>
        </w:rPr>
      </w:pPr>
      <w:r w:rsidRPr="00D6645C">
        <w:rPr>
          <w:rFonts w:ascii="Verdana" w:hAnsi="Verdana" w:cs="Arial"/>
          <w:b/>
          <w:bCs/>
          <w:iCs/>
        </w:rPr>
        <w:t>10.4. Inne dokumenty</w:t>
      </w:r>
    </w:p>
    <w:p w:rsidR="00683496" w:rsidRPr="006D2270" w:rsidRDefault="00683496" w:rsidP="002122BD">
      <w:pPr>
        <w:numPr>
          <w:ilvl w:val="0"/>
          <w:numId w:val="45"/>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Rozporządzenie Ministra Transportu i Gospodarki Morskiej z dnia 2 marca 1999 r. </w:t>
      </w:r>
      <w:r>
        <w:rPr>
          <w:rFonts w:ascii="Verdana" w:hAnsi="Verdana" w:cs="Arial"/>
        </w:rPr>
        <w:br/>
      </w:r>
      <w:r w:rsidRPr="006D2270">
        <w:rPr>
          <w:rFonts w:ascii="Verdana" w:hAnsi="Verdana" w:cs="Arial"/>
        </w:rPr>
        <w:t>w sprawie warunków technicznych, jakim powinny odpowiadać drogi publiczne i ich usytuowanie (</w:t>
      </w:r>
      <w:proofErr w:type="spellStart"/>
      <w:r w:rsidRPr="006D2270">
        <w:rPr>
          <w:rFonts w:ascii="Verdana" w:hAnsi="Verdana" w:cs="Arial"/>
        </w:rPr>
        <w:t>Dz.U</w:t>
      </w:r>
      <w:proofErr w:type="spellEnd"/>
      <w:r w:rsidRPr="006D2270">
        <w:rPr>
          <w:rFonts w:ascii="Verdana" w:hAnsi="Verdana" w:cs="Arial"/>
        </w:rPr>
        <w:t>. nr 43, poz. 430</w:t>
      </w:r>
      <w:r>
        <w:rPr>
          <w:rFonts w:ascii="Verdana" w:hAnsi="Verdana" w:cs="Arial"/>
        </w:rPr>
        <w:t xml:space="preserve"> z </w:t>
      </w:r>
      <w:proofErr w:type="spellStart"/>
      <w:r>
        <w:rPr>
          <w:rFonts w:ascii="Verdana" w:hAnsi="Verdana" w:cs="Arial"/>
        </w:rPr>
        <w:t>późn</w:t>
      </w:r>
      <w:proofErr w:type="spellEnd"/>
      <w:r>
        <w:rPr>
          <w:rFonts w:ascii="Verdana" w:hAnsi="Verdana" w:cs="Arial"/>
        </w:rPr>
        <w:t>. zm.</w:t>
      </w:r>
      <w:r w:rsidRPr="006D2270">
        <w:rPr>
          <w:rFonts w:ascii="Verdana" w:hAnsi="Verdana" w:cs="Arial"/>
        </w:rPr>
        <w:t>)</w:t>
      </w:r>
      <w:r>
        <w:rPr>
          <w:rFonts w:ascii="Verdana" w:hAnsi="Verdana" w:cs="Arial"/>
        </w:rPr>
        <w:t>,</w:t>
      </w:r>
    </w:p>
    <w:p w:rsidR="00683496" w:rsidRDefault="00683496" w:rsidP="002122BD">
      <w:pPr>
        <w:numPr>
          <w:ilvl w:val="0"/>
          <w:numId w:val="45"/>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Katalog typowych konstrukcji nawierzchni podatnych i półsztywnych. </w:t>
      </w:r>
      <w:r>
        <w:rPr>
          <w:rFonts w:ascii="Verdana" w:hAnsi="Verdana" w:cs="Arial"/>
        </w:rPr>
        <w:t>Politechnika Gdańska – Katedra Inżynierii Drogowej, Gdańsk 2014,</w:t>
      </w:r>
    </w:p>
    <w:p w:rsidR="00683496" w:rsidRPr="006D2270" w:rsidRDefault="00683496" w:rsidP="002122BD">
      <w:pPr>
        <w:numPr>
          <w:ilvl w:val="0"/>
          <w:numId w:val="45"/>
        </w:numPr>
        <w:overflowPunct w:val="0"/>
        <w:autoSpaceDE w:val="0"/>
        <w:autoSpaceDN w:val="0"/>
        <w:adjustRightInd w:val="0"/>
        <w:jc w:val="both"/>
        <w:textAlignment w:val="baseline"/>
        <w:rPr>
          <w:rFonts w:ascii="Verdana" w:hAnsi="Verdana" w:cs="Arial"/>
        </w:rPr>
      </w:pPr>
      <w:r>
        <w:rPr>
          <w:rFonts w:ascii="Verdana" w:hAnsi="Verdana" w:cs="Arial"/>
        </w:rPr>
        <w:t xml:space="preserve">Instrukcja laboratoryjnego badania </w:t>
      </w:r>
      <w:proofErr w:type="spellStart"/>
      <w:r>
        <w:rPr>
          <w:rFonts w:ascii="Verdana" w:hAnsi="Verdana" w:cs="Arial"/>
        </w:rPr>
        <w:t>sczepności</w:t>
      </w:r>
      <w:proofErr w:type="spellEnd"/>
      <w:r>
        <w:rPr>
          <w:rFonts w:ascii="Verdana" w:hAnsi="Verdana" w:cs="Arial"/>
        </w:rPr>
        <w:t xml:space="preserve"> </w:t>
      </w:r>
      <w:proofErr w:type="spellStart"/>
      <w:r>
        <w:rPr>
          <w:rFonts w:ascii="Verdana" w:hAnsi="Verdana" w:cs="Arial"/>
        </w:rPr>
        <w:t>międzywarstwowej</w:t>
      </w:r>
      <w:proofErr w:type="spellEnd"/>
      <w:r>
        <w:rPr>
          <w:rFonts w:ascii="Verdana" w:hAnsi="Verdana" w:cs="Arial"/>
        </w:rPr>
        <w:t xml:space="preserve"> warstw asfaltowych wg metody </w:t>
      </w:r>
      <w:proofErr w:type="spellStart"/>
      <w:r>
        <w:rPr>
          <w:rFonts w:ascii="Verdana" w:hAnsi="Verdana" w:cs="Arial"/>
        </w:rPr>
        <w:t>Leutnera</w:t>
      </w:r>
      <w:proofErr w:type="spellEnd"/>
      <w:r>
        <w:rPr>
          <w:rFonts w:ascii="Verdana" w:hAnsi="Verdana" w:cs="Arial"/>
        </w:rPr>
        <w:t xml:space="preserve"> i Wymagania techniczne </w:t>
      </w:r>
      <w:proofErr w:type="spellStart"/>
      <w:r>
        <w:rPr>
          <w:rFonts w:ascii="Verdana" w:hAnsi="Verdana" w:cs="Arial"/>
        </w:rPr>
        <w:t>sczepności</w:t>
      </w:r>
      <w:proofErr w:type="spellEnd"/>
      <w:r>
        <w:rPr>
          <w:rFonts w:ascii="Verdana" w:hAnsi="Verdana" w:cs="Arial"/>
        </w:rPr>
        <w:t>. Politechnika Gdańska, Gdańsk 2014.</w:t>
      </w:r>
    </w:p>
    <w:p w:rsidR="00683496" w:rsidRPr="009040B8" w:rsidRDefault="00683496" w:rsidP="00683496">
      <w:pPr>
        <w:rPr>
          <w:rFonts w:ascii="Verdana" w:hAnsi="Verdana" w:cs="Arial"/>
        </w:rPr>
      </w:pPr>
    </w:p>
    <w:p w:rsidR="00683496" w:rsidRDefault="00683496" w:rsidP="00683496">
      <w:pPr>
        <w:rPr>
          <w:rFonts w:ascii="Verdana" w:hAnsi="Verdana" w:cs="Arial"/>
        </w:rPr>
      </w:pPr>
    </w:p>
    <w:p w:rsidR="00A36FDB" w:rsidRDefault="00A36FDB" w:rsidP="00683496">
      <w:pPr>
        <w:rPr>
          <w:rFonts w:ascii="Verdana" w:hAnsi="Verdana" w:cs="Arial"/>
        </w:rPr>
      </w:pPr>
    </w:p>
    <w:p w:rsidR="00A36FDB" w:rsidRDefault="00A36FDB" w:rsidP="00683496">
      <w:pPr>
        <w:rPr>
          <w:rFonts w:ascii="Verdana" w:hAnsi="Verdana" w:cs="Arial"/>
        </w:rPr>
      </w:pPr>
    </w:p>
    <w:p w:rsidR="00A36FDB" w:rsidRDefault="00A36FDB" w:rsidP="00683496">
      <w:pPr>
        <w:rPr>
          <w:rFonts w:ascii="Verdana" w:hAnsi="Verdana" w:cs="Arial"/>
        </w:rPr>
      </w:pPr>
    </w:p>
    <w:p w:rsidR="00A36FDB" w:rsidRDefault="00A36FDB" w:rsidP="00683496">
      <w:pPr>
        <w:rPr>
          <w:rFonts w:ascii="Verdana" w:hAnsi="Verdana" w:cs="Arial"/>
        </w:rPr>
      </w:pPr>
    </w:p>
    <w:p w:rsidR="00A36FDB" w:rsidRDefault="00A36FDB" w:rsidP="00683496">
      <w:pPr>
        <w:rPr>
          <w:rFonts w:ascii="Verdana" w:hAnsi="Verdana" w:cs="Arial"/>
        </w:rPr>
      </w:pPr>
    </w:p>
    <w:p w:rsidR="00683496" w:rsidRDefault="00683496" w:rsidP="00683496">
      <w:pPr>
        <w:rPr>
          <w:rFonts w:ascii="Verdana" w:hAnsi="Verdana" w:cs="Arial"/>
        </w:rPr>
      </w:pPr>
    </w:p>
    <w:p w:rsidR="00683496" w:rsidRPr="00447843" w:rsidRDefault="00683496" w:rsidP="00683496">
      <w:pPr>
        <w:keepNext/>
        <w:ind w:left="1701" w:hanging="1701"/>
        <w:outlineLvl w:val="3"/>
        <w:rPr>
          <w:rFonts w:ascii="Verdana" w:hAnsi="Verdana" w:cs="Arial"/>
          <w:b/>
          <w:sz w:val="22"/>
          <w:szCs w:val="22"/>
        </w:rPr>
      </w:pPr>
      <w:bookmarkStart w:id="342" w:name="_Hlk15765318"/>
      <w:r w:rsidRPr="00447843">
        <w:rPr>
          <w:rFonts w:ascii="Verdana" w:hAnsi="Verdana" w:cs="Arial"/>
          <w:b/>
          <w:sz w:val="22"/>
          <w:szCs w:val="22"/>
        </w:rPr>
        <w:lastRenderedPageBreak/>
        <w:t>D-05.03.05A-1  NAWIERZCHNIA Z BETONU ASFALTOWEGO – WARSTWA ŚCIERALNA AC 11 S  KR 3÷4</w:t>
      </w:r>
    </w:p>
    <w:bookmarkEnd w:id="342"/>
    <w:p w:rsidR="00683496" w:rsidRPr="006D2270" w:rsidRDefault="00683496" w:rsidP="00683496">
      <w:pPr>
        <w:rPr>
          <w:rFonts w:ascii="Verdana" w:hAnsi="Verdana" w:cs="Arial"/>
          <w:b/>
        </w:rPr>
      </w:pPr>
    </w:p>
    <w:p w:rsidR="00683496" w:rsidRPr="006D2270" w:rsidRDefault="00683496" w:rsidP="00683496">
      <w:pPr>
        <w:keepNext/>
        <w:widowControl w:val="0"/>
        <w:outlineLvl w:val="0"/>
        <w:rPr>
          <w:rFonts w:ascii="Verdana" w:hAnsi="Verdana" w:cs="Arial"/>
          <w:b/>
          <w:snapToGrid w:val="0"/>
        </w:rPr>
      </w:pPr>
      <w:bookmarkStart w:id="343" w:name="_Toc316558723"/>
      <w:r w:rsidRPr="006D2270">
        <w:rPr>
          <w:rFonts w:ascii="Verdana" w:hAnsi="Verdana" w:cs="Arial"/>
          <w:b/>
          <w:snapToGrid w:val="0"/>
        </w:rPr>
        <w:t>1. W</w:t>
      </w:r>
      <w:bookmarkEnd w:id="343"/>
      <w:r w:rsidRPr="006D2270">
        <w:rPr>
          <w:rFonts w:ascii="Verdana" w:hAnsi="Verdana" w:cs="Arial"/>
          <w:b/>
          <w:snapToGrid w:val="0"/>
        </w:rPr>
        <w:t>stęp</w:t>
      </w:r>
    </w:p>
    <w:p w:rsidR="00683496" w:rsidRPr="006D2270" w:rsidRDefault="00683496" w:rsidP="00683496">
      <w:pPr>
        <w:keepNext/>
        <w:widowControl w:val="0"/>
        <w:outlineLvl w:val="0"/>
        <w:rPr>
          <w:rFonts w:ascii="Verdana" w:hAnsi="Verdana" w:cs="Arial"/>
          <w:b/>
          <w:snapToGrid w:val="0"/>
        </w:rPr>
      </w:pPr>
    </w:p>
    <w:p w:rsidR="00683496" w:rsidRPr="006D2270" w:rsidRDefault="00683496" w:rsidP="00683496">
      <w:pPr>
        <w:keepNext/>
        <w:outlineLvl w:val="1"/>
        <w:rPr>
          <w:rFonts w:ascii="Verdana" w:hAnsi="Verdana" w:cs="Arial"/>
          <w:b/>
          <w:bCs/>
          <w:iCs/>
        </w:rPr>
      </w:pPr>
      <w:bookmarkStart w:id="344" w:name="_Toc316558724"/>
      <w:r w:rsidRPr="006D2270">
        <w:rPr>
          <w:rFonts w:ascii="Verdana" w:hAnsi="Verdana" w:cs="Arial"/>
          <w:b/>
          <w:bCs/>
          <w:iCs/>
        </w:rPr>
        <w:t>1.1. Przedmiot SST</w:t>
      </w:r>
      <w:bookmarkEnd w:id="344"/>
    </w:p>
    <w:p w:rsidR="00675564" w:rsidRDefault="00683496" w:rsidP="00683496">
      <w:pPr>
        <w:jc w:val="both"/>
        <w:rPr>
          <w:rFonts w:ascii="Verdana" w:hAnsi="Verdana" w:cs="Arial"/>
        </w:rPr>
      </w:pPr>
      <w:r w:rsidRPr="006D2270">
        <w:rPr>
          <w:rFonts w:ascii="Verdana" w:hAnsi="Verdana" w:cs="Arial"/>
        </w:rPr>
        <w:t>Przedmiotem niniejszej szczegółowej specyfikacji technicznej (SST) są wymagania dotyczące wykonania i odbioru robót związanych z wykonywaniem warstwy ścieralnej</w:t>
      </w:r>
      <w:r>
        <w:rPr>
          <w:rFonts w:ascii="Verdana" w:hAnsi="Verdana" w:cs="Arial"/>
        </w:rPr>
        <w:t xml:space="preserve"> konstrukcji </w:t>
      </w:r>
      <w:r w:rsidRPr="006D2270">
        <w:rPr>
          <w:rFonts w:ascii="Verdana" w:hAnsi="Verdana" w:cs="Arial"/>
        </w:rPr>
        <w:t xml:space="preserve">nawierzchni z betonu asfaltowego. </w:t>
      </w:r>
    </w:p>
    <w:p w:rsidR="00683496" w:rsidRPr="00D20CFD" w:rsidRDefault="00683496" w:rsidP="00683496">
      <w:pPr>
        <w:jc w:val="both"/>
        <w:rPr>
          <w:rFonts w:ascii="Verdana" w:hAnsi="Verdana" w:cs="Arial"/>
        </w:rPr>
      </w:pPr>
      <w:r w:rsidRPr="006D2270">
        <w:rPr>
          <w:rFonts w:ascii="Verdana" w:hAnsi="Verdana" w:cs="Arial"/>
        </w:rPr>
        <w:br/>
      </w:r>
      <w:bookmarkStart w:id="345" w:name="_Toc316558725"/>
      <w:r w:rsidRPr="006D2270">
        <w:rPr>
          <w:rFonts w:ascii="Verdana" w:hAnsi="Verdana" w:cs="Arial"/>
          <w:b/>
          <w:bCs/>
          <w:iCs/>
        </w:rPr>
        <w:t>1.2. Zakres stosowania SST</w:t>
      </w:r>
      <w:bookmarkEnd w:id="345"/>
    </w:p>
    <w:p w:rsidR="00683496" w:rsidRPr="006D2270" w:rsidRDefault="00683496" w:rsidP="00683496">
      <w:pPr>
        <w:jc w:val="both"/>
        <w:rPr>
          <w:rFonts w:ascii="Verdana" w:hAnsi="Verdana" w:cs="Arial"/>
        </w:rPr>
      </w:pPr>
      <w:r w:rsidRPr="006D2270">
        <w:rPr>
          <w:rFonts w:ascii="Verdana" w:hAnsi="Verdana" w:cs="Arial"/>
        </w:rPr>
        <w:t>Szczegółowa specyfikacja techniczna (SST) jest stosowana jako dokument przetargowy i kontraktowy przy zleceniu i realizacji robót</w:t>
      </w:r>
      <w:r w:rsidR="00675564">
        <w:rPr>
          <w:rFonts w:ascii="Verdana" w:hAnsi="Verdana" w:cs="Arial"/>
        </w:rPr>
        <w:t>.</w:t>
      </w:r>
      <w:r w:rsidRPr="006D2270">
        <w:rPr>
          <w:rFonts w:ascii="Verdana" w:hAnsi="Verdana" w:cs="Arial"/>
        </w:rPr>
        <w:t xml:space="preserve"> </w:t>
      </w:r>
    </w:p>
    <w:p w:rsidR="00683496" w:rsidRPr="006D2270" w:rsidRDefault="00683496" w:rsidP="00683496">
      <w:pPr>
        <w:tabs>
          <w:tab w:val="left" w:pos="0"/>
        </w:tabs>
        <w:rPr>
          <w:rFonts w:ascii="Verdana" w:hAnsi="Verdana" w:cs="Arial"/>
        </w:rPr>
      </w:pPr>
    </w:p>
    <w:p w:rsidR="00683496" w:rsidRPr="006D2270" w:rsidRDefault="00683496" w:rsidP="00683496">
      <w:pPr>
        <w:tabs>
          <w:tab w:val="left" w:pos="0"/>
        </w:tabs>
        <w:rPr>
          <w:rFonts w:ascii="Verdana" w:hAnsi="Verdana" w:cs="Arial"/>
          <w:b/>
        </w:rPr>
      </w:pPr>
      <w:r w:rsidRPr="006D2270">
        <w:rPr>
          <w:rFonts w:ascii="Verdana" w:hAnsi="Verdana" w:cs="Arial"/>
          <w:b/>
        </w:rPr>
        <w:t>1.3. Zakres robót objętych SST</w:t>
      </w:r>
    </w:p>
    <w:p w:rsidR="00683496" w:rsidRPr="006D2270" w:rsidRDefault="00683496" w:rsidP="00683496">
      <w:pPr>
        <w:jc w:val="both"/>
        <w:rPr>
          <w:rFonts w:ascii="Verdana" w:hAnsi="Verdana" w:cs="Arial"/>
        </w:rPr>
      </w:pPr>
      <w:r w:rsidRPr="006D2270">
        <w:rPr>
          <w:rFonts w:ascii="Verdana" w:hAnsi="Verdana" w:cs="Arial"/>
        </w:rPr>
        <w:t xml:space="preserve">Ustalenia zawarte w niniejszej specyfikacji dotyczą zasad prowadzenia robót związanych </w:t>
      </w:r>
      <w:r w:rsidRPr="006D2270">
        <w:rPr>
          <w:rFonts w:ascii="Verdana" w:hAnsi="Verdana" w:cs="Arial"/>
        </w:rPr>
        <w:br/>
        <w:t>z wykonaniem i odbiorem warstwy ścieralnej z betonu asfaltowego wg PN-EN 13108-1 [47] i WT-2 Nawierzchnie asfaltowe na drogach krajowych 201</w:t>
      </w:r>
      <w:r>
        <w:rPr>
          <w:rFonts w:ascii="Verdana" w:hAnsi="Verdana" w:cs="Arial"/>
        </w:rPr>
        <w:t>4–część I</w:t>
      </w:r>
      <w:r w:rsidRPr="006D2270">
        <w:rPr>
          <w:rFonts w:ascii="Verdana" w:hAnsi="Verdana" w:cs="Arial"/>
        </w:rPr>
        <w:t xml:space="preserve"> [65] </w:t>
      </w:r>
      <w:r>
        <w:rPr>
          <w:rFonts w:ascii="Verdana" w:hAnsi="Verdana" w:cs="Arial"/>
        </w:rPr>
        <w:t xml:space="preserve">                           </w:t>
      </w:r>
      <w:r w:rsidRPr="006D2270">
        <w:rPr>
          <w:rFonts w:ascii="Verdana" w:hAnsi="Verdana" w:cs="Arial"/>
        </w:rPr>
        <w:t>z mieszanki mineralno-asfaltowej dostarczonej od producenta. W przypadku produkcji mieszanki mineralno-asfaltowej przez Wykonawcę dla potrzeb budowy, Wykonawca zobowiązany jest prowadzić Zakładową kontrolę produkcji (ZKP) zgodnie z WT-2 [65] punkt 8.4.</w:t>
      </w:r>
      <w:r>
        <w:rPr>
          <w:rFonts w:ascii="Verdana" w:hAnsi="Verdana" w:cs="Arial"/>
        </w:rPr>
        <w:t>2</w:t>
      </w:r>
      <w:r w:rsidRPr="006D2270">
        <w:rPr>
          <w:rFonts w:ascii="Verdana" w:hAnsi="Verdana" w:cs="Arial"/>
        </w:rPr>
        <w:t>.</w:t>
      </w:r>
    </w:p>
    <w:p w:rsidR="00683496" w:rsidRPr="006D2270" w:rsidRDefault="00683496" w:rsidP="00683496">
      <w:pPr>
        <w:jc w:val="both"/>
        <w:rPr>
          <w:rFonts w:ascii="Verdana" w:hAnsi="Verdana" w:cs="Arial"/>
        </w:rPr>
      </w:pPr>
      <w:r w:rsidRPr="006D2270">
        <w:rPr>
          <w:rFonts w:ascii="Verdana" w:hAnsi="Verdana" w:cs="Arial"/>
        </w:rPr>
        <w:t>Do wykonania nakładek nawierzchni dróg  krajowych o kategorii ruchu KR 3</w:t>
      </w:r>
      <w:r>
        <w:rPr>
          <w:rFonts w:ascii="Verdana" w:hAnsi="Verdana" w:cs="Arial"/>
        </w:rPr>
        <w:t>÷</w:t>
      </w:r>
      <w:r w:rsidRPr="006D2270">
        <w:rPr>
          <w:rFonts w:ascii="Verdana" w:hAnsi="Verdana" w:cs="Arial"/>
        </w:rPr>
        <w:t xml:space="preserve">4 należy stosować warstwę </w:t>
      </w:r>
      <w:r>
        <w:rPr>
          <w:rFonts w:ascii="Verdana" w:hAnsi="Verdana" w:cs="Arial"/>
        </w:rPr>
        <w:t xml:space="preserve">ścieralną z betonu asfaltowego. </w:t>
      </w:r>
      <w:r w:rsidRPr="006D2270">
        <w:rPr>
          <w:rFonts w:ascii="Verdana" w:hAnsi="Verdana" w:cs="Arial"/>
        </w:rPr>
        <w:t>Stosowana mieszanka</w:t>
      </w:r>
      <w:r>
        <w:rPr>
          <w:rFonts w:ascii="Verdana" w:hAnsi="Verdana" w:cs="Arial"/>
        </w:rPr>
        <w:t xml:space="preserve"> </w:t>
      </w:r>
      <w:r w:rsidRPr="006D2270">
        <w:rPr>
          <w:rFonts w:ascii="Verdana" w:hAnsi="Verdana" w:cs="Arial"/>
        </w:rPr>
        <w:t>betonu asfaltowego o wymiarze D podano w tab</w:t>
      </w:r>
      <w:r>
        <w:rPr>
          <w:rFonts w:ascii="Verdana" w:hAnsi="Verdana" w:cs="Arial"/>
        </w:rPr>
        <w:t>ela</w:t>
      </w:r>
      <w:r w:rsidRPr="006D2270">
        <w:rPr>
          <w:rFonts w:ascii="Verdana" w:hAnsi="Verdana" w:cs="Arial"/>
        </w:rPr>
        <w:t xml:space="preserve"> 1.</w:t>
      </w:r>
    </w:p>
    <w:p w:rsidR="00683496" w:rsidRPr="006D2270" w:rsidRDefault="00683496" w:rsidP="00683496">
      <w:pPr>
        <w:spacing w:before="60" w:after="60"/>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1. Stosowana mieszanka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683496" w:rsidRPr="006D2270" w:rsidTr="00683496">
        <w:trPr>
          <w:trHeight w:val="590"/>
        </w:trPr>
        <w:tc>
          <w:tcPr>
            <w:tcW w:w="1276" w:type="dxa"/>
            <w:vAlign w:val="center"/>
          </w:tcPr>
          <w:p w:rsidR="00683496" w:rsidRPr="006D2270" w:rsidRDefault="00683496" w:rsidP="00683496">
            <w:pPr>
              <w:jc w:val="center"/>
              <w:rPr>
                <w:rFonts w:ascii="Verdana" w:hAnsi="Verdana" w:cs="Arial"/>
              </w:rPr>
            </w:pPr>
            <w:r w:rsidRPr="006D2270">
              <w:rPr>
                <w:rFonts w:ascii="Verdana" w:hAnsi="Verdana" w:cs="Arial"/>
              </w:rPr>
              <w:t>Kategoria</w:t>
            </w:r>
          </w:p>
          <w:p w:rsidR="00683496" w:rsidRPr="006D2270" w:rsidRDefault="00683496" w:rsidP="00683496">
            <w:pPr>
              <w:jc w:val="center"/>
              <w:rPr>
                <w:rFonts w:ascii="Verdana" w:hAnsi="Verdana" w:cs="Arial"/>
              </w:rPr>
            </w:pPr>
            <w:r w:rsidRPr="006D2270">
              <w:rPr>
                <w:rFonts w:ascii="Verdana" w:hAnsi="Verdana" w:cs="Arial"/>
              </w:rPr>
              <w:t>ruchu</w:t>
            </w:r>
          </w:p>
        </w:tc>
        <w:tc>
          <w:tcPr>
            <w:tcW w:w="6132" w:type="dxa"/>
            <w:vAlign w:val="center"/>
          </w:tcPr>
          <w:p w:rsidR="00683496" w:rsidRPr="006D2270" w:rsidRDefault="00683496" w:rsidP="00683496">
            <w:pPr>
              <w:jc w:val="center"/>
              <w:rPr>
                <w:rFonts w:ascii="Verdana" w:hAnsi="Verdana" w:cs="Arial"/>
              </w:rPr>
            </w:pPr>
            <w:r w:rsidRPr="006D2270">
              <w:rPr>
                <w:rFonts w:ascii="Verdana" w:hAnsi="Verdana" w:cs="Arial"/>
              </w:rPr>
              <w:t>Mieszanki  o wymiarze D</w:t>
            </w:r>
            <w:r w:rsidRPr="006D2270">
              <w:rPr>
                <w:rFonts w:ascii="Verdana" w:hAnsi="Verdana" w:cs="Arial"/>
                <w:vertAlign w:val="superscript"/>
              </w:rPr>
              <w:t>1)</w:t>
            </w:r>
            <w:r w:rsidRPr="006D2270">
              <w:rPr>
                <w:rFonts w:ascii="Verdana" w:hAnsi="Verdana" w:cs="Arial"/>
              </w:rPr>
              <w:t>,  mm</w:t>
            </w:r>
          </w:p>
        </w:tc>
      </w:tr>
      <w:tr w:rsidR="00683496" w:rsidRPr="006D2270" w:rsidTr="00683496">
        <w:tc>
          <w:tcPr>
            <w:tcW w:w="1276" w:type="dxa"/>
          </w:tcPr>
          <w:p w:rsidR="00683496" w:rsidRPr="006D2270" w:rsidRDefault="00683496" w:rsidP="00683496">
            <w:pPr>
              <w:spacing w:before="60" w:after="60"/>
              <w:jc w:val="center"/>
              <w:rPr>
                <w:rFonts w:ascii="Verdana" w:hAnsi="Verdana" w:cs="Arial"/>
              </w:rPr>
            </w:pPr>
            <w:r w:rsidRPr="006D2270">
              <w:rPr>
                <w:rFonts w:ascii="Verdana" w:hAnsi="Verdana" w:cs="Arial"/>
              </w:rPr>
              <w:t>KR 3</w:t>
            </w:r>
            <w:r>
              <w:rPr>
                <w:rFonts w:ascii="Verdana" w:hAnsi="Verdana" w:cs="Arial"/>
              </w:rPr>
              <w:t>÷</w:t>
            </w:r>
            <w:r w:rsidRPr="006D2270">
              <w:rPr>
                <w:rFonts w:ascii="Verdana" w:hAnsi="Verdana" w:cs="Arial"/>
              </w:rPr>
              <w:t>4</w:t>
            </w:r>
          </w:p>
        </w:tc>
        <w:tc>
          <w:tcPr>
            <w:tcW w:w="6132" w:type="dxa"/>
          </w:tcPr>
          <w:p w:rsidR="00683496" w:rsidRPr="006D2270" w:rsidRDefault="00683496" w:rsidP="00683496">
            <w:pPr>
              <w:spacing w:before="60" w:after="60"/>
              <w:jc w:val="center"/>
              <w:rPr>
                <w:rFonts w:ascii="Verdana" w:hAnsi="Verdana" w:cs="Arial"/>
                <w:lang w:val="en-US"/>
              </w:rPr>
            </w:pPr>
            <w:r w:rsidRPr="006D2270">
              <w:rPr>
                <w:rFonts w:ascii="Verdana" w:hAnsi="Verdana" w:cs="Arial"/>
                <w:lang w:val="en-US"/>
              </w:rPr>
              <w:t>AC 11</w:t>
            </w:r>
            <w:r>
              <w:rPr>
                <w:rFonts w:ascii="Verdana" w:hAnsi="Verdana" w:cs="Arial"/>
                <w:lang w:val="en-US"/>
              </w:rPr>
              <w:t xml:space="preserve"> </w:t>
            </w:r>
            <w:r w:rsidRPr="006D2270">
              <w:rPr>
                <w:rFonts w:ascii="Verdana" w:hAnsi="Verdana" w:cs="Arial"/>
                <w:lang w:val="en-US"/>
              </w:rPr>
              <w:t>S</w:t>
            </w:r>
          </w:p>
        </w:tc>
      </w:tr>
    </w:tbl>
    <w:p w:rsidR="00683496" w:rsidRDefault="00683496" w:rsidP="00683496">
      <w:pPr>
        <w:spacing w:before="120"/>
        <w:rPr>
          <w:rFonts w:ascii="Verdana" w:hAnsi="Verdana" w:cs="Arial"/>
        </w:rPr>
      </w:pPr>
      <w:r w:rsidRPr="006D2270">
        <w:rPr>
          <w:rFonts w:ascii="Verdana" w:hAnsi="Verdana" w:cs="Arial"/>
          <w:vertAlign w:val="superscript"/>
        </w:rPr>
        <w:t xml:space="preserve">1) </w:t>
      </w:r>
      <w:r w:rsidRPr="006D2270">
        <w:rPr>
          <w:rFonts w:ascii="Verdana" w:hAnsi="Verdana" w:cs="Arial"/>
        </w:rPr>
        <w:t>Podział ze względu na wymiar największego kruszywa w mieszance.</w:t>
      </w:r>
    </w:p>
    <w:p w:rsidR="00683496" w:rsidRPr="006D2270" w:rsidRDefault="00683496" w:rsidP="00683496">
      <w:pPr>
        <w:spacing w:before="120"/>
        <w:rPr>
          <w:rFonts w:ascii="Verdana" w:hAnsi="Verdana" w:cs="Arial"/>
        </w:rPr>
      </w:pPr>
    </w:p>
    <w:p w:rsidR="00683496" w:rsidRPr="00254068" w:rsidRDefault="00683496" w:rsidP="002122BD">
      <w:pPr>
        <w:numPr>
          <w:ilvl w:val="0"/>
          <w:numId w:val="48"/>
        </w:numPr>
        <w:spacing w:line="360" w:lineRule="auto"/>
        <w:jc w:val="both"/>
        <w:rPr>
          <w:rFonts w:ascii="Verdana" w:hAnsi="Verdana" w:cs="Arial"/>
          <w:b/>
        </w:rPr>
      </w:pPr>
      <w:r w:rsidRPr="006D2270">
        <w:rPr>
          <w:rFonts w:ascii="Verdana" w:hAnsi="Verdana" w:cs="Arial"/>
          <w:b/>
        </w:rPr>
        <w:t>Określenia podstawowe</w:t>
      </w:r>
      <w:bookmarkStart w:id="346" w:name="_Toc316558726"/>
    </w:p>
    <w:bookmarkEnd w:id="346"/>
    <w:p w:rsidR="00683496" w:rsidRPr="006D2270" w:rsidRDefault="00683496" w:rsidP="00683496">
      <w:pPr>
        <w:ind w:left="709" w:hanging="709"/>
        <w:jc w:val="both"/>
        <w:rPr>
          <w:rFonts w:ascii="Verdana" w:hAnsi="Verdana" w:cs="Arial"/>
        </w:rPr>
      </w:pPr>
      <w:r w:rsidRPr="006D2270">
        <w:rPr>
          <w:rFonts w:ascii="Verdana" w:hAnsi="Verdana" w:cs="Arial"/>
          <w:b/>
        </w:rPr>
        <w:t xml:space="preserve">1.4.1. </w:t>
      </w:r>
      <w:r w:rsidRPr="006D2270">
        <w:rPr>
          <w:rFonts w:ascii="Verdana" w:hAnsi="Verdana" w:cs="Arial"/>
          <w:u w:val="single"/>
        </w:rPr>
        <w:t>Nawierzchnia</w:t>
      </w:r>
      <w:r w:rsidRPr="006D2270">
        <w:rPr>
          <w:rFonts w:ascii="Verdana" w:hAnsi="Verdana" w:cs="Arial"/>
        </w:rPr>
        <w:t xml:space="preserve"> – konstrukcja składająca się z jednej lub kilku warstw służących do przejmowania i rozkładania obciążeń od ruchu pojazdów na podłoże.</w:t>
      </w:r>
    </w:p>
    <w:p w:rsidR="00683496" w:rsidRPr="006D2270" w:rsidRDefault="00683496" w:rsidP="00683496">
      <w:pPr>
        <w:ind w:left="709" w:hanging="709"/>
        <w:rPr>
          <w:rFonts w:ascii="Verdana" w:hAnsi="Verdana" w:cs="Arial"/>
        </w:rPr>
      </w:pPr>
      <w:r w:rsidRPr="006D2270">
        <w:rPr>
          <w:rFonts w:ascii="Verdana" w:hAnsi="Verdana" w:cs="Arial"/>
          <w:b/>
        </w:rPr>
        <w:t>1.4.2.</w:t>
      </w:r>
      <w:r>
        <w:rPr>
          <w:rFonts w:ascii="Verdana" w:hAnsi="Verdana" w:cs="Arial"/>
          <w:b/>
        </w:rPr>
        <w:t xml:space="preserve"> </w:t>
      </w:r>
      <w:r w:rsidRPr="006D2270">
        <w:rPr>
          <w:rFonts w:ascii="Verdana" w:hAnsi="Verdana" w:cs="Arial"/>
          <w:u w:val="single"/>
        </w:rPr>
        <w:t>Warstwa ścieralna</w:t>
      </w:r>
      <w:r w:rsidRPr="006D2270">
        <w:rPr>
          <w:rFonts w:ascii="Verdana" w:hAnsi="Verdana" w:cs="Arial"/>
        </w:rPr>
        <w:t xml:space="preserve"> – górna warstwa nawierzchni będąca w bezpośrednim kontakcie z kołami pojazdów.</w:t>
      </w:r>
    </w:p>
    <w:p w:rsidR="00683496" w:rsidRPr="006D2270" w:rsidRDefault="00683496" w:rsidP="00683496">
      <w:pPr>
        <w:tabs>
          <w:tab w:val="left" w:pos="567"/>
          <w:tab w:val="left" w:pos="709"/>
          <w:tab w:val="left" w:pos="993"/>
        </w:tabs>
        <w:ind w:left="709" w:hanging="709"/>
        <w:jc w:val="both"/>
        <w:rPr>
          <w:rFonts w:ascii="Verdana" w:hAnsi="Verdana" w:cs="Arial"/>
        </w:rPr>
      </w:pPr>
      <w:r w:rsidRPr="006D2270">
        <w:rPr>
          <w:rFonts w:ascii="Verdana" w:hAnsi="Verdana" w:cs="Arial"/>
          <w:b/>
        </w:rPr>
        <w:t xml:space="preserve">1.4.3. </w:t>
      </w:r>
      <w:r w:rsidRPr="006D2270">
        <w:rPr>
          <w:rFonts w:ascii="Verdana" w:hAnsi="Verdana" w:cs="Arial"/>
          <w:u w:val="single"/>
        </w:rPr>
        <w:t>Mieszanka mineralno-asfaltowa</w:t>
      </w:r>
      <w:r w:rsidRPr="006D2270">
        <w:rPr>
          <w:rFonts w:ascii="Verdana" w:hAnsi="Verdana" w:cs="Arial"/>
        </w:rPr>
        <w:t xml:space="preserve"> – mieszanka kruszyw i lepiszcza asfaltowego.</w:t>
      </w:r>
    </w:p>
    <w:p w:rsidR="00683496" w:rsidRPr="006D2270" w:rsidRDefault="00683496" w:rsidP="00683496">
      <w:pPr>
        <w:tabs>
          <w:tab w:val="left" w:pos="709"/>
          <w:tab w:val="left" w:pos="851"/>
        </w:tabs>
        <w:ind w:left="709" w:hanging="709"/>
        <w:rPr>
          <w:rFonts w:ascii="Verdana" w:hAnsi="Verdana" w:cs="Arial"/>
        </w:rPr>
      </w:pPr>
      <w:r w:rsidRPr="006D2270">
        <w:rPr>
          <w:rFonts w:ascii="Verdana" w:hAnsi="Verdana" w:cs="Arial"/>
          <w:b/>
        </w:rPr>
        <w:t>1.4.4.</w:t>
      </w:r>
      <w:r>
        <w:rPr>
          <w:rFonts w:ascii="Verdana" w:hAnsi="Verdana" w:cs="Arial"/>
          <w:b/>
        </w:rPr>
        <w:t xml:space="preserve"> </w:t>
      </w:r>
      <w:r w:rsidRPr="006D2270">
        <w:rPr>
          <w:rFonts w:ascii="Verdana" w:hAnsi="Verdana" w:cs="Arial"/>
          <w:u w:val="single"/>
        </w:rPr>
        <w:t>Wymiar mieszanki mineralno-asfaltowej</w:t>
      </w:r>
      <w:r w:rsidRPr="006D2270">
        <w:rPr>
          <w:rFonts w:ascii="Verdana" w:hAnsi="Verdana" w:cs="Arial"/>
        </w:rPr>
        <w:t xml:space="preserve"> – określenie mieszanki mineralno-asfaltowej, wyróżniające tę mieszankę ze zbioru mieszanek tego samego typu ze względu na największy wymiar kruszywa, np. wymiar 8 lub 11.</w:t>
      </w:r>
    </w:p>
    <w:p w:rsidR="00683496" w:rsidRPr="006D2270" w:rsidRDefault="00683496" w:rsidP="00683496">
      <w:pPr>
        <w:ind w:left="709" w:hanging="709"/>
        <w:rPr>
          <w:rFonts w:ascii="Verdana" w:hAnsi="Verdana" w:cs="Arial"/>
        </w:rPr>
      </w:pPr>
      <w:r w:rsidRPr="006D2270">
        <w:rPr>
          <w:rFonts w:ascii="Verdana" w:hAnsi="Verdana" w:cs="Arial"/>
          <w:b/>
        </w:rPr>
        <w:t>1.4.5.</w:t>
      </w:r>
      <w:r>
        <w:rPr>
          <w:rFonts w:ascii="Verdana" w:hAnsi="Verdana" w:cs="Arial"/>
          <w:b/>
        </w:rPr>
        <w:t xml:space="preserve"> </w:t>
      </w:r>
      <w:r w:rsidRPr="006D2270">
        <w:rPr>
          <w:rFonts w:ascii="Verdana" w:hAnsi="Verdana" w:cs="Arial"/>
          <w:u w:val="single"/>
        </w:rPr>
        <w:t>Beton asfaltowy</w:t>
      </w:r>
      <w:r w:rsidRPr="006D2270">
        <w:rPr>
          <w:rFonts w:ascii="Verdana" w:hAnsi="Verdana" w:cs="Arial"/>
        </w:rPr>
        <w:t xml:space="preserve"> – mieszanka mineralno-asfaltowa, w której kruszywo o uziarnieniu ciągłym lub nieciągłym tworzy strukturę wzajemnie klinującą się.</w:t>
      </w:r>
    </w:p>
    <w:p w:rsidR="00683496" w:rsidRPr="006D2270" w:rsidRDefault="00683496" w:rsidP="00683496">
      <w:pPr>
        <w:ind w:left="709" w:hanging="709"/>
        <w:rPr>
          <w:rFonts w:ascii="Verdana" w:hAnsi="Verdana" w:cs="Arial"/>
        </w:rPr>
      </w:pPr>
      <w:r w:rsidRPr="006D2270">
        <w:rPr>
          <w:rFonts w:ascii="Verdana" w:hAnsi="Verdana" w:cs="Arial"/>
          <w:b/>
        </w:rPr>
        <w:t>1.4.6.</w:t>
      </w:r>
      <w:r>
        <w:rPr>
          <w:rFonts w:ascii="Verdana" w:hAnsi="Verdana" w:cs="Arial"/>
          <w:b/>
        </w:rPr>
        <w:t xml:space="preserve"> </w:t>
      </w:r>
      <w:r w:rsidRPr="006D2270">
        <w:rPr>
          <w:rFonts w:ascii="Verdana" w:hAnsi="Verdana" w:cs="Arial"/>
          <w:u w:val="single"/>
        </w:rPr>
        <w:t>Uziarnienie</w:t>
      </w:r>
      <w:r w:rsidRPr="006D2270">
        <w:rPr>
          <w:rFonts w:ascii="Verdana" w:hAnsi="Verdana" w:cs="Arial"/>
        </w:rPr>
        <w:t xml:space="preserve"> – skład ziarnowy kruszywa, wyrażony w procentach masy ziaren przechodzących przez określony zestaw sit.</w:t>
      </w:r>
    </w:p>
    <w:p w:rsidR="00683496" w:rsidRPr="006D2270" w:rsidRDefault="00683496" w:rsidP="00683496">
      <w:pPr>
        <w:ind w:left="709" w:hanging="709"/>
        <w:jc w:val="both"/>
        <w:rPr>
          <w:rFonts w:ascii="Verdana" w:hAnsi="Verdana" w:cs="Arial"/>
        </w:rPr>
      </w:pPr>
      <w:r w:rsidRPr="006D2270">
        <w:rPr>
          <w:rFonts w:ascii="Verdana" w:hAnsi="Verdana" w:cs="Arial"/>
          <w:b/>
        </w:rPr>
        <w:t>1.4.7.</w:t>
      </w:r>
      <w:r w:rsidRPr="006D2270">
        <w:rPr>
          <w:rFonts w:ascii="Verdana" w:hAnsi="Verdana" w:cs="Arial"/>
          <w:b/>
        </w:rPr>
        <w:tab/>
      </w:r>
      <w:r w:rsidRPr="006D2270">
        <w:rPr>
          <w:rFonts w:ascii="Verdana" w:hAnsi="Verdana" w:cs="Arial"/>
          <w:u w:val="single"/>
        </w:rPr>
        <w:t>Kategoria ruchu</w:t>
      </w:r>
      <w:r w:rsidRPr="006D2270">
        <w:rPr>
          <w:rFonts w:ascii="Verdana" w:hAnsi="Verdana" w:cs="Arial"/>
        </w:rPr>
        <w:t xml:space="preserve"> – obciążenie drogi ruchem samochodowym, wyrażone w osiach obliczeniowych (100 </w:t>
      </w:r>
      <w:proofErr w:type="spellStart"/>
      <w:r w:rsidRPr="006D2270">
        <w:rPr>
          <w:rFonts w:ascii="Verdana" w:hAnsi="Verdana" w:cs="Arial"/>
        </w:rPr>
        <w:t>kN</w:t>
      </w:r>
      <w:proofErr w:type="spellEnd"/>
      <w:r w:rsidRPr="006D2270">
        <w:rPr>
          <w:rFonts w:ascii="Verdana" w:hAnsi="Verdana" w:cs="Arial"/>
        </w:rPr>
        <w:t>) wg „Katalogu typowych konstrukcji nawier</w:t>
      </w:r>
      <w:r>
        <w:rPr>
          <w:rFonts w:ascii="Verdana" w:hAnsi="Verdana" w:cs="Arial"/>
        </w:rPr>
        <w:t xml:space="preserve">zchni podatnych i półsztywnych”, Politechnika Gdańska, Gdańsk 2014 </w:t>
      </w:r>
      <w:r w:rsidRPr="006D2270">
        <w:rPr>
          <w:rFonts w:ascii="Verdana" w:hAnsi="Verdana" w:cs="Arial"/>
        </w:rPr>
        <w:t>[6</w:t>
      </w:r>
      <w:r>
        <w:rPr>
          <w:rFonts w:ascii="Verdana" w:hAnsi="Verdana" w:cs="Arial"/>
        </w:rPr>
        <w:t>8</w:t>
      </w:r>
      <w:r w:rsidRPr="006D2270">
        <w:rPr>
          <w:rFonts w:ascii="Verdana" w:hAnsi="Verdana" w:cs="Arial"/>
        </w:rPr>
        <w:t>].</w:t>
      </w:r>
    </w:p>
    <w:p w:rsidR="00683496" w:rsidRPr="006D2270" w:rsidRDefault="00683496" w:rsidP="00683496">
      <w:pPr>
        <w:tabs>
          <w:tab w:val="left" w:pos="709"/>
        </w:tabs>
        <w:ind w:left="709" w:hanging="709"/>
        <w:jc w:val="both"/>
        <w:rPr>
          <w:rFonts w:ascii="Verdana" w:hAnsi="Verdana" w:cs="Arial"/>
        </w:rPr>
      </w:pPr>
      <w:r w:rsidRPr="006D2270">
        <w:rPr>
          <w:rFonts w:ascii="Verdana" w:hAnsi="Verdana" w:cs="Arial"/>
          <w:b/>
        </w:rPr>
        <w:t xml:space="preserve">1.4.8. </w:t>
      </w:r>
      <w:r w:rsidRPr="006D2270">
        <w:rPr>
          <w:rFonts w:ascii="Verdana" w:hAnsi="Verdana" w:cs="Arial"/>
          <w:u w:val="single"/>
        </w:rPr>
        <w:t>Wymiar kruszywa</w:t>
      </w:r>
      <w:r w:rsidRPr="006D2270">
        <w:rPr>
          <w:rFonts w:ascii="Verdana" w:hAnsi="Verdana" w:cs="Arial"/>
        </w:rPr>
        <w:t xml:space="preserve"> – wielkość ziaren kruszywa, określona przez dolny (d) i górny (D) wymiar sita.</w:t>
      </w:r>
    </w:p>
    <w:p w:rsidR="00683496" w:rsidRPr="006D2270" w:rsidRDefault="00683496" w:rsidP="00683496">
      <w:pPr>
        <w:tabs>
          <w:tab w:val="left" w:pos="709"/>
        </w:tabs>
        <w:ind w:left="709" w:hanging="709"/>
        <w:jc w:val="both"/>
        <w:rPr>
          <w:rFonts w:ascii="Verdana" w:hAnsi="Verdana" w:cs="Arial"/>
        </w:rPr>
      </w:pPr>
      <w:r w:rsidRPr="006D2270">
        <w:rPr>
          <w:rFonts w:ascii="Verdana" w:hAnsi="Verdana" w:cs="Arial"/>
          <w:b/>
        </w:rPr>
        <w:t xml:space="preserve">1.4.9. </w:t>
      </w:r>
      <w:r w:rsidRPr="006D2270">
        <w:rPr>
          <w:rFonts w:ascii="Verdana" w:hAnsi="Verdana" w:cs="Arial"/>
          <w:u w:val="single"/>
        </w:rPr>
        <w:t>Kruszywo grube</w:t>
      </w:r>
      <w:r w:rsidRPr="006D2270">
        <w:rPr>
          <w:rFonts w:ascii="Verdana" w:hAnsi="Verdana" w:cs="Arial"/>
        </w:rPr>
        <w:t xml:space="preserve"> – kruszywo z ziaren o wymiarze: D ≤ 45 mm oraz d </w:t>
      </w:r>
      <w:r w:rsidRPr="006C01B6">
        <w:rPr>
          <w:rFonts w:ascii="Verdana" w:hAnsi="Verdana" w:cs="Arial"/>
        </w:rPr>
        <w:t>≥</w:t>
      </w:r>
      <w:r w:rsidRPr="006D2270">
        <w:rPr>
          <w:rFonts w:ascii="Verdana" w:hAnsi="Verdana" w:cs="Arial"/>
        </w:rPr>
        <w:t xml:space="preserve"> 2 mm.</w:t>
      </w:r>
    </w:p>
    <w:p w:rsidR="00683496" w:rsidRPr="006D2270" w:rsidRDefault="00683496" w:rsidP="00683496">
      <w:pPr>
        <w:ind w:left="851" w:hanging="851"/>
        <w:jc w:val="both"/>
        <w:rPr>
          <w:rFonts w:ascii="Verdana" w:hAnsi="Verdana" w:cs="Arial"/>
        </w:rPr>
      </w:pPr>
      <w:r w:rsidRPr="006D2270">
        <w:rPr>
          <w:rFonts w:ascii="Verdana" w:hAnsi="Verdana" w:cs="Arial"/>
          <w:b/>
        </w:rPr>
        <w:t>1.4.10.</w:t>
      </w:r>
      <w:r>
        <w:rPr>
          <w:rFonts w:ascii="Verdana" w:hAnsi="Verdana" w:cs="Arial"/>
          <w:b/>
        </w:rPr>
        <w:t xml:space="preserve"> </w:t>
      </w:r>
      <w:r w:rsidRPr="006D2270">
        <w:rPr>
          <w:rFonts w:ascii="Verdana" w:hAnsi="Verdana" w:cs="Arial"/>
          <w:u w:val="single"/>
        </w:rPr>
        <w:t>Kruszywo drobne</w:t>
      </w:r>
      <w:r w:rsidRPr="006D2270">
        <w:rPr>
          <w:rFonts w:ascii="Verdana" w:hAnsi="Verdana" w:cs="Arial"/>
        </w:rPr>
        <w:t xml:space="preserve"> – kruszywo z ziaren o wymiarze: D ≤ 2 mm, którego większa </w:t>
      </w:r>
      <w:r>
        <w:rPr>
          <w:rFonts w:ascii="Verdana" w:hAnsi="Verdana" w:cs="Arial"/>
        </w:rPr>
        <w:t xml:space="preserve"> </w:t>
      </w:r>
      <w:r w:rsidRPr="006D2270">
        <w:rPr>
          <w:rFonts w:ascii="Verdana" w:hAnsi="Verdana" w:cs="Arial"/>
        </w:rPr>
        <w:t>część pozostaje na sicie 0,063 mm.</w:t>
      </w:r>
    </w:p>
    <w:p w:rsidR="00683496" w:rsidRPr="006D2270" w:rsidRDefault="00683496" w:rsidP="00683496">
      <w:pPr>
        <w:ind w:left="709" w:hanging="709"/>
        <w:jc w:val="both"/>
        <w:rPr>
          <w:rFonts w:ascii="Verdana" w:hAnsi="Verdana" w:cs="Arial"/>
        </w:rPr>
      </w:pPr>
      <w:r w:rsidRPr="006D2270">
        <w:rPr>
          <w:rFonts w:ascii="Verdana" w:hAnsi="Verdana" w:cs="Arial"/>
          <w:b/>
        </w:rPr>
        <w:t xml:space="preserve">1.4.11. </w:t>
      </w:r>
      <w:r w:rsidRPr="006D2270">
        <w:rPr>
          <w:rFonts w:ascii="Verdana" w:hAnsi="Verdana" w:cs="Arial"/>
          <w:u w:val="single"/>
        </w:rPr>
        <w:t>Pyły</w:t>
      </w:r>
      <w:r w:rsidRPr="006D2270">
        <w:rPr>
          <w:rFonts w:ascii="Verdana" w:hAnsi="Verdana" w:cs="Arial"/>
        </w:rPr>
        <w:t xml:space="preserve"> – kruszywo z ziaren przechodzących przez sito 0,063 mm.</w:t>
      </w:r>
    </w:p>
    <w:p w:rsidR="00683496" w:rsidRPr="006D2270" w:rsidRDefault="00683496" w:rsidP="00683496">
      <w:pPr>
        <w:ind w:left="851" w:hanging="851"/>
        <w:jc w:val="both"/>
        <w:rPr>
          <w:rFonts w:ascii="Verdana" w:hAnsi="Verdana" w:cs="Arial"/>
        </w:rPr>
      </w:pPr>
      <w:r w:rsidRPr="006D2270">
        <w:rPr>
          <w:rFonts w:ascii="Verdana" w:hAnsi="Verdana" w:cs="Arial"/>
          <w:b/>
        </w:rPr>
        <w:t xml:space="preserve">1.4.12. </w:t>
      </w:r>
      <w:r w:rsidRPr="006D2270">
        <w:rPr>
          <w:rFonts w:ascii="Verdana" w:hAnsi="Verdana" w:cs="Arial"/>
          <w:u w:val="single"/>
        </w:rPr>
        <w:t xml:space="preserve">Wypełniacz </w:t>
      </w:r>
      <w:r w:rsidRPr="006D2270">
        <w:rPr>
          <w:rFonts w:ascii="Verdana" w:hAnsi="Verdana" w:cs="Arial"/>
        </w:rPr>
        <w:t xml:space="preserve">– kruszywo, którego większa część przechodzi przez sito 0,063 mm. (Wypełniacz mieszany – kruszywo, które składa się z wypełniacza pochodzenia </w:t>
      </w:r>
      <w:r w:rsidRPr="006D2270">
        <w:rPr>
          <w:rFonts w:ascii="Verdana" w:hAnsi="Verdana" w:cs="Arial"/>
        </w:rPr>
        <w:lastRenderedPageBreak/>
        <w:t>mineralnego i wodorotlenku wapnia. Wypełniacz dodany – wypełniacz pochodzenia mineralnego, wyprodukowany oddzielnie).</w:t>
      </w:r>
    </w:p>
    <w:p w:rsidR="00683496" w:rsidRPr="006D2270" w:rsidRDefault="00683496" w:rsidP="00683496">
      <w:pPr>
        <w:ind w:left="851" w:hanging="851"/>
        <w:jc w:val="both"/>
        <w:rPr>
          <w:rFonts w:ascii="Verdana" w:hAnsi="Verdana" w:cs="Arial"/>
        </w:rPr>
      </w:pPr>
      <w:r w:rsidRPr="006D2270">
        <w:rPr>
          <w:rFonts w:ascii="Verdana" w:hAnsi="Verdana" w:cs="Arial"/>
          <w:b/>
        </w:rPr>
        <w:t xml:space="preserve">1.4.13. </w:t>
      </w:r>
      <w:r w:rsidRPr="006D2270">
        <w:rPr>
          <w:rFonts w:ascii="Verdana" w:hAnsi="Verdana" w:cs="Arial"/>
          <w:u w:val="single"/>
        </w:rPr>
        <w:t>Kationowa emulsja asfaltowa</w:t>
      </w:r>
      <w:r w:rsidRPr="006D2270">
        <w:rPr>
          <w:rFonts w:ascii="Verdana" w:hAnsi="Verdana" w:cs="Arial"/>
        </w:rPr>
        <w:t xml:space="preserve"> – emulsja, w której emulgator nadaje dodatnie ładunki cząstkom zdyspergowanego asfaltu.</w:t>
      </w:r>
    </w:p>
    <w:p w:rsidR="00683496" w:rsidRPr="006D2270" w:rsidRDefault="00683496" w:rsidP="00683496">
      <w:pPr>
        <w:ind w:left="851" w:hanging="851"/>
        <w:jc w:val="both"/>
        <w:rPr>
          <w:rFonts w:ascii="Verdana" w:hAnsi="Verdana" w:cs="Arial"/>
        </w:rPr>
      </w:pPr>
      <w:r w:rsidRPr="006D2270">
        <w:rPr>
          <w:rFonts w:ascii="Verdana" w:hAnsi="Verdana" w:cs="Arial"/>
          <w:b/>
        </w:rPr>
        <w:t>1.4.14.</w:t>
      </w:r>
      <w:r>
        <w:rPr>
          <w:rFonts w:ascii="Verdana" w:hAnsi="Verdana" w:cs="Arial"/>
          <w:b/>
        </w:rPr>
        <w:t xml:space="preserve"> </w:t>
      </w:r>
      <w:r w:rsidRPr="006D2270">
        <w:rPr>
          <w:rFonts w:ascii="Verdana" w:hAnsi="Verdana" w:cs="Arial"/>
        </w:rPr>
        <w:t xml:space="preserve">Pozostałe określenia podstawowe są zgodne z obowiązującymi, odpowiednimi polskimi normami i z definicjami podanymi w </w:t>
      </w:r>
      <w:r>
        <w:rPr>
          <w:rFonts w:ascii="Verdana" w:hAnsi="Verdana" w:cs="Arial"/>
        </w:rPr>
        <w:t>S</w:t>
      </w:r>
      <w:r w:rsidRPr="006D2270">
        <w:rPr>
          <w:rFonts w:ascii="Verdana" w:hAnsi="Verdana" w:cs="Arial"/>
        </w:rPr>
        <w:t>ST D-M-00.00.00 „Wymagania ogólne” pkt 1.4.</w:t>
      </w:r>
    </w:p>
    <w:p w:rsidR="00683496" w:rsidRPr="006D2270" w:rsidRDefault="00683496" w:rsidP="00683496">
      <w:pPr>
        <w:ind w:left="709" w:hanging="709"/>
        <w:jc w:val="both"/>
        <w:rPr>
          <w:rFonts w:ascii="Verdana" w:hAnsi="Verdana" w:cs="Arial"/>
        </w:rPr>
      </w:pPr>
      <w:r w:rsidRPr="006D2270">
        <w:rPr>
          <w:rFonts w:ascii="Verdana" w:hAnsi="Verdana" w:cs="Arial"/>
          <w:b/>
        </w:rPr>
        <w:t xml:space="preserve">1.4.15. </w:t>
      </w:r>
      <w:r w:rsidRPr="006D2270">
        <w:rPr>
          <w:rFonts w:ascii="Verdana" w:hAnsi="Verdana" w:cs="Arial"/>
        </w:rPr>
        <w:t>Symbole i skróty dodatkowe</w:t>
      </w:r>
    </w:p>
    <w:tbl>
      <w:tblPr>
        <w:tblW w:w="0" w:type="auto"/>
        <w:tblInd w:w="250" w:type="dxa"/>
        <w:tblLook w:val="04A0" w:firstRow="1" w:lastRow="0" w:firstColumn="1" w:lastColumn="0" w:noHBand="0" w:noVBand="1"/>
      </w:tblPr>
      <w:tblGrid>
        <w:gridCol w:w="1175"/>
        <w:gridCol w:w="6912"/>
      </w:tblGrid>
      <w:tr w:rsidR="00683496" w:rsidRPr="006D2270" w:rsidTr="00683496">
        <w:tc>
          <w:tcPr>
            <w:tcW w:w="1175" w:type="dxa"/>
          </w:tcPr>
          <w:p w:rsidR="00683496" w:rsidRPr="006D2270" w:rsidRDefault="00683496" w:rsidP="00683496">
            <w:pPr>
              <w:ind w:right="-108"/>
              <w:jc w:val="both"/>
              <w:rPr>
                <w:rFonts w:ascii="Verdana" w:hAnsi="Verdana" w:cs="Arial"/>
              </w:rPr>
            </w:pPr>
            <w:r w:rsidRPr="006D2270">
              <w:rPr>
                <w:rFonts w:ascii="Verdana" w:hAnsi="Verdana" w:cs="Arial"/>
              </w:rPr>
              <w:t>AC S</w:t>
            </w:r>
          </w:p>
        </w:tc>
        <w:tc>
          <w:tcPr>
            <w:tcW w:w="6912" w:type="dxa"/>
          </w:tcPr>
          <w:p w:rsidR="00683496" w:rsidRPr="006D2270" w:rsidRDefault="00683496" w:rsidP="002122BD">
            <w:pPr>
              <w:numPr>
                <w:ilvl w:val="0"/>
                <w:numId w:val="47"/>
              </w:numPr>
              <w:overflowPunct w:val="0"/>
              <w:autoSpaceDE w:val="0"/>
              <w:autoSpaceDN w:val="0"/>
              <w:adjustRightInd w:val="0"/>
              <w:ind w:left="318" w:hanging="219"/>
              <w:jc w:val="both"/>
              <w:textAlignment w:val="baseline"/>
              <w:rPr>
                <w:rFonts w:ascii="Verdana" w:hAnsi="Verdana" w:cs="Arial"/>
              </w:rPr>
            </w:pPr>
            <w:r w:rsidRPr="006D2270">
              <w:rPr>
                <w:rFonts w:ascii="Verdana" w:hAnsi="Verdana" w:cs="Arial"/>
              </w:rPr>
              <w:t>beton asfaltowy do warstwy ścieralnej</w:t>
            </w:r>
          </w:p>
        </w:tc>
      </w:tr>
      <w:tr w:rsidR="00683496" w:rsidRPr="006D2270" w:rsidTr="00683496">
        <w:tc>
          <w:tcPr>
            <w:tcW w:w="1175" w:type="dxa"/>
          </w:tcPr>
          <w:p w:rsidR="00683496" w:rsidRPr="006D2270" w:rsidRDefault="00683496" w:rsidP="00683496">
            <w:pPr>
              <w:jc w:val="both"/>
              <w:rPr>
                <w:rFonts w:ascii="Verdana" w:hAnsi="Verdana" w:cs="Arial"/>
              </w:rPr>
            </w:pPr>
            <w:r w:rsidRPr="006D2270">
              <w:rPr>
                <w:rFonts w:ascii="Verdana" w:hAnsi="Verdana" w:cs="Arial"/>
              </w:rPr>
              <w:t>PMB</w:t>
            </w:r>
          </w:p>
        </w:tc>
        <w:tc>
          <w:tcPr>
            <w:tcW w:w="6912" w:type="dxa"/>
          </w:tcPr>
          <w:p w:rsidR="00683496" w:rsidRPr="006D2270" w:rsidRDefault="00683496" w:rsidP="002122BD">
            <w:pPr>
              <w:numPr>
                <w:ilvl w:val="0"/>
                <w:numId w:val="44"/>
              </w:numPr>
              <w:overflowPunct w:val="0"/>
              <w:autoSpaceDE w:val="0"/>
              <w:autoSpaceDN w:val="0"/>
              <w:adjustRightInd w:val="0"/>
              <w:ind w:left="318" w:hanging="219"/>
              <w:jc w:val="both"/>
              <w:textAlignment w:val="baseline"/>
              <w:rPr>
                <w:rFonts w:ascii="Verdana" w:hAnsi="Verdana" w:cs="Arial"/>
              </w:rPr>
            </w:pPr>
            <w:r w:rsidRPr="006D2270">
              <w:rPr>
                <w:rFonts w:ascii="Verdana" w:hAnsi="Verdana" w:cs="Arial"/>
              </w:rPr>
              <w:t>asfalt modyfikowany polimerami,</w:t>
            </w:r>
          </w:p>
        </w:tc>
      </w:tr>
      <w:tr w:rsidR="00683496" w:rsidRPr="006D2270" w:rsidTr="00683496">
        <w:tc>
          <w:tcPr>
            <w:tcW w:w="1175" w:type="dxa"/>
          </w:tcPr>
          <w:p w:rsidR="00683496" w:rsidRPr="006D2270" w:rsidRDefault="00683496" w:rsidP="00683496">
            <w:pPr>
              <w:jc w:val="both"/>
              <w:rPr>
                <w:rFonts w:ascii="Verdana" w:hAnsi="Verdana" w:cs="Arial"/>
              </w:rPr>
            </w:pPr>
            <w:r w:rsidRPr="006D2270">
              <w:rPr>
                <w:rFonts w:ascii="Verdana" w:hAnsi="Verdana" w:cs="Arial"/>
              </w:rPr>
              <w:t>D</w:t>
            </w:r>
          </w:p>
        </w:tc>
        <w:tc>
          <w:tcPr>
            <w:tcW w:w="6912" w:type="dxa"/>
          </w:tcPr>
          <w:p w:rsidR="00683496" w:rsidRPr="006D2270" w:rsidRDefault="00683496" w:rsidP="002122BD">
            <w:pPr>
              <w:numPr>
                <w:ilvl w:val="0"/>
                <w:numId w:val="44"/>
              </w:numPr>
              <w:overflowPunct w:val="0"/>
              <w:autoSpaceDE w:val="0"/>
              <w:autoSpaceDN w:val="0"/>
              <w:adjustRightInd w:val="0"/>
              <w:ind w:left="318" w:hanging="219"/>
              <w:jc w:val="both"/>
              <w:textAlignment w:val="baseline"/>
              <w:rPr>
                <w:rFonts w:ascii="Verdana" w:hAnsi="Verdana" w:cs="Arial"/>
              </w:rPr>
            </w:pPr>
            <w:r w:rsidRPr="006D2270">
              <w:rPr>
                <w:rFonts w:ascii="Verdana" w:hAnsi="Verdana" w:cs="Arial"/>
              </w:rPr>
              <w:t>górny wymiar sita (przy określaniu wielkości ziaren kruszywa),</w:t>
            </w:r>
          </w:p>
        </w:tc>
      </w:tr>
      <w:tr w:rsidR="00683496" w:rsidRPr="006D2270" w:rsidTr="00683496">
        <w:tc>
          <w:tcPr>
            <w:tcW w:w="1175" w:type="dxa"/>
          </w:tcPr>
          <w:p w:rsidR="00683496" w:rsidRPr="006D2270" w:rsidRDefault="00683496" w:rsidP="00683496">
            <w:pPr>
              <w:jc w:val="both"/>
              <w:rPr>
                <w:rFonts w:ascii="Verdana" w:hAnsi="Verdana" w:cs="Arial"/>
              </w:rPr>
            </w:pPr>
            <w:r w:rsidRPr="006D2270">
              <w:rPr>
                <w:rFonts w:ascii="Verdana" w:hAnsi="Verdana" w:cs="Arial"/>
              </w:rPr>
              <w:t>d</w:t>
            </w:r>
          </w:p>
        </w:tc>
        <w:tc>
          <w:tcPr>
            <w:tcW w:w="6912" w:type="dxa"/>
          </w:tcPr>
          <w:p w:rsidR="00683496" w:rsidRPr="006D2270" w:rsidRDefault="00683496" w:rsidP="002122BD">
            <w:pPr>
              <w:numPr>
                <w:ilvl w:val="0"/>
                <w:numId w:val="44"/>
              </w:numPr>
              <w:overflowPunct w:val="0"/>
              <w:autoSpaceDE w:val="0"/>
              <w:autoSpaceDN w:val="0"/>
              <w:adjustRightInd w:val="0"/>
              <w:ind w:left="318" w:hanging="219"/>
              <w:jc w:val="both"/>
              <w:textAlignment w:val="baseline"/>
              <w:rPr>
                <w:rFonts w:ascii="Verdana" w:hAnsi="Verdana" w:cs="Arial"/>
              </w:rPr>
            </w:pPr>
            <w:r w:rsidRPr="006D2270">
              <w:rPr>
                <w:rFonts w:ascii="Verdana" w:hAnsi="Verdana" w:cs="Arial"/>
              </w:rPr>
              <w:t>dolny wymiar sita (przy określaniu wielkości ziaren kruszywa),</w:t>
            </w:r>
          </w:p>
        </w:tc>
      </w:tr>
      <w:tr w:rsidR="00683496" w:rsidRPr="006D2270" w:rsidTr="00683496">
        <w:tc>
          <w:tcPr>
            <w:tcW w:w="1175" w:type="dxa"/>
          </w:tcPr>
          <w:p w:rsidR="00683496" w:rsidRPr="006D2270" w:rsidRDefault="00683496" w:rsidP="00683496">
            <w:pPr>
              <w:jc w:val="both"/>
              <w:rPr>
                <w:rFonts w:ascii="Verdana" w:hAnsi="Verdana" w:cs="Arial"/>
              </w:rPr>
            </w:pPr>
            <w:r w:rsidRPr="006D2270">
              <w:rPr>
                <w:rFonts w:ascii="Verdana" w:hAnsi="Verdana" w:cs="Arial"/>
              </w:rPr>
              <w:t>C</w:t>
            </w:r>
          </w:p>
        </w:tc>
        <w:tc>
          <w:tcPr>
            <w:tcW w:w="6912" w:type="dxa"/>
          </w:tcPr>
          <w:p w:rsidR="00683496" w:rsidRPr="006D2270" w:rsidRDefault="00683496" w:rsidP="002122BD">
            <w:pPr>
              <w:numPr>
                <w:ilvl w:val="0"/>
                <w:numId w:val="44"/>
              </w:numPr>
              <w:overflowPunct w:val="0"/>
              <w:autoSpaceDE w:val="0"/>
              <w:autoSpaceDN w:val="0"/>
              <w:adjustRightInd w:val="0"/>
              <w:ind w:left="318" w:hanging="219"/>
              <w:jc w:val="both"/>
              <w:textAlignment w:val="baseline"/>
              <w:rPr>
                <w:rFonts w:ascii="Verdana" w:hAnsi="Verdana" w:cs="Arial"/>
              </w:rPr>
            </w:pPr>
            <w:r w:rsidRPr="006D2270">
              <w:rPr>
                <w:rFonts w:ascii="Verdana" w:hAnsi="Verdana" w:cs="Arial"/>
              </w:rPr>
              <w:t>kationowa emulsja asfaltowa,</w:t>
            </w:r>
          </w:p>
        </w:tc>
      </w:tr>
      <w:tr w:rsidR="00683496" w:rsidRPr="00896569" w:rsidTr="00683496">
        <w:tc>
          <w:tcPr>
            <w:tcW w:w="1175" w:type="dxa"/>
          </w:tcPr>
          <w:p w:rsidR="00683496" w:rsidRPr="006D2270" w:rsidRDefault="00683496" w:rsidP="00683496">
            <w:pPr>
              <w:jc w:val="both"/>
              <w:rPr>
                <w:rFonts w:ascii="Verdana" w:hAnsi="Verdana" w:cs="Arial"/>
              </w:rPr>
            </w:pPr>
            <w:r w:rsidRPr="006D2270">
              <w:rPr>
                <w:rFonts w:ascii="Verdana" w:hAnsi="Verdana" w:cs="Arial"/>
              </w:rPr>
              <w:t>N</w:t>
            </w:r>
            <w:r>
              <w:rPr>
                <w:rFonts w:ascii="Verdana" w:hAnsi="Verdana" w:cs="Arial"/>
              </w:rPr>
              <w:t>R</w:t>
            </w:r>
          </w:p>
        </w:tc>
        <w:tc>
          <w:tcPr>
            <w:tcW w:w="6912" w:type="dxa"/>
          </w:tcPr>
          <w:p w:rsidR="00683496" w:rsidRPr="00896569" w:rsidRDefault="00683496" w:rsidP="002122BD">
            <w:pPr>
              <w:numPr>
                <w:ilvl w:val="0"/>
                <w:numId w:val="44"/>
              </w:numPr>
              <w:overflowPunct w:val="0"/>
              <w:autoSpaceDE w:val="0"/>
              <w:autoSpaceDN w:val="0"/>
              <w:adjustRightInd w:val="0"/>
              <w:ind w:left="318" w:hanging="219"/>
              <w:jc w:val="both"/>
              <w:textAlignment w:val="baseline"/>
              <w:rPr>
                <w:rFonts w:ascii="Verdana" w:hAnsi="Verdana" w:cs="Arial"/>
              </w:rPr>
            </w:pPr>
            <w:r>
              <w:rPr>
                <w:rFonts w:ascii="Verdana" w:hAnsi="Verdana" w:cs="Arial"/>
              </w:rPr>
              <w:t xml:space="preserve">brak wymagań </w:t>
            </w:r>
            <w:r w:rsidRPr="006D2270">
              <w:rPr>
                <w:rFonts w:ascii="Verdana" w:hAnsi="Verdana" w:cs="Arial"/>
              </w:rPr>
              <w:t xml:space="preserve">(ang. </w:t>
            </w:r>
            <w:r w:rsidRPr="00896569">
              <w:rPr>
                <w:rFonts w:ascii="Verdana" w:hAnsi="Verdana" w:cs="Arial"/>
              </w:rPr>
              <w:t xml:space="preserve">No </w:t>
            </w:r>
            <w:proofErr w:type="spellStart"/>
            <w:r w:rsidRPr="00896569">
              <w:rPr>
                <w:rFonts w:ascii="Verdana" w:hAnsi="Verdana" w:cs="Arial"/>
              </w:rPr>
              <w:t>Requirement</w:t>
            </w:r>
            <w:proofErr w:type="spellEnd"/>
            <w:r w:rsidRPr="00896569">
              <w:rPr>
                <w:rFonts w:ascii="Verdana" w:hAnsi="Verdana" w:cs="Arial"/>
              </w:rPr>
              <w:t xml:space="preserve">; </w:t>
            </w:r>
            <w:r w:rsidRPr="006D2270">
              <w:rPr>
                <w:rFonts w:ascii="Verdana" w:hAnsi="Verdana" w:cs="Arial"/>
              </w:rPr>
              <w:t>właściwość użytkowa nie określana</w:t>
            </w:r>
            <w:r w:rsidRPr="00896569">
              <w:rPr>
                <w:rFonts w:ascii="Verdana" w:hAnsi="Verdana" w:cs="Arial"/>
              </w:rPr>
              <w:t xml:space="preserve">), </w:t>
            </w:r>
          </w:p>
        </w:tc>
      </w:tr>
      <w:tr w:rsidR="00683496" w:rsidRPr="006D2270" w:rsidTr="00683496">
        <w:tc>
          <w:tcPr>
            <w:tcW w:w="1175" w:type="dxa"/>
          </w:tcPr>
          <w:p w:rsidR="00683496" w:rsidRPr="006D2270" w:rsidRDefault="00683496" w:rsidP="00683496">
            <w:pPr>
              <w:jc w:val="both"/>
              <w:rPr>
                <w:rFonts w:ascii="Verdana" w:hAnsi="Verdana" w:cs="Arial"/>
              </w:rPr>
            </w:pPr>
            <w:r w:rsidRPr="006D2270">
              <w:rPr>
                <w:rFonts w:ascii="Verdana" w:hAnsi="Verdana" w:cs="Arial"/>
              </w:rPr>
              <w:t>TBR</w:t>
            </w:r>
          </w:p>
        </w:tc>
        <w:tc>
          <w:tcPr>
            <w:tcW w:w="6912" w:type="dxa"/>
          </w:tcPr>
          <w:p w:rsidR="00683496" w:rsidRPr="006D2270" w:rsidRDefault="00683496" w:rsidP="002122BD">
            <w:pPr>
              <w:numPr>
                <w:ilvl w:val="0"/>
                <w:numId w:val="44"/>
              </w:numPr>
              <w:overflowPunct w:val="0"/>
              <w:autoSpaceDE w:val="0"/>
              <w:autoSpaceDN w:val="0"/>
              <w:adjustRightInd w:val="0"/>
              <w:ind w:left="318" w:hanging="219"/>
              <w:jc w:val="both"/>
              <w:textAlignment w:val="baseline"/>
              <w:rPr>
                <w:rFonts w:ascii="Verdana" w:hAnsi="Verdana" w:cs="Arial"/>
              </w:rPr>
            </w:pPr>
            <w:r w:rsidRPr="006D2270">
              <w:rPr>
                <w:rFonts w:ascii="Verdana" w:hAnsi="Verdana" w:cs="Arial"/>
              </w:rPr>
              <w:t xml:space="preserve">do zadeklarowania (ang. To Be </w:t>
            </w:r>
            <w:proofErr w:type="spellStart"/>
            <w:r w:rsidRPr="006D2270">
              <w:rPr>
                <w:rFonts w:ascii="Verdana" w:hAnsi="Verdana" w:cs="Arial"/>
              </w:rPr>
              <w:t>Reported</w:t>
            </w:r>
            <w:proofErr w:type="spellEnd"/>
            <w:r w:rsidRPr="006D2270">
              <w:rPr>
                <w:rFonts w:ascii="Verdana" w:hAnsi="Verdana" w:cs="Arial"/>
              </w:rPr>
              <w:t>; producent może dostarczyć odpowiednie informacje, jednak nie jest do tego zobowiązany),</w:t>
            </w:r>
          </w:p>
        </w:tc>
      </w:tr>
      <w:tr w:rsidR="00683496" w:rsidRPr="006D2270" w:rsidTr="00683496">
        <w:tc>
          <w:tcPr>
            <w:tcW w:w="1175" w:type="dxa"/>
          </w:tcPr>
          <w:p w:rsidR="00683496" w:rsidRPr="006D2270" w:rsidRDefault="00683496" w:rsidP="00683496">
            <w:pPr>
              <w:jc w:val="both"/>
              <w:rPr>
                <w:rFonts w:ascii="Verdana" w:hAnsi="Verdana" w:cs="Arial"/>
              </w:rPr>
            </w:pPr>
            <w:r w:rsidRPr="006D2270">
              <w:rPr>
                <w:rFonts w:ascii="Verdana" w:hAnsi="Verdana" w:cs="Arial"/>
              </w:rPr>
              <w:t>IRI</w:t>
            </w:r>
          </w:p>
        </w:tc>
        <w:tc>
          <w:tcPr>
            <w:tcW w:w="6912" w:type="dxa"/>
          </w:tcPr>
          <w:p w:rsidR="00683496" w:rsidRPr="006D2270" w:rsidRDefault="00683496" w:rsidP="002122BD">
            <w:pPr>
              <w:numPr>
                <w:ilvl w:val="0"/>
                <w:numId w:val="44"/>
              </w:numPr>
              <w:overflowPunct w:val="0"/>
              <w:autoSpaceDE w:val="0"/>
              <w:autoSpaceDN w:val="0"/>
              <w:adjustRightInd w:val="0"/>
              <w:ind w:left="318" w:hanging="219"/>
              <w:jc w:val="both"/>
              <w:textAlignment w:val="baseline"/>
              <w:rPr>
                <w:rFonts w:ascii="Verdana" w:hAnsi="Verdana" w:cs="Arial"/>
              </w:rPr>
            </w:pPr>
            <w:r w:rsidRPr="006D2270">
              <w:rPr>
                <w:rFonts w:ascii="Verdana" w:hAnsi="Verdana" w:cs="Arial"/>
              </w:rPr>
              <w:t xml:space="preserve">(International </w:t>
            </w:r>
            <w:proofErr w:type="spellStart"/>
            <w:r w:rsidRPr="006D2270">
              <w:rPr>
                <w:rFonts w:ascii="Verdana" w:hAnsi="Verdana" w:cs="Arial"/>
              </w:rPr>
              <w:t>Roughness</w:t>
            </w:r>
            <w:proofErr w:type="spellEnd"/>
            <w:r w:rsidRPr="006D2270">
              <w:rPr>
                <w:rFonts w:ascii="Verdana" w:hAnsi="Verdana" w:cs="Arial"/>
              </w:rPr>
              <w:t xml:space="preserve"> Index) międzynarodowy wskaźnik równości,</w:t>
            </w:r>
          </w:p>
        </w:tc>
      </w:tr>
    </w:tbl>
    <w:p w:rsidR="00683496" w:rsidRPr="006D2270" w:rsidRDefault="00683496" w:rsidP="00683496">
      <w:pPr>
        <w:keepNext/>
        <w:spacing w:before="240" w:after="60"/>
        <w:outlineLvl w:val="1"/>
        <w:rPr>
          <w:rFonts w:ascii="Verdana" w:hAnsi="Verdana" w:cs="Arial"/>
          <w:b/>
          <w:bCs/>
          <w:iCs/>
        </w:rPr>
      </w:pPr>
      <w:bookmarkStart w:id="347" w:name="_Toc316558727"/>
      <w:r w:rsidRPr="006D2270">
        <w:rPr>
          <w:rFonts w:ascii="Verdana" w:hAnsi="Verdana" w:cs="Arial"/>
          <w:b/>
          <w:bCs/>
          <w:iCs/>
        </w:rPr>
        <w:t>1.5. Ogólne wymagania dotyczące robót</w:t>
      </w:r>
      <w:bookmarkEnd w:id="347"/>
    </w:p>
    <w:p w:rsidR="00683496" w:rsidRPr="006D2270" w:rsidRDefault="00683496" w:rsidP="00683496">
      <w:pPr>
        <w:jc w:val="both"/>
        <w:rPr>
          <w:rFonts w:ascii="Verdana" w:hAnsi="Verdana" w:cs="Arial"/>
        </w:rPr>
      </w:pPr>
      <w:r w:rsidRPr="006D2270">
        <w:rPr>
          <w:rFonts w:ascii="Verdana" w:hAnsi="Verdana" w:cs="Arial"/>
        </w:rPr>
        <w:t xml:space="preserve">Ogólne wymagania dotyczące robót podano w SST D-M-00.00.00 „Wymagania ogólne” pkt 1.5. </w:t>
      </w:r>
    </w:p>
    <w:p w:rsidR="00683496" w:rsidRPr="006D2270" w:rsidRDefault="00683496" w:rsidP="00683496">
      <w:pPr>
        <w:jc w:val="both"/>
        <w:rPr>
          <w:rFonts w:ascii="Verdana" w:hAnsi="Verdana" w:cs="Arial"/>
        </w:rPr>
      </w:pPr>
    </w:p>
    <w:p w:rsidR="00683496" w:rsidRPr="006D2270" w:rsidRDefault="00683496" w:rsidP="00683496">
      <w:pPr>
        <w:jc w:val="both"/>
        <w:rPr>
          <w:rFonts w:ascii="Verdana" w:hAnsi="Verdana" w:cs="Arial"/>
          <w:b/>
        </w:rPr>
      </w:pPr>
      <w:r w:rsidRPr="006D2270">
        <w:rPr>
          <w:rFonts w:ascii="Verdana" w:hAnsi="Verdana" w:cs="Arial"/>
          <w:b/>
        </w:rPr>
        <w:t>2. Materiały</w:t>
      </w:r>
    </w:p>
    <w:p w:rsidR="00683496" w:rsidRPr="006D2270" w:rsidRDefault="00683496" w:rsidP="00683496">
      <w:pPr>
        <w:keepNext/>
        <w:outlineLvl w:val="1"/>
        <w:rPr>
          <w:rFonts w:ascii="Verdana" w:hAnsi="Verdana" w:cs="Arial"/>
          <w:b/>
          <w:bCs/>
          <w:iCs/>
        </w:rPr>
      </w:pPr>
      <w:bookmarkStart w:id="348" w:name="_Toc316558728"/>
      <w:r w:rsidRPr="006D2270">
        <w:rPr>
          <w:rFonts w:ascii="Verdana" w:hAnsi="Verdana" w:cs="Arial"/>
          <w:b/>
          <w:bCs/>
          <w:iCs/>
        </w:rPr>
        <w:t>2.1. Ogólne wymagania dotyczące materiałów</w:t>
      </w:r>
      <w:bookmarkEnd w:id="348"/>
    </w:p>
    <w:p w:rsidR="00683496" w:rsidRDefault="00683496" w:rsidP="00683496">
      <w:pPr>
        <w:jc w:val="both"/>
        <w:rPr>
          <w:rFonts w:ascii="Verdana" w:hAnsi="Verdana" w:cs="Arial"/>
        </w:rPr>
      </w:pPr>
      <w:r w:rsidRPr="006D2270">
        <w:rPr>
          <w:rFonts w:ascii="Verdana" w:hAnsi="Verdana" w:cs="Arial"/>
        </w:rPr>
        <w:t>Ogólne wymagania dotyczące materiałów, ich pozyskiwania i składowania, podano w SST D-M-00.00.00 „Wymagania ogólne” pkt 2.</w:t>
      </w:r>
    </w:p>
    <w:p w:rsidR="00683496" w:rsidRPr="006D2270" w:rsidRDefault="00683496" w:rsidP="00683496">
      <w:pPr>
        <w:jc w:val="both"/>
        <w:rPr>
          <w:rFonts w:ascii="Verdana" w:hAnsi="Verdana" w:cs="Arial"/>
        </w:rPr>
      </w:pPr>
      <w:r>
        <w:rPr>
          <w:rFonts w:ascii="Verdana" w:hAnsi="Verdana" w:cs="Arial"/>
        </w:rPr>
        <w:t>Producent kruszywa, wypełniacza oraz asfaltu powinien prowadzić zakładową kontrolę produkcji (ZKP) z oceną zgodności wyrobu wg systemu 2+.</w:t>
      </w:r>
    </w:p>
    <w:p w:rsidR="00683496" w:rsidRPr="006D2270" w:rsidRDefault="00683496" w:rsidP="00683496">
      <w:pPr>
        <w:jc w:val="both"/>
        <w:rPr>
          <w:rFonts w:ascii="Verdana" w:hAnsi="Verdana" w:cs="Arial"/>
        </w:rPr>
      </w:pPr>
    </w:p>
    <w:p w:rsidR="00683496" w:rsidRPr="006D2270" w:rsidRDefault="00683496" w:rsidP="00683496">
      <w:pPr>
        <w:keepNext/>
        <w:outlineLvl w:val="1"/>
        <w:rPr>
          <w:rFonts w:ascii="Verdana" w:hAnsi="Verdana" w:cs="Arial"/>
          <w:b/>
          <w:bCs/>
          <w:iCs/>
        </w:rPr>
      </w:pPr>
      <w:bookmarkStart w:id="349" w:name="_Toc316558729"/>
      <w:r w:rsidRPr="006D2270">
        <w:rPr>
          <w:rFonts w:ascii="Verdana" w:hAnsi="Verdana" w:cs="Arial"/>
          <w:b/>
          <w:bCs/>
          <w:iCs/>
        </w:rPr>
        <w:t>2.2. Lepiszcza asfaltowe</w:t>
      </w:r>
      <w:bookmarkEnd w:id="349"/>
    </w:p>
    <w:p w:rsidR="00683496" w:rsidRPr="006D2270" w:rsidRDefault="00683496" w:rsidP="00683496">
      <w:pPr>
        <w:rPr>
          <w:rFonts w:ascii="Verdana" w:hAnsi="Verdana" w:cs="Arial"/>
        </w:rPr>
      </w:pPr>
      <w:r w:rsidRPr="006D2270">
        <w:rPr>
          <w:rFonts w:ascii="Verdana" w:hAnsi="Verdana" w:cs="Arial"/>
        </w:rPr>
        <w:t xml:space="preserve">Należy stosować asfalty modyfikowane polimerami wg PN-EN 14023 [59]. </w:t>
      </w:r>
      <w:r w:rsidRPr="006D2270">
        <w:rPr>
          <w:rFonts w:ascii="Verdana" w:hAnsi="Verdana" w:cs="Arial"/>
        </w:rPr>
        <w:br/>
        <w:t>Rodzaje stosowanych lepiszczy asfaltowych podano w tab</w:t>
      </w:r>
      <w:r>
        <w:rPr>
          <w:rFonts w:ascii="Verdana" w:hAnsi="Verdana" w:cs="Arial"/>
        </w:rPr>
        <w:t>ela</w:t>
      </w:r>
      <w:r w:rsidRPr="006D2270">
        <w:rPr>
          <w:rFonts w:ascii="Verdana" w:hAnsi="Verdana" w:cs="Arial"/>
        </w:rPr>
        <w:t xml:space="preserve"> 2. </w:t>
      </w:r>
    </w:p>
    <w:p w:rsidR="00683496" w:rsidRPr="006D2270" w:rsidRDefault="00683496" w:rsidP="00683496">
      <w:pPr>
        <w:spacing w:before="60" w:after="60"/>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2. Zalecane lepiszcza asfaltowe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784"/>
        <w:gridCol w:w="1800"/>
        <w:gridCol w:w="2543"/>
      </w:tblGrid>
      <w:tr w:rsidR="00683496" w:rsidRPr="006D2270" w:rsidTr="00683496">
        <w:tc>
          <w:tcPr>
            <w:tcW w:w="1384" w:type="dxa"/>
            <w:vMerge w:val="restart"/>
            <w:vAlign w:val="center"/>
          </w:tcPr>
          <w:p w:rsidR="00683496" w:rsidRPr="006D2270" w:rsidRDefault="00683496" w:rsidP="00683496">
            <w:pPr>
              <w:spacing w:before="60"/>
              <w:jc w:val="center"/>
              <w:rPr>
                <w:rFonts w:ascii="Verdana" w:hAnsi="Verdana" w:cs="Arial"/>
              </w:rPr>
            </w:pPr>
            <w:r w:rsidRPr="006D2270">
              <w:rPr>
                <w:rFonts w:ascii="Verdana" w:hAnsi="Verdana" w:cs="Arial"/>
              </w:rPr>
              <w:t>Kategoria</w:t>
            </w:r>
          </w:p>
          <w:p w:rsidR="00683496" w:rsidRPr="006D2270" w:rsidRDefault="00683496" w:rsidP="00683496">
            <w:pPr>
              <w:spacing w:after="60"/>
              <w:jc w:val="center"/>
              <w:rPr>
                <w:rFonts w:ascii="Verdana" w:hAnsi="Verdana" w:cs="Arial"/>
              </w:rPr>
            </w:pPr>
            <w:r w:rsidRPr="006D2270">
              <w:rPr>
                <w:rFonts w:ascii="Verdana" w:hAnsi="Verdana" w:cs="Arial"/>
              </w:rPr>
              <w:t>ruchu</w:t>
            </w:r>
          </w:p>
        </w:tc>
        <w:tc>
          <w:tcPr>
            <w:tcW w:w="1784" w:type="dxa"/>
            <w:vMerge w:val="restart"/>
            <w:vAlign w:val="center"/>
          </w:tcPr>
          <w:p w:rsidR="00683496" w:rsidRPr="006D2270" w:rsidRDefault="00683496" w:rsidP="00683496">
            <w:pPr>
              <w:spacing w:before="60"/>
              <w:jc w:val="center"/>
              <w:rPr>
                <w:rFonts w:ascii="Verdana" w:hAnsi="Verdana" w:cs="Arial"/>
              </w:rPr>
            </w:pPr>
            <w:r w:rsidRPr="006D2270">
              <w:rPr>
                <w:rFonts w:ascii="Verdana" w:hAnsi="Verdana" w:cs="Arial"/>
              </w:rPr>
              <w:t>Mieszanka</w:t>
            </w:r>
          </w:p>
          <w:p w:rsidR="00683496" w:rsidRPr="006D2270" w:rsidRDefault="00683496" w:rsidP="00683496">
            <w:pPr>
              <w:spacing w:after="60"/>
              <w:jc w:val="center"/>
              <w:rPr>
                <w:rFonts w:ascii="Verdana" w:hAnsi="Verdana" w:cs="Arial"/>
              </w:rPr>
            </w:pPr>
            <w:r w:rsidRPr="006D2270">
              <w:rPr>
                <w:rFonts w:ascii="Verdana" w:hAnsi="Verdana" w:cs="Arial"/>
              </w:rPr>
              <w:t>AC</w:t>
            </w:r>
          </w:p>
        </w:tc>
        <w:tc>
          <w:tcPr>
            <w:tcW w:w="4343" w:type="dxa"/>
            <w:gridSpan w:val="2"/>
          </w:tcPr>
          <w:p w:rsidR="00683496" w:rsidRPr="006D2270" w:rsidRDefault="00683496" w:rsidP="00683496">
            <w:pPr>
              <w:spacing w:before="60"/>
              <w:jc w:val="center"/>
              <w:rPr>
                <w:rFonts w:ascii="Verdana" w:hAnsi="Verdana" w:cs="Arial"/>
              </w:rPr>
            </w:pPr>
            <w:r w:rsidRPr="006D2270">
              <w:rPr>
                <w:rFonts w:ascii="Verdana" w:hAnsi="Verdana" w:cs="Arial"/>
              </w:rPr>
              <w:t xml:space="preserve">Rodzaje asfaltów </w:t>
            </w:r>
          </w:p>
        </w:tc>
      </w:tr>
      <w:tr w:rsidR="00683496" w:rsidRPr="006D2270" w:rsidTr="00683496">
        <w:trPr>
          <w:trHeight w:val="482"/>
        </w:trPr>
        <w:tc>
          <w:tcPr>
            <w:tcW w:w="1384" w:type="dxa"/>
            <w:vMerge/>
            <w:vAlign w:val="center"/>
          </w:tcPr>
          <w:p w:rsidR="00683496" w:rsidRPr="006D2270" w:rsidRDefault="00683496" w:rsidP="00683496">
            <w:pPr>
              <w:spacing w:after="60"/>
              <w:jc w:val="center"/>
              <w:rPr>
                <w:rFonts w:ascii="Verdana" w:hAnsi="Verdana" w:cs="Arial"/>
              </w:rPr>
            </w:pPr>
          </w:p>
        </w:tc>
        <w:tc>
          <w:tcPr>
            <w:tcW w:w="1784" w:type="dxa"/>
            <w:vMerge/>
            <w:vAlign w:val="center"/>
          </w:tcPr>
          <w:p w:rsidR="00683496" w:rsidRPr="006D2270" w:rsidRDefault="00683496" w:rsidP="00683496">
            <w:pPr>
              <w:spacing w:after="60"/>
              <w:jc w:val="center"/>
              <w:rPr>
                <w:rFonts w:ascii="Verdana" w:hAnsi="Verdana" w:cs="Arial"/>
              </w:rPr>
            </w:pPr>
          </w:p>
        </w:tc>
        <w:tc>
          <w:tcPr>
            <w:tcW w:w="1800" w:type="dxa"/>
            <w:vAlign w:val="center"/>
          </w:tcPr>
          <w:p w:rsidR="00683496" w:rsidRPr="006D2270" w:rsidRDefault="00683496" w:rsidP="00683496">
            <w:pPr>
              <w:spacing w:after="60"/>
              <w:jc w:val="center"/>
              <w:rPr>
                <w:rFonts w:ascii="Verdana" w:hAnsi="Verdana" w:cs="Arial"/>
              </w:rPr>
            </w:pPr>
            <w:r w:rsidRPr="006D2270">
              <w:rPr>
                <w:rFonts w:ascii="Verdana" w:hAnsi="Verdana" w:cs="Arial"/>
              </w:rPr>
              <w:t>Asfalty drogowe</w:t>
            </w:r>
          </w:p>
        </w:tc>
        <w:tc>
          <w:tcPr>
            <w:tcW w:w="2543" w:type="dxa"/>
            <w:tcBorders>
              <w:bottom w:val="single" w:sz="4" w:space="0" w:color="auto"/>
            </w:tcBorders>
            <w:vAlign w:val="center"/>
          </w:tcPr>
          <w:p w:rsidR="00683496" w:rsidRPr="006D2270" w:rsidRDefault="00683496" w:rsidP="00683496">
            <w:pPr>
              <w:spacing w:after="60"/>
              <w:jc w:val="center"/>
              <w:rPr>
                <w:rFonts w:ascii="Verdana" w:hAnsi="Verdana" w:cs="Arial"/>
              </w:rPr>
            </w:pPr>
            <w:r w:rsidRPr="006D2270">
              <w:rPr>
                <w:rFonts w:ascii="Verdana" w:hAnsi="Verdana" w:cs="Arial"/>
              </w:rPr>
              <w:t xml:space="preserve">Asfalty modyfikowane polimerami </w:t>
            </w:r>
          </w:p>
        </w:tc>
      </w:tr>
      <w:tr w:rsidR="00683496" w:rsidRPr="006D2270" w:rsidTr="00683496">
        <w:trPr>
          <w:trHeight w:val="520"/>
        </w:trPr>
        <w:tc>
          <w:tcPr>
            <w:tcW w:w="1384" w:type="dxa"/>
            <w:vAlign w:val="center"/>
          </w:tcPr>
          <w:p w:rsidR="00683496" w:rsidRPr="006D2270" w:rsidRDefault="00683496" w:rsidP="00683496">
            <w:pPr>
              <w:spacing w:before="60" w:after="60"/>
              <w:jc w:val="center"/>
              <w:rPr>
                <w:rFonts w:ascii="Verdana" w:hAnsi="Verdana" w:cs="Arial"/>
              </w:rPr>
            </w:pPr>
            <w:r w:rsidRPr="006D2270">
              <w:rPr>
                <w:rFonts w:ascii="Verdana" w:hAnsi="Verdana" w:cs="Arial"/>
              </w:rPr>
              <w:t>KR 3</w:t>
            </w:r>
            <w:r>
              <w:rPr>
                <w:rFonts w:ascii="Verdana" w:hAnsi="Verdana" w:cs="Arial"/>
              </w:rPr>
              <w:t>÷</w:t>
            </w:r>
            <w:r w:rsidRPr="006D2270">
              <w:rPr>
                <w:rFonts w:ascii="Verdana" w:hAnsi="Verdana" w:cs="Arial"/>
              </w:rPr>
              <w:t>4</w:t>
            </w:r>
          </w:p>
        </w:tc>
        <w:tc>
          <w:tcPr>
            <w:tcW w:w="1784" w:type="dxa"/>
            <w:vAlign w:val="center"/>
          </w:tcPr>
          <w:p w:rsidR="00683496" w:rsidRPr="006D2270" w:rsidRDefault="00683496" w:rsidP="00683496">
            <w:pPr>
              <w:spacing w:before="60" w:after="60"/>
              <w:jc w:val="center"/>
              <w:rPr>
                <w:rFonts w:ascii="Verdana" w:hAnsi="Verdana" w:cs="Arial"/>
              </w:rPr>
            </w:pPr>
            <w:r w:rsidRPr="006D2270">
              <w:rPr>
                <w:rFonts w:ascii="Verdana" w:hAnsi="Verdana" w:cs="Arial"/>
              </w:rPr>
              <w:t>AC 11</w:t>
            </w:r>
            <w:r>
              <w:rPr>
                <w:rFonts w:ascii="Verdana" w:hAnsi="Verdana" w:cs="Arial"/>
              </w:rPr>
              <w:t xml:space="preserve"> </w:t>
            </w:r>
            <w:r w:rsidRPr="006D2270">
              <w:rPr>
                <w:rFonts w:ascii="Verdana" w:hAnsi="Verdana" w:cs="Arial"/>
              </w:rPr>
              <w:t>S</w:t>
            </w:r>
          </w:p>
        </w:tc>
        <w:tc>
          <w:tcPr>
            <w:tcW w:w="1800" w:type="dxa"/>
            <w:vAlign w:val="center"/>
          </w:tcPr>
          <w:p w:rsidR="00683496" w:rsidRPr="006D2270" w:rsidRDefault="00683496" w:rsidP="00683496">
            <w:pPr>
              <w:spacing w:before="60" w:after="60"/>
              <w:jc w:val="center"/>
              <w:rPr>
                <w:rFonts w:ascii="Verdana" w:hAnsi="Verdana" w:cs="Arial"/>
              </w:rPr>
            </w:pPr>
            <w:r w:rsidRPr="006D2270">
              <w:rPr>
                <w:rFonts w:ascii="Verdana" w:hAnsi="Verdana" w:cs="Arial"/>
              </w:rPr>
              <w:t>-</w:t>
            </w:r>
          </w:p>
        </w:tc>
        <w:tc>
          <w:tcPr>
            <w:tcW w:w="2543" w:type="dxa"/>
            <w:tcBorders>
              <w:bottom w:val="single" w:sz="4" w:space="0" w:color="auto"/>
            </w:tcBorders>
            <w:vAlign w:val="center"/>
          </w:tcPr>
          <w:p w:rsidR="00683496" w:rsidRPr="006D2270" w:rsidRDefault="00683496" w:rsidP="00683496">
            <w:pPr>
              <w:jc w:val="center"/>
              <w:rPr>
                <w:rFonts w:ascii="Verdana" w:hAnsi="Verdana" w:cs="Arial"/>
              </w:rPr>
            </w:pPr>
            <w:r w:rsidRPr="006D2270">
              <w:rPr>
                <w:rFonts w:ascii="Verdana" w:hAnsi="Verdana" w:cs="Arial"/>
              </w:rPr>
              <w:t>PMB 45/80-55</w:t>
            </w:r>
          </w:p>
          <w:p w:rsidR="00683496" w:rsidRPr="006D2270" w:rsidRDefault="00683496" w:rsidP="00683496">
            <w:pPr>
              <w:jc w:val="center"/>
              <w:rPr>
                <w:rFonts w:ascii="Verdana" w:hAnsi="Verdana" w:cs="Arial"/>
              </w:rPr>
            </w:pPr>
            <w:r w:rsidRPr="006D2270">
              <w:rPr>
                <w:rFonts w:ascii="Verdana" w:hAnsi="Verdana" w:cs="Arial"/>
              </w:rPr>
              <w:t>PMB 45/80-65</w:t>
            </w:r>
          </w:p>
        </w:tc>
      </w:tr>
    </w:tbl>
    <w:p w:rsidR="00683496" w:rsidRDefault="00683496" w:rsidP="00683496">
      <w:pPr>
        <w:rPr>
          <w:rFonts w:ascii="Verdana" w:hAnsi="Verdana" w:cs="Arial"/>
        </w:rPr>
      </w:pPr>
    </w:p>
    <w:p w:rsidR="00683496" w:rsidRDefault="00683496" w:rsidP="00683496">
      <w:pPr>
        <w:rPr>
          <w:rFonts w:ascii="Verdana" w:hAnsi="Verdana" w:cs="Arial"/>
        </w:rPr>
      </w:pPr>
      <w:r w:rsidRPr="006D2270">
        <w:rPr>
          <w:rFonts w:ascii="Verdana" w:hAnsi="Verdana" w:cs="Arial"/>
        </w:rPr>
        <w:t>Asfalty modyfikowane polimerami powinny spełniać wymagania podane  w tab</w:t>
      </w:r>
      <w:r>
        <w:rPr>
          <w:rFonts w:ascii="Verdana" w:hAnsi="Verdana" w:cs="Arial"/>
        </w:rPr>
        <w:t>ela</w:t>
      </w:r>
      <w:r w:rsidRPr="006D2270">
        <w:rPr>
          <w:rFonts w:ascii="Verdana" w:hAnsi="Verdana" w:cs="Arial"/>
        </w:rPr>
        <w:t xml:space="preserve"> </w:t>
      </w:r>
      <w:r>
        <w:rPr>
          <w:rFonts w:ascii="Verdana" w:hAnsi="Verdana" w:cs="Arial"/>
        </w:rPr>
        <w:t>3</w:t>
      </w:r>
      <w:r w:rsidRPr="006D2270">
        <w:rPr>
          <w:rFonts w:ascii="Verdana" w:hAnsi="Verdana" w:cs="Arial"/>
        </w:rPr>
        <w:t>.</w:t>
      </w:r>
    </w:p>
    <w:p w:rsidR="00683496" w:rsidRPr="006D2270" w:rsidRDefault="00683496" w:rsidP="00683496">
      <w:pPr>
        <w:rPr>
          <w:rFonts w:ascii="Verdana" w:hAnsi="Verdana" w:cs="Arial"/>
        </w:rPr>
      </w:pPr>
    </w:p>
    <w:p w:rsidR="00683496" w:rsidRPr="006D2270" w:rsidRDefault="00683496" w:rsidP="00683496">
      <w:pPr>
        <w:tabs>
          <w:tab w:val="left" w:pos="993"/>
        </w:tabs>
        <w:ind w:left="992" w:hanging="992"/>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w:t>
      </w:r>
      <w:r>
        <w:rPr>
          <w:rFonts w:ascii="Verdana" w:hAnsi="Verdana" w:cs="Arial"/>
        </w:rPr>
        <w:t>3</w:t>
      </w:r>
      <w:r w:rsidRPr="006D2270">
        <w:rPr>
          <w:rFonts w:ascii="Verdana" w:hAnsi="Verdana" w:cs="Arial"/>
        </w:rPr>
        <w:t>.</w:t>
      </w:r>
      <w:r w:rsidRPr="006D2270">
        <w:rPr>
          <w:rFonts w:ascii="Verdana" w:hAnsi="Verdana" w:cs="Arial"/>
        </w:rPr>
        <w:tab/>
        <w:t>Wymagania wobec asfaltów modyfikowanych polimerami wg PN-EN 14023 [59]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698"/>
        <w:gridCol w:w="1276"/>
        <w:gridCol w:w="709"/>
        <w:gridCol w:w="850"/>
        <w:gridCol w:w="709"/>
        <w:gridCol w:w="850"/>
        <w:gridCol w:w="709"/>
      </w:tblGrid>
      <w:tr w:rsidR="00683496" w:rsidRPr="006D2270" w:rsidTr="00683496">
        <w:tc>
          <w:tcPr>
            <w:tcW w:w="2088" w:type="dxa"/>
            <w:vMerge w:val="restart"/>
            <w:vAlign w:val="center"/>
          </w:tcPr>
          <w:p w:rsidR="00683496" w:rsidRPr="009D0D56" w:rsidRDefault="00683496" w:rsidP="00683496">
            <w:pPr>
              <w:ind w:right="534"/>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Wymaganie</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podstawowe</w:t>
            </w:r>
          </w:p>
        </w:tc>
        <w:tc>
          <w:tcPr>
            <w:tcW w:w="2698" w:type="dxa"/>
            <w:vMerge w:val="restart"/>
            <w:vAlign w:val="center"/>
          </w:tcPr>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Właściwość</w:t>
            </w:r>
          </w:p>
        </w:tc>
        <w:tc>
          <w:tcPr>
            <w:tcW w:w="1276" w:type="dxa"/>
            <w:vMerge w:val="restart"/>
            <w:vAlign w:val="center"/>
          </w:tcPr>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Metoda</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badania</w:t>
            </w:r>
          </w:p>
        </w:tc>
        <w:tc>
          <w:tcPr>
            <w:tcW w:w="709" w:type="dxa"/>
            <w:vMerge w:val="restart"/>
            <w:vAlign w:val="center"/>
          </w:tcPr>
          <w:p w:rsidR="00683496" w:rsidRPr="009D0D56" w:rsidRDefault="00683496" w:rsidP="00683496">
            <w:pPr>
              <w:jc w:val="center"/>
              <w:rPr>
                <w:rFonts w:ascii="Verdana" w:hAnsi="Verdana" w:cs="Arial"/>
                <w:w w:val="90"/>
                <w:sz w:val="16"/>
                <w:szCs w:val="16"/>
              </w:rPr>
            </w:pPr>
            <w:r w:rsidRPr="009D0D56">
              <w:rPr>
                <w:rFonts w:ascii="Verdana" w:hAnsi="Verdana" w:cs="Arial"/>
                <w:w w:val="90"/>
                <w:sz w:val="16"/>
                <w:szCs w:val="16"/>
              </w:rPr>
              <w:t>Jednostka</w:t>
            </w:r>
          </w:p>
        </w:tc>
        <w:tc>
          <w:tcPr>
            <w:tcW w:w="3118" w:type="dxa"/>
            <w:gridSpan w:val="4"/>
          </w:tcPr>
          <w:p w:rsidR="00683496" w:rsidRPr="009D0D56" w:rsidRDefault="00683496" w:rsidP="00683496">
            <w:pPr>
              <w:jc w:val="center"/>
              <w:rPr>
                <w:rFonts w:ascii="Verdana" w:hAnsi="Verdana" w:cs="Arial"/>
                <w:sz w:val="16"/>
                <w:szCs w:val="16"/>
              </w:rPr>
            </w:pPr>
            <w:r>
              <w:rPr>
                <w:rFonts w:ascii="Verdana" w:hAnsi="Verdana" w:cs="Arial"/>
                <w:sz w:val="16"/>
                <w:szCs w:val="16"/>
              </w:rPr>
              <w:t>Rodzaje asfaltów modyfikowanych polimerami (PMB)</w:t>
            </w:r>
            <w:r w:rsidRPr="009D0D56">
              <w:rPr>
                <w:rFonts w:ascii="Verdana" w:hAnsi="Verdana" w:cs="Arial"/>
                <w:sz w:val="16"/>
                <w:szCs w:val="16"/>
              </w:rPr>
              <w:t xml:space="preserve"> </w:t>
            </w:r>
          </w:p>
        </w:tc>
      </w:tr>
      <w:tr w:rsidR="00683496" w:rsidRPr="006D2270" w:rsidTr="00683496">
        <w:trPr>
          <w:trHeight w:val="326"/>
        </w:trPr>
        <w:tc>
          <w:tcPr>
            <w:tcW w:w="2088" w:type="dxa"/>
            <w:vMerge/>
          </w:tcPr>
          <w:p w:rsidR="00683496" w:rsidRPr="009D0D56" w:rsidRDefault="00683496" w:rsidP="00683496">
            <w:pPr>
              <w:jc w:val="center"/>
              <w:rPr>
                <w:rFonts w:ascii="Verdana" w:hAnsi="Verdana" w:cs="Arial"/>
                <w:sz w:val="16"/>
                <w:szCs w:val="16"/>
              </w:rPr>
            </w:pPr>
          </w:p>
        </w:tc>
        <w:tc>
          <w:tcPr>
            <w:tcW w:w="2698" w:type="dxa"/>
            <w:vMerge/>
          </w:tcPr>
          <w:p w:rsidR="00683496" w:rsidRPr="009D0D56" w:rsidRDefault="00683496" w:rsidP="00683496">
            <w:pPr>
              <w:jc w:val="center"/>
              <w:rPr>
                <w:rFonts w:ascii="Verdana" w:hAnsi="Verdana" w:cs="Arial"/>
                <w:sz w:val="16"/>
                <w:szCs w:val="16"/>
              </w:rPr>
            </w:pPr>
          </w:p>
        </w:tc>
        <w:tc>
          <w:tcPr>
            <w:tcW w:w="1276" w:type="dxa"/>
            <w:vMerge/>
          </w:tcPr>
          <w:p w:rsidR="00683496" w:rsidRPr="009D0D56" w:rsidRDefault="00683496" w:rsidP="00683496">
            <w:pPr>
              <w:jc w:val="center"/>
              <w:rPr>
                <w:rFonts w:ascii="Verdana" w:hAnsi="Verdana" w:cs="Arial"/>
                <w:sz w:val="16"/>
                <w:szCs w:val="16"/>
              </w:rPr>
            </w:pPr>
          </w:p>
        </w:tc>
        <w:tc>
          <w:tcPr>
            <w:tcW w:w="709" w:type="dxa"/>
            <w:vMerge/>
          </w:tcPr>
          <w:p w:rsidR="00683496" w:rsidRPr="009D0D56" w:rsidRDefault="00683496" w:rsidP="00683496">
            <w:pPr>
              <w:jc w:val="center"/>
              <w:rPr>
                <w:rFonts w:ascii="Verdana" w:hAnsi="Verdana" w:cs="Arial"/>
                <w:sz w:val="16"/>
                <w:szCs w:val="16"/>
              </w:rPr>
            </w:pPr>
          </w:p>
        </w:tc>
        <w:tc>
          <w:tcPr>
            <w:tcW w:w="1559" w:type="dxa"/>
            <w:gridSpan w:val="2"/>
            <w:vAlign w:val="center"/>
          </w:tcPr>
          <w:p w:rsidR="00683496" w:rsidRPr="0028266A" w:rsidRDefault="00683496" w:rsidP="00683496">
            <w:pPr>
              <w:jc w:val="center"/>
              <w:rPr>
                <w:rFonts w:ascii="Verdana" w:hAnsi="Verdana" w:cs="Arial"/>
                <w:sz w:val="16"/>
                <w:szCs w:val="16"/>
                <w:vertAlign w:val="superscript"/>
              </w:rPr>
            </w:pPr>
            <w:r w:rsidRPr="009D0D56">
              <w:rPr>
                <w:rFonts w:ascii="Verdana" w:hAnsi="Verdana" w:cs="Arial"/>
                <w:sz w:val="16"/>
                <w:szCs w:val="16"/>
              </w:rPr>
              <w:t>PMB 45/80-55</w:t>
            </w:r>
            <w:r>
              <w:rPr>
                <w:rFonts w:ascii="Verdana" w:hAnsi="Verdana" w:cs="Arial"/>
                <w:sz w:val="16"/>
                <w:szCs w:val="16"/>
                <w:vertAlign w:val="superscript"/>
              </w:rPr>
              <w:t>a</w:t>
            </w:r>
          </w:p>
        </w:tc>
        <w:tc>
          <w:tcPr>
            <w:tcW w:w="1559" w:type="dxa"/>
            <w:gridSpan w:val="2"/>
            <w:vAlign w:val="center"/>
          </w:tcPr>
          <w:p w:rsidR="00683496" w:rsidRPr="0028266A" w:rsidRDefault="00683496" w:rsidP="00683496">
            <w:pPr>
              <w:jc w:val="center"/>
              <w:rPr>
                <w:rFonts w:ascii="Verdana" w:hAnsi="Verdana" w:cs="Arial"/>
                <w:sz w:val="16"/>
                <w:szCs w:val="16"/>
                <w:vertAlign w:val="superscript"/>
              </w:rPr>
            </w:pPr>
            <w:r w:rsidRPr="009D0D56">
              <w:rPr>
                <w:rFonts w:ascii="Verdana" w:hAnsi="Verdana" w:cs="Arial"/>
                <w:sz w:val="16"/>
                <w:szCs w:val="16"/>
              </w:rPr>
              <w:t>PMB 45/80-65</w:t>
            </w:r>
            <w:r>
              <w:rPr>
                <w:rFonts w:ascii="Verdana" w:hAnsi="Verdana" w:cs="Arial"/>
                <w:sz w:val="16"/>
                <w:szCs w:val="16"/>
                <w:vertAlign w:val="superscript"/>
              </w:rPr>
              <w:t>a</w:t>
            </w:r>
          </w:p>
        </w:tc>
      </w:tr>
      <w:tr w:rsidR="00683496" w:rsidRPr="006D2270" w:rsidTr="00683496">
        <w:tc>
          <w:tcPr>
            <w:tcW w:w="2088" w:type="dxa"/>
            <w:vMerge/>
          </w:tcPr>
          <w:p w:rsidR="00683496" w:rsidRPr="009D0D56" w:rsidRDefault="00683496" w:rsidP="00683496">
            <w:pPr>
              <w:jc w:val="center"/>
              <w:rPr>
                <w:rFonts w:ascii="Verdana" w:hAnsi="Verdana" w:cs="Arial"/>
                <w:sz w:val="16"/>
                <w:szCs w:val="16"/>
              </w:rPr>
            </w:pPr>
          </w:p>
        </w:tc>
        <w:tc>
          <w:tcPr>
            <w:tcW w:w="2698" w:type="dxa"/>
            <w:vMerge/>
          </w:tcPr>
          <w:p w:rsidR="00683496" w:rsidRPr="009D0D56" w:rsidRDefault="00683496" w:rsidP="00683496">
            <w:pPr>
              <w:jc w:val="center"/>
              <w:rPr>
                <w:rFonts w:ascii="Verdana" w:hAnsi="Verdana" w:cs="Arial"/>
                <w:sz w:val="16"/>
                <w:szCs w:val="16"/>
              </w:rPr>
            </w:pPr>
          </w:p>
        </w:tc>
        <w:tc>
          <w:tcPr>
            <w:tcW w:w="1276" w:type="dxa"/>
            <w:vMerge/>
          </w:tcPr>
          <w:p w:rsidR="00683496" w:rsidRPr="009D0D56" w:rsidRDefault="00683496" w:rsidP="00683496">
            <w:pPr>
              <w:jc w:val="center"/>
              <w:rPr>
                <w:rFonts w:ascii="Verdana" w:hAnsi="Verdana" w:cs="Arial"/>
                <w:sz w:val="16"/>
                <w:szCs w:val="16"/>
              </w:rPr>
            </w:pPr>
          </w:p>
        </w:tc>
        <w:tc>
          <w:tcPr>
            <w:tcW w:w="709" w:type="dxa"/>
            <w:vMerge/>
          </w:tcPr>
          <w:p w:rsidR="00683496" w:rsidRPr="009D0D56" w:rsidRDefault="00683496" w:rsidP="00683496">
            <w:pPr>
              <w:jc w:val="center"/>
              <w:rPr>
                <w:rFonts w:ascii="Verdana" w:hAnsi="Verdana" w:cs="Arial"/>
                <w:sz w:val="16"/>
                <w:szCs w:val="16"/>
              </w:rPr>
            </w:pPr>
          </w:p>
        </w:tc>
        <w:tc>
          <w:tcPr>
            <w:tcW w:w="850" w:type="dxa"/>
            <w:vAlign w:val="center"/>
          </w:tcPr>
          <w:p w:rsidR="00683496" w:rsidRPr="009D0D56" w:rsidRDefault="00683496" w:rsidP="00683496">
            <w:pPr>
              <w:spacing w:after="60"/>
              <w:jc w:val="center"/>
              <w:rPr>
                <w:rFonts w:ascii="Verdana" w:hAnsi="Verdana" w:cs="Arial"/>
                <w:sz w:val="16"/>
                <w:szCs w:val="16"/>
              </w:rPr>
            </w:pPr>
            <w:r w:rsidRPr="009D0D56">
              <w:rPr>
                <w:rFonts w:ascii="Verdana" w:hAnsi="Verdana" w:cs="Arial"/>
                <w:sz w:val="16"/>
                <w:szCs w:val="16"/>
              </w:rPr>
              <w:t>wymaganie</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klasa</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wymaganie</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klasa</w:t>
            </w:r>
          </w:p>
        </w:tc>
      </w:tr>
      <w:tr w:rsidR="00683496" w:rsidRPr="006D2270" w:rsidTr="00683496">
        <w:tc>
          <w:tcPr>
            <w:tcW w:w="2088" w:type="dxa"/>
          </w:tcPr>
          <w:p w:rsidR="00683496" w:rsidRPr="009D0D56" w:rsidRDefault="00683496" w:rsidP="00683496">
            <w:pPr>
              <w:rPr>
                <w:rFonts w:ascii="Verdana" w:hAnsi="Verdana" w:cs="Arial"/>
                <w:sz w:val="16"/>
                <w:szCs w:val="16"/>
              </w:rPr>
            </w:pPr>
            <w:r w:rsidRPr="009D0D56">
              <w:rPr>
                <w:rFonts w:ascii="Verdana" w:hAnsi="Verdana" w:cs="Arial"/>
                <w:sz w:val="16"/>
                <w:szCs w:val="16"/>
              </w:rPr>
              <w:t>Konsystencja w pośrednich temperaturach eksploatacyjnych</w:t>
            </w: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Penetracja w 25°C</w:t>
            </w:r>
          </w:p>
        </w:tc>
        <w:tc>
          <w:tcPr>
            <w:tcW w:w="1276" w:type="dxa"/>
            <w:vAlign w:val="center"/>
          </w:tcPr>
          <w:p w:rsidR="00683496" w:rsidRPr="009D0D56" w:rsidRDefault="00683496" w:rsidP="00683496">
            <w:pPr>
              <w:tabs>
                <w:tab w:val="left" w:pos="285"/>
              </w:tabs>
              <w:jc w:val="center"/>
              <w:rPr>
                <w:rFonts w:ascii="Verdana" w:hAnsi="Verdana" w:cs="Arial"/>
                <w:sz w:val="16"/>
                <w:szCs w:val="16"/>
              </w:rPr>
            </w:pPr>
            <w:r w:rsidRPr="009D0D56">
              <w:rPr>
                <w:rFonts w:ascii="Verdana" w:hAnsi="Verdana" w:cs="Arial"/>
                <w:sz w:val="16"/>
                <w:szCs w:val="16"/>
              </w:rPr>
              <w:t>PN-EN 1426 [21]</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0,1 mm</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45-80</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4</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45-80</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4</w:t>
            </w:r>
          </w:p>
        </w:tc>
      </w:tr>
      <w:tr w:rsidR="00683496" w:rsidRPr="006D2270" w:rsidTr="00683496">
        <w:tc>
          <w:tcPr>
            <w:tcW w:w="2088" w:type="dxa"/>
          </w:tcPr>
          <w:p w:rsidR="00683496" w:rsidRPr="009D0D56" w:rsidRDefault="00683496" w:rsidP="00683496">
            <w:pPr>
              <w:rPr>
                <w:rFonts w:ascii="Verdana" w:hAnsi="Verdana" w:cs="Arial"/>
                <w:sz w:val="16"/>
                <w:szCs w:val="16"/>
              </w:rPr>
            </w:pPr>
            <w:r w:rsidRPr="009D0D56">
              <w:rPr>
                <w:rFonts w:ascii="Verdana" w:hAnsi="Verdana" w:cs="Arial"/>
                <w:sz w:val="16"/>
                <w:szCs w:val="16"/>
              </w:rPr>
              <w:t>Konsystencja  w wysokich  temperaturach eksploatacyjnych</w:t>
            </w: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Temperatura mięknienia</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1427 [22]</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°C</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55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7</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65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5</w:t>
            </w:r>
          </w:p>
        </w:tc>
      </w:tr>
      <w:tr w:rsidR="00683496" w:rsidRPr="006D2270" w:rsidTr="00683496">
        <w:tc>
          <w:tcPr>
            <w:tcW w:w="2088" w:type="dxa"/>
            <w:vMerge w:val="restart"/>
            <w:vAlign w:val="center"/>
          </w:tcPr>
          <w:p w:rsidR="00683496" w:rsidRPr="00007C2E" w:rsidRDefault="00683496" w:rsidP="00683496">
            <w:pPr>
              <w:rPr>
                <w:rFonts w:ascii="Verdana" w:hAnsi="Verdana" w:cs="Arial"/>
                <w:sz w:val="16"/>
                <w:szCs w:val="16"/>
                <w:vertAlign w:val="superscript"/>
              </w:rPr>
            </w:pPr>
            <w:proofErr w:type="spellStart"/>
            <w:r w:rsidRPr="009D0D56">
              <w:rPr>
                <w:rFonts w:ascii="Verdana" w:hAnsi="Verdana" w:cs="Arial"/>
                <w:sz w:val="16"/>
                <w:szCs w:val="16"/>
              </w:rPr>
              <w:lastRenderedPageBreak/>
              <w:t>Kohezja</w:t>
            </w:r>
            <w:r>
              <w:rPr>
                <w:rFonts w:ascii="Verdana" w:hAnsi="Verdana" w:cs="Arial"/>
                <w:sz w:val="16"/>
                <w:szCs w:val="16"/>
                <w:vertAlign w:val="superscript"/>
              </w:rPr>
              <w:t>c</w:t>
            </w:r>
            <w:proofErr w:type="spellEnd"/>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Siła rozciągania (</w:t>
            </w:r>
            <w:r>
              <w:rPr>
                <w:rFonts w:ascii="Verdana" w:hAnsi="Verdana" w:cs="Arial"/>
                <w:sz w:val="16"/>
                <w:szCs w:val="16"/>
              </w:rPr>
              <w:t xml:space="preserve">metoda z </w:t>
            </w:r>
            <w:proofErr w:type="spellStart"/>
            <w:r>
              <w:rPr>
                <w:rFonts w:ascii="Verdana" w:hAnsi="Verdana" w:cs="Arial"/>
                <w:sz w:val="16"/>
                <w:szCs w:val="16"/>
              </w:rPr>
              <w:t>duktylometrem</w:t>
            </w:r>
            <w:proofErr w:type="spellEnd"/>
            <w:r>
              <w:rPr>
                <w:rFonts w:ascii="Verdana" w:hAnsi="Verdana" w:cs="Arial"/>
                <w:sz w:val="16"/>
                <w:szCs w:val="16"/>
              </w:rPr>
              <w:t>, rozciąganie 50mm/min</w:t>
            </w:r>
            <w:r w:rsidRPr="009D0D56">
              <w:rPr>
                <w:rFonts w:ascii="Verdana" w:hAnsi="Verdana" w:cs="Arial"/>
                <w:sz w:val="16"/>
                <w:szCs w:val="16"/>
              </w:rPr>
              <w:t>)</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13589 [55]</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13703 [57]</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J/cm</w:t>
            </w:r>
            <w:r w:rsidRPr="009D0D56">
              <w:rPr>
                <w:rFonts w:ascii="Verdana" w:hAnsi="Verdana" w:cs="Arial"/>
                <w:sz w:val="16"/>
                <w:szCs w:val="16"/>
                <w:vertAlign w:val="superscript"/>
              </w:rPr>
              <w:t>2</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xml:space="preserve">≥ 3 </w:t>
            </w:r>
            <w:r w:rsidRPr="009D0D56">
              <w:rPr>
                <w:rFonts w:ascii="Verdana" w:hAnsi="Verdana" w:cs="Arial"/>
                <w:sz w:val="16"/>
                <w:szCs w:val="16"/>
              </w:rPr>
              <w:br/>
              <w:t>w 5°C</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2</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w:t>
            </w:r>
            <w:r>
              <w:rPr>
                <w:rFonts w:ascii="Verdana" w:hAnsi="Verdana" w:cs="Arial"/>
                <w:sz w:val="16"/>
                <w:szCs w:val="16"/>
              </w:rPr>
              <w:t>2</w:t>
            </w:r>
            <w:r w:rsidRPr="009D0D56">
              <w:rPr>
                <w:rFonts w:ascii="Verdana" w:hAnsi="Verdana" w:cs="Arial"/>
                <w:sz w:val="16"/>
                <w:szCs w:val="16"/>
              </w:rPr>
              <w:t xml:space="preserve"> </w:t>
            </w:r>
            <w:r w:rsidRPr="009D0D56">
              <w:rPr>
                <w:rFonts w:ascii="Verdana" w:hAnsi="Verdana" w:cs="Arial"/>
                <w:sz w:val="16"/>
                <w:szCs w:val="16"/>
              </w:rPr>
              <w:br/>
              <w:t xml:space="preserve">w </w:t>
            </w:r>
            <w:r>
              <w:rPr>
                <w:rFonts w:ascii="Verdana" w:hAnsi="Verdana" w:cs="Arial"/>
                <w:sz w:val="16"/>
                <w:szCs w:val="16"/>
              </w:rPr>
              <w:t>10</w:t>
            </w:r>
            <w:r w:rsidRPr="009D0D56">
              <w:rPr>
                <w:rFonts w:ascii="Verdana" w:hAnsi="Verdana" w:cs="Arial"/>
                <w:sz w:val="16"/>
                <w:szCs w:val="16"/>
              </w:rPr>
              <w:t>°C</w:t>
            </w:r>
          </w:p>
        </w:tc>
        <w:tc>
          <w:tcPr>
            <w:tcW w:w="709" w:type="dxa"/>
            <w:tcBorders>
              <w:right w:val="single" w:sz="4" w:space="0" w:color="auto"/>
            </w:tcBorders>
            <w:vAlign w:val="center"/>
          </w:tcPr>
          <w:p w:rsidR="00683496" w:rsidRPr="009D0D56" w:rsidRDefault="00683496" w:rsidP="00683496">
            <w:pPr>
              <w:jc w:val="center"/>
              <w:rPr>
                <w:rFonts w:ascii="Verdana" w:hAnsi="Verdana" w:cs="Arial"/>
                <w:sz w:val="16"/>
                <w:szCs w:val="16"/>
              </w:rPr>
            </w:pPr>
            <w:r>
              <w:rPr>
                <w:rFonts w:ascii="Verdana" w:hAnsi="Verdana" w:cs="Arial"/>
                <w:sz w:val="16"/>
                <w:szCs w:val="16"/>
              </w:rPr>
              <w:t>6</w:t>
            </w:r>
          </w:p>
        </w:tc>
      </w:tr>
      <w:tr w:rsidR="00683496" w:rsidRPr="006D2270" w:rsidTr="00683496">
        <w:tc>
          <w:tcPr>
            <w:tcW w:w="2088" w:type="dxa"/>
            <w:vMerge/>
          </w:tcPr>
          <w:p w:rsidR="00683496" w:rsidRPr="009D0D56" w:rsidRDefault="00683496" w:rsidP="00683496">
            <w:pP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Pr>
                <w:rFonts w:ascii="Verdana" w:hAnsi="Verdana" w:cs="Arial"/>
                <w:sz w:val="16"/>
                <w:szCs w:val="16"/>
              </w:rPr>
              <w:t>Rozciąganie bezpośrednie</w:t>
            </w:r>
            <w:r w:rsidRPr="009D0D56">
              <w:rPr>
                <w:rFonts w:ascii="Verdana" w:hAnsi="Verdana" w:cs="Arial"/>
                <w:sz w:val="16"/>
                <w:szCs w:val="16"/>
              </w:rPr>
              <w:t xml:space="preserve"> w 5°C </w:t>
            </w:r>
            <w:r>
              <w:rPr>
                <w:rFonts w:ascii="Verdana" w:hAnsi="Verdana" w:cs="Arial"/>
                <w:sz w:val="16"/>
                <w:szCs w:val="16"/>
              </w:rPr>
              <w:t xml:space="preserve">                                </w:t>
            </w:r>
            <w:r w:rsidRPr="009D0D56">
              <w:rPr>
                <w:rFonts w:ascii="Verdana" w:hAnsi="Verdana" w:cs="Arial"/>
                <w:sz w:val="16"/>
                <w:szCs w:val="16"/>
              </w:rPr>
              <w:t>(</w:t>
            </w:r>
            <w:r>
              <w:rPr>
                <w:rFonts w:ascii="Verdana" w:hAnsi="Verdana" w:cs="Arial"/>
                <w:sz w:val="16"/>
                <w:szCs w:val="16"/>
              </w:rPr>
              <w:t>rozciąganie 100mm/min)</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13587 [53]</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13703 [57]</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J/cm</w:t>
            </w:r>
            <w:r w:rsidRPr="009D0D56">
              <w:rPr>
                <w:rFonts w:ascii="Verdana" w:hAnsi="Verdana" w:cs="Arial"/>
                <w:sz w:val="16"/>
                <w:szCs w:val="16"/>
                <w:vertAlign w:val="superscript"/>
              </w:rPr>
              <w:t>2</w:t>
            </w:r>
          </w:p>
        </w:tc>
        <w:tc>
          <w:tcPr>
            <w:tcW w:w="850" w:type="dxa"/>
            <w:vAlign w:val="center"/>
          </w:tcPr>
          <w:p w:rsidR="00683496" w:rsidRPr="009D0D56" w:rsidRDefault="00683496" w:rsidP="00683496">
            <w:pPr>
              <w:jc w:val="center"/>
              <w:rPr>
                <w:rFonts w:ascii="Verdana" w:hAnsi="Verdana" w:cs="Arial"/>
                <w:sz w:val="16"/>
                <w:szCs w:val="16"/>
                <w:vertAlign w:val="superscript"/>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r>
      <w:tr w:rsidR="00683496" w:rsidRPr="006D2270" w:rsidTr="00683496">
        <w:tc>
          <w:tcPr>
            <w:tcW w:w="2088" w:type="dxa"/>
            <w:vMerge/>
          </w:tcPr>
          <w:p w:rsidR="00683496" w:rsidRPr="009D0D56" w:rsidRDefault="00683496" w:rsidP="00683496">
            <w:pP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 xml:space="preserve">Wahadło </w:t>
            </w:r>
            <w:proofErr w:type="spellStart"/>
            <w:r w:rsidRPr="009D0D56">
              <w:rPr>
                <w:rFonts w:ascii="Verdana" w:hAnsi="Verdana" w:cs="Arial"/>
                <w:sz w:val="16"/>
                <w:szCs w:val="16"/>
              </w:rPr>
              <w:t>Vialit</w:t>
            </w:r>
            <w:proofErr w:type="spellEnd"/>
            <w:r w:rsidRPr="009D0D56">
              <w:rPr>
                <w:rFonts w:ascii="Verdana" w:hAnsi="Verdana" w:cs="Arial"/>
                <w:sz w:val="16"/>
                <w:szCs w:val="16"/>
              </w:rPr>
              <w:t xml:space="preserve"> (metoda uderzenia)</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13588 [54]</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J/cm</w:t>
            </w:r>
            <w:r w:rsidRPr="009D0D56">
              <w:rPr>
                <w:rFonts w:ascii="Verdana" w:hAnsi="Verdana" w:cs="Arial"/>
                <w:sz w:val="16"/>
                <w:szCs w:val="16"/>
                <w:vertAlign w:val="superscript"/>
              </w:rPr>
              <w:t>2</w:t>
            </w:r>
          </w:p>
        </w:tc>
        <w:tc>
          <w:tcPr>
            <w:tcW w:w="850" w:type="dxa"/>
            <w:vAlign w:val="center"/>
          </w:tcPr>
          <w:p w:rsidR="00683496" w:rsidRPr="009D0D56" w:rsidRDefault="00683496" w:rsidP="00683496">
            <w:pPr>
              <w:jc w:val="center"/>
              <w:rPr>
                <w:rFonts w:ascii="Verdana" w:hAnsi="Verdana" w:cs="Arial"/>
                <w:sz w:val="16"/>
                <w:szCs w:val="16"/>
                <w:vertAlign w:val="superscript"/>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r>
      <w:tr w:rsidR="00683496" w:rsidRPr="006D2270" w:rsidTr="00683496">
        <w:tc>
          <w:tcPr>
            <w:tcW w:w="2088" w:type="dxa"/>
            <w:tcBorders>
              <w:bottom w:val="nil"/>
            </w:tcBorders>
          </w:tcPr>
          <w:p w:rsidR="00683496" w:rsidRPr="009D0D56" w:rsidRDefault="00683496" w:rsidP="00683496">
            <w:pPr>
              <w:rPr>
                <w:rFonts w:ascii="Verdana" w:hAnsi="Verdana" w:cs="Arial"/>
                <w:sz w:val="16"/>
                <w:szCs w:val="16"/>
              </w:rPr>
            </w:pPr>
            <w:r w:rsidRPr="009D0D56">
              <w:rPr>
                <w:rFonts w:ascii="Verdana" w:hAnsi="Verdana" w:cs="Arial"/>
                <w:sz w:val="16"/>
                <w:szCs w:val="16"/>
              </w:rPr>
              <w:t>Odporność na starzenie</w:t>
            </w: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Zmiana masy</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12607-1</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0,5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3</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0,5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3</w:t>
            </w:r>
          </w:p>
        </w:tc>
      </w:tr>
      <w:tr w:rsidR="00683496" w:rsidRPr="006D2270" w:rsidTr="00683496">
        <w:tc>
          <w:tcPr>
            <w:tcW w:w="2088" w:type="dxa"/>
            <w:tcBorders>
              <w:top w:val="nil"/>
              <w:bottom w:val="nil"/>
            </w:tcBorders>
          </w:tcPr>
          <w:p w:rsidR="00683496" w:rsidRPr="009D0D56" w:rsidRDefault="00683496" w:rsidP="00683496">
            <w:pPr>
              <w:rPr>
                <w:rFonts w:ascii="Verdana" w:hAnsi="Verdana" w:cs="Arial"/>
                <w:sz w:val="16"/>
                <w:szCs w:val="16"/>
              </w:rPr>
            </w:pPr>
            <w:r w:rsidRPr="009D0D56">
              <w:rPr>
                <w:rFonts w:ascii="Verdana" w:hAnsi="Verdana" w:cs="Arial"/>
                <w:sz w:val="16"/>
                <w:szCs w:val="16"/>
              </w:rPr>
              <w:t>wg PN-EN 12607-1 [31]</w:t>
            </w: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Pozostała penetracja</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1426 [21]</w:t>
            </w:r>
          </w:p>
        </w:tc>
        <w:tc>
          <w:tcPr>
            <w:tcW w:w="709"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w:t>
            </w:r>
          </w:p>
        </w:tc>
        <w:tc>
          <w:tcPr>
            <w:tcW w:w="850"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 60</w:t>
            </w:r>
          </w:p>
        </w:tc>
        <w:tc>
          <w:tcPr>
            <w:tcW w:w="709"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7</w:t>
            </w:r>
          </w:p>
        </w:tc>
        <w:tc>
          <w:tcPr>
            <w:tcW w:w="850"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 60</w:t>
            </w:r>
          </w:p>
        </w:tc>
        <w:tc>
          <w:tcPr>
            <w:tcW w:w="709"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7</w:t>
            </w:r>
          </w:p>
        </w:tc>
      </w:tr>
      <w:tr w:rsidR="00683496" w:rsidRPr="006D2270" w:rsidTr="00683496">
        <w:trPr>
          <w:trHeight w:val="406"/>
        </w:trPr>
        <w:tc>
          <w:tcPr>
            <w:tcW w:w="2088" w:type="dxa"/>
            <w:tcBorders>
              <w:top w:val="nil"/>
            </w:tcBorders>
          </w:tcPr>
          <w:p w:rsidR="00683496" w:rsidRPr="009D0D56" w:rsidRDefault="00683496" w:rsidP="00683496">
            <w:pP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Wzrost temperatury mięknienia</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1427 [22]</w:t>
            </w:r>
          </w:p>
        </w:tc>
        <w:tc>
          <w:tcPr>
            <w:tcW w:w="709"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°C</w:t>
            </w:r>
          </w:p>
        </w:tc>
        <w:tc>
          <w:tcPr>
            <w:tcW w:w="850"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 8</w:t>
            </w:r>
          </w:p>
        </w:tc>
        <w:tc>
          <w:tcPr>
            <w:tcW w:w="709"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2</w:t>
            </w:r>
          </w:p>
        </w:tc>
        <w:tc>
          <w:tcPr>
            <w:tcW w:w="850"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 8</w:t>
            </w:r>
          </w:p>
        </w:tc>
        <w:tc>
          <w:tcPr>
            <w:tcW w:w="709" w:type="dxa"/>
            <w:vAlign w:val="center"/>
          </w:tcPr>
          <w:p w:rsidR="00683496" w:rsidRPr="009D0D56" w:rsidRDefault="00683496" w:rsidP="00683496">
            <w:pPr>
              <w:spacing w:before="120"/>
              <w:jc w:val="center"/>
              <w:rPr>
                <w:rFonts w:ascii="Verdana" w:hAnsi="Verdana" w:cs="Arial"/>
                <w:sz w:val="16"/>
                <w:szCs w:val="16"/>
              </w:rPr>
            </w:pPr>
            <w:r w:rsidRPr="009D0D56">
              <w:rPr>
                <w:rFonts w:ascii="Verdana" w:hAnsi="Verdana" w:cs="Arial"/>
                <w:sz w:val="16"/>
                <w:szCs w:val="16"/>
              </w:rPr>
              <w:t>2</w:t>
            </w:r>
          </w:p>
        </w:tc>
      </w:tr>
      <w:tr w:rsidR="00683496" w:rsidRPr="006D2270" w:rsidTr="00683496">
        <w:tc>
          <w:tcPr>
            <w:tcW w:w="2088" w:type="dxa"/>
            <w:tcBorders>
              <w:bottom w:val="single" w:sz="4" w:space="0" w:color="auto"/>
            </w:tcBorders>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Inne właściwości</w:t>
            </w: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Temperatura zapłonu</w:t>
            </w:r>
          </w:p>
        </w:tc>
        <w:tc>
          <w:tcPr>
            <w:tcW w:w="1276"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PN-EN ISO 2592 [63]</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°C</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235</w:t>
            </w:r>
          </w:p>
        </w:tc>
        <w:tc>
          <w:tcPr>
            <w:tcW w:w="709" w:type="dxa"/>
            <w:vAlign w:val="center"/>
          </w:tcPr>
          <w:p w:rsidR="00683496" w:rsidRPr="009D0D56" w:rsidRDefault="00683496" w:rsidP="00683496">
            <w:pPr>
              <w:ind w:left="-154" w:hanging="154"/>
              <w:jc w:val="center"/>
              <w:rPr>
                <w:rFonts w:ascii="Verdana" w:hAnsi="Verdana" w:cs="Arial"/>
                <w:sz w:val="16"/>
                <w:szCs w:val="16"/>
              </w:rPr>
            </w:pPr>
            <w:r w:rsidRPr="009D0D56">
              <w:rPr>
                <w:rFonts w:ascii="Verdana" w:hAnsi="Verdana" w:cs="Arial"/>
                <w:sz w:val="16"/>
                <w:szCs w:val="16"/>
              </w:rPr>
              <w:t xml:space="preserve">      3</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235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3</w:t>
            </w:r>
          </w:p>
        </w:tc>
      </w:tr>
      <w:tr w:rsidR="00683496" w:rsidRPr="006D2270" w:rsidTr="00683496">
        <w:tc>
          <w:tcPr>
            <w:tcW w:w="2088" w:type="dxa"/>
            <w:vMerge w:val="restart"/>
            <w:vAlign w:val="center"/>
          </w:tcPr>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Wymagania dodatkowe</w:t>
            </w: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p w:rsidR="00683496" w:rsidRPr="009D0D56" w:rsidRDefault="00683496" w:rsidP="00683496">
            <w:pPr>
              <w:jc w:val="cente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Temperatura łamliwości</w:t>
            </w:r>
          </w:p>
        </w:tc>
        <w:tc>
          <w:tcPr>
            <w:tcW w:w="1276" w:type="dxa"/>
            <w:tcBorders>
              <w:bottom w:val="single" w:sz="4" w:space="0" w:color="auto"/>
            </w:tcBorders>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12593 [29]</w:t>
            </w:r>
          </w:p>
        </w:tc>
        <w:tc>
          <w:tcPr>
            <w:tcW w:w="709" w:type="dxa"/>
            <w:tcBorders>
              <w:bottom w:val="single" w:sz="4" w:space="0" w:color="auto"/>
            </w:tcBorders>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°C</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-1</w:t>
            </w:r>
            <w:r>
              <w:rPr>
                <w:rFonts w:ascii="Verdana" w:hAnsi="Verdana" w:cs="Arial"/>
                <w:sz w:val="16"/>
                <w:szCs w:val="16"/>
              </w:rPr>
              <w:t>5</w:t>
            </w:r>
          </w:p>
        </w:tc>
        <w:tc>
          <w:tcPr>
            <w:tcW w:w="709" w:type="dxa"/>
            <w:vAlign w:val="center"/>
          </w:tcPr>
          <w:p w:rsidR="00683496" w:rsidRPr="009D0D56" w:rsidRDefault="00683496" w:rsidP="00683496">
            <w:pPr>
              <w:jc w:val="center"/>
              <w:rPr>
                <w:rFonts w:ascii="Verdana" w:hAnsi="Verdana" w:cs="Arial"/>
                <w:sz w:val="16"/>
                <w:szCs w:val="16"/>
              </w:rPr>
            </w:pPr>
            <w:r>
              <w:rPr>
                <w:rFonts w:ascii="Verdana" w:hAnsi="Verdana" w:cs="Arial"/>
                <w:sz w:val="16"/>
                <w:szCs w:val="16"/>
              </w:rPr>
              <w:t>7</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-15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7</w:t>
            </w:r>
          </w:p>
        </w:tc>
      </w:tr>
      <w:tr w:rsidR="00683496" w:rsidRPr="006D2270" w:rsidTr="00683496">
        <w:trPr>
          <w:trHeight w:val="353"/>
        </w:trPr>
        <w:tc>
          <w:tcPr>
            <w:tcW w:w="2088" w:type="dxa"/>
            <w:vMerge/>
          </w:tcPr>
          <w:p w:rsidR="00683496" w:rsidRPr="009D0D56" w:rsidRDefault="00683496" w:rsidP="00683496">
            <w:pPr>
              <w:jc w:val="cente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Nawrót sprężysty w 25°C</w:t>
            </w:r>
          </w:p>
        </w:tc>
        <w:tc>
          <w:tcPr>
            <w:tcW w:w="1276" w:type="dxa"/>
            <w:vMerge w:val="restart"/>
            <w:vAlign w:val="center"/>
          </w:tcPr>
          <w:p w:rsidR="00683496" w:rsidRPr="009D0D56" w:rsidRDefault="00683496" w:rsidP="00683496">
            <w:pPr>
              <w:ind w:left="-108" w:firstLine="108"/>
              <w:jc w:val="center"/>
              <w:rPr>
                <w:rFonts w:ascii="Verdana" w:hAnsi="Verdana" w:cs="Arial"/>
                <w:sz w:val="16"/>
                <w:szCs w:val="16"/>
              </w:rPr>
            </w:pPr>
            <w:r w:rsidRPr="009D0D56">
              <w:rPr>
                <w:rFonts w:ascii="Verdana" w:hAnsi="Verdana" w:cs="Arial"/>
                <w:sz w:val="16"/>
                <w:szCs w:val="16"/>
              </w:rPr>
              <w:t>PN-EN 13398[51]</w:t>
            </w:r>
          </w:p>
        </w:tc>
        <w:tc>
          <w:tcPr>
            <w:tcW w:w="709" w:type="dxa"/>
            <w:vMerge w:val="restart"/>
            <w:vAlign w:val="center"/>
          </w:tcPr>
          <w:p w:rsidR="00683496" w:rsidRPr="009D0D56" w:rsidRDefault="00683496" w:rsidP="00683496">
            <w:pPr>
              <w:ind w:right="116"/>
              <w:jc w:val="center"/>
              <w:rPr>
                <w:rFonts w:ascii="Verdana" w:hAnsi="Verdana" w:cs="Arial"/>
                <w:sz w:val="16"/>
                <w:szCs w:val="16"/>
              </w:rPr>
            </w:pPr>
            <w:r w:rsidRPr="009D0D56">
              <w:rPr>
                <w:rFonts w:ascii="Verdana" w:hAnsi="Verdana" w:cs="Arial"/>
                <w:sz w:val="16"/>
                <w:szCs w:val="16"/>
              </w:rPr>
              <w:t xml:space="preserve"> %</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xml:space="preserve">≥ </w:t>
            </w:r>
            <w:r>
              <w:rPr>
                <w:rFonts w:ascii="Verdana" w:hAnsi="Verdana" w:cs="Arial"/>
                <w:sz w:val="16"/>
                <w:szCs w:val="16"/>
              </w:rPr>
              <w:t>7</w:t>
            </w:r>
            <w:r w:rsidRPr="009D0D56">
              <w:rPr>
                <w:rFonts w:ascii="Verdana" w:hAnsi="Verdana" w:cs="Arial"/>
                <w:sz w:val="16"/>
                <w:szCs w:val="16"/>
              </w:rPr>
              <w:t>0</w:t>
            </w:r>
          </w:p>
        </w:tc>
        <w:tc>
          <w:tcPr>
            <w:tcW w:w="709" w:type="dxa"/>
            <w:vAlign w:val="center"/>
          </w:tcPr>
          <w:p w:rsidR="00683496" w:rsidRPr="009D0D56" w:rsidRDefault="00683496" w:rsidP="00683496">
            <w:pPr>
              <w:jc w:val="center"/>
              <w:rPr>
                <w:rFonts w:ascii="Verdana" w:hAnsi="Verdana" w:cs="Arial"/>
                <w:sz w:val="16"/>
                <w:szCs w:val="16"/>
              </w:rPr>
            </w:pPr>
            <w:r>
              <w:rPr>
                <w:rFonts w:ascii="Verdana" w:hAnsi="Verdana" w:cs="Arial"/>
                <w:sz w:val="16"/>
                <w:szCs w:val="16"/>
              </w:rPr>
              <w:t>3</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xml:space="preserve">≥ </w:t>
            </w:r>
            <w:r>
              <w:rPr>
                <w:rFonts w:ascii="Verdana" w:hAnsi="Verdana" w:cs="Arial"/>
                <w:sz w:val="16"/>
                <w:szCs w:val="16"/>
              </w:rPr>
              <w:t>8</w:t>
            </w:r>
            <w:r w:rsidRPr="009D0D56">
              <w:rPr>
                <w:rFonts w:ascii="Verdana" w:hAnsi="Verdana" w:cs="Arial"/>
                <w:sz w:val="16"/>
                <w:szCs w:val="16"/>
              </w:rPr>
              <w:t>0</w:t>
            </w:r>
          </w:p>
        </w:tc>
        <w:tc>
          <w:tcPr>
            <w:tcW w:w="709" w:type="dxa"/>
            <w:vAlign w:val="center"/>
          </w:tcPr>
          <w:p w:rsidR="00683496" w:rsidRPr="009D0D56" w:rsidRDefault="00683496" w:rsidP="00683496">
            <w:pPr>
              <w:jc w:val="center"/>
              <w:rPr>
                <w:rFonts w:ascii="Verdana" w:hAnsi="Verdana" w:cs="Arial"/>
                <w:sz w:val="16"/>
                <w:szCs w:val="16"/>
              </w:rPr>
            </w:pPr>
            <w:r>
              <w:rPr>
                <w:rFonts w:ascii="Verdana" w:hAnsi="Verdana" w:cs="Arial"/>
                <w:sz w:val="16"/>
                <w:szCs w:val="16"/>
              </w:rPr>
              <w:t>2</w:t>
            </w:r>
          </w:p>
        </w:tc>
      </w:tr>
      <w:tr w:rsidR="00683496" w:rsidRPr="006D2270" w:rsidTr="00683496">
        <w:trPr>
          <w:trHeight w:val="401"/>
        </w:trPr>
        <w:tc>
          <w:tcPr>
            <w:tcW w:w="2088" w:type="dxa"/>
            <w:vMerge/>
          </w:tcPr>
          <w:p w:rsidR="00683496" w:rsidRPr="009D0D56" w:rsidRDefault="00683496" w:rsidP="00683496">
            <w:pPr>
              <w:jc w:val="cente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Nawrót sprężysty w 10°C</w:t>
            </w:r>
          </w:p>
        </w:tc>
        <w:tc>
          <w:tcPr>
            <w:tcW w:w="1276" w:type="dxa"/>
            <w:vMerge/>
            <w:vAlign w:val="center"/>
          </w:tcPr>
          <w:p w:rsidR="00683496" w:rsidRPr="009D0D56" w:rsidRDefault="00683496" w:rsidP="00683496">
            <w:pPr>
              <w:jc w:val="center"/>
              <w:rPr>
                <w:rFonts w:ascii="Verdana" w:hAnsi="Verdana" w:cs="Arial"/>
                <w:sz w:val="16"/>
                <w:szCs w:val="16"/>
              </w:rPr>
            </w:pPr>
          </w:p>
        </w:tc>
        <w:tc>
          <w:tcPr>
            <w:tcW w:w="709" w:type="dxa"/>
            <w:vMerge/>
            <w:vAlign w:val="center"/>
          </w:tcPr>
          <w:p w:rsidR="00683496" w:rsidRPr="009D0D56" w:rsidRDefault="00683496" w:rsidP="00683496">
            <w:pPr>
              <w:jc w:val="center"/>
              <w:rPr>
                <w:rFonts w:ascii="Verdana" w:hAnsi="Verdana" w:cs="Arial"/>
                <w:sz w:val="16"/>
                <w:szCs w:val="16"/>
              </w:rPr>
            </w:pPr>
          </w:p>
        </w:tc>
        <w:tc>
          <w:tcPr>
            <w:tcW w:w="850" w:type="dxa"/>
            <w:vAlign w:val="center"/>
          </w:tcPr>
          <w:p w:rsidR="00683496" w:rsidRPr="008F3045" w:rsidRDefault="00683496" w:rsidP="00683496">
            <w:pPr>
              <w:jc w:val="center"/>
              <w:rPr>
                <w:rFonts w:ascii="Verdana" w:hAnsi="Verdana" w:cs="Arial"/>
                <w:sz w:val="16"/>
                <w:szCs w:val="16"/>
                <w:vertAlign w:val="superscript"/>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c>
          <w:tcPr>
            <w:tcW w:w="850" w:type="dxa"/>
            <w:vAlign w:val="center"/>
          </w:tcPr>
          <w:p w:rsidR="00683496" w:rsidRPr="008F3045" w:rsidRDefault="00683496" w:rsidP="00683496">
            <w:pPr>
              <w:jc w:val="center"/>
              <w:rPr>
                <w:rFonts w:ascii="Verdana" w:hAnsi="Verdana" w:cs="Arial"/>
                <w:sz w:val="16"/>
                <w:szCs w:val="16"/>
                <w:vertAlign w:val="superscript"/>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r>
      <w:tr w:rsidR="00683496" w:rsidRPr="006D2270" w:rsidTr="00683496">
        <w:tc>
          <w:tcPr>
            <w:tcW w:w="2088" w:type="dxa"/>
            <w:vMerge/>
          </w:tcPr>
          <w:p w:rsidR="00683496" w:rsidRPr="009D0D56" w:rsidRDefault="00683496" w:rsidP="00683496">
            <w:pPr>
              <w:jc w:val="cente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Zakres plastyczności</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xml:space="preserve">PN-EN 14023 [59] </w:t>
            </w:r>
            <w:r>
              <w:rPr>
                <w:rFonts w:ascii="Verdana" w:hAnsi="Verdana" w:cs="Arial"/>
                <w:sz w:val="16"/>
                <w:szCs w:val="16"/>
              </w:rPr>
              <w:t>Podpunkt</w:t>
            </w:r>
            <w:r w:rsidRPr="009D0D56">
              <w:rPr>
                <w:rFonts w:ascii="Verdana" w:hAnsi="Verdana" w:cs="Arial"/>
                <w:sz w:val="16"/>
                <w:szCs w:val="16"/>
              </w:rPr>
              <w:t xml:space="preserve"> 5.</w:t>
            </w:r>
            <w:r>
              <w:rPr>
                <w:rFonts w:ascii="Verdana" w:hAnsi="Verdana" w:cs="Arial"/>
                <w:sz w:val="16"/>
                <w:szCs w:val="16"/>
              </w:rPr>
              <w:t>2.8.4</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°C</w:t>
            </w:r>
          </w:p>
        </w:tc>
        <w:tc>
          <w:tcPr>
            <w:tcW w:w="850" w:type="dxa"/>
            <w:vAlign w:val="center"/>
          </w:tcPr>
          <w:p w:rsidR="00683496" w:rsidRPr="009D0D56" w:rsidRDefault="00683496" w:rsidP="00683496">
            <w:pPr>
              <w:jc w:val="center"/>
              <w:rPr>
                <w:rFonts w:ascii="Verdana" w:hAnsi="Verdana" w:cs="Arial"/>
                <w:sz w:val="16"/>
                <w:szCs w:val="16"/>
                <w:vertAlign w:val="superscript"/>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Pr>
                <w:rFonts w:ascii="Verdana" w:hAnsi="Verdana" w:cs="Arial"/>
                <w:sz w:val="16"/>
                <w:szCs w:val="16"/>
              </w:rPr>
              <w:t>0</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Pr>
                <w:rFonts w:ascii="Verdana" w:hAnsi="Verdana" w:cs="Arial"/>
                <w:sz w:val="16"/>
                <w:szCs w:val="16"/>
              </w:rPr>
              <w:t>0</w:t>
            </w:r>
          </w:p>
        </w:tc>
      </w:tr>
      <w:tr w:rsidR="00683496" w:rsidRPr="006D2270" w:rsidTr="00683496">
        <w:trPr>
          <w:trHeight w:val="630"/>
        </w:trPr>
        <w:tc>
          <w:tcPr>
            <w:tcW w:w="2088" w:type="dxa"/>
            <w:vMerge/>
            <w:vAlign w:val="center"/>
          </w:tcPr>
          <w:p w:rsidR="00683496" w:rsidRPr="009D0D56" w:rsidRDefault="00683496" w:rsidP="00683496">
            <w:pPr>
              <w:jc w:val="cente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Stabilność magazynowania. Różnica temperatur mięknienia</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13399 [52]</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1427 [22]</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°C</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2</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5</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2</w:t>
            </w:r>
          </w:p>
        </w:tc>
      </w:tr>
      <w:tr w:rsidR="00683496" w:rsidRPr="006D2270" w:rsidTr="00683496">
        <w:tc>
          <w:tcPr>
            <w:tcW w:w="2088" w:type="dxa"/>
            <w:vMerge/>
          </w:tcPr>
          <w:p w:rsidR="00683496" w:rsidRPr="009D0D56" w:rsidRDefault="00683496" w:rsidP="00683496">
            <w:pP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Stabilność magazynowania. Różnica penetracji</w:t>
            </w:r>
          </w:p>
        </w:tc>
        <w:tc>
          <w:tcPr>
            <w:tcW w:w="1276"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13399 [52]</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1426 [21]</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0,1 mm</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r>
      <w:tr w:rsidR="00683496" w:rsidRPr="006D2270" w:rsidTr="00683496">
        <w:tc>
          <w:tcPr>
            <w:tcW w:w="2088" w:type="dxa"/>
            <w:vMerge/>
          </w:tcPr>
          <w:p w:rsidR="00683496" w:rsidRPr="009D0D56" w:rsidRDefault="00683496" w:rsidP="00683496">
            <w:pP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Spadek temperatury mięknienia po starzeniu wg PN-EN 12607</w:t>
            </w:r>
            <w:r>
              <w:rPr>
                <w:rFonts w:ascii="Verdana" w:hAnsi="Verdana" w:cs="Arial"/>
                <w:sz w:val="16"/>
                <w:szCs w:val="16"/>
              </w:rPr>
              <w:t xml:space="preserve">-1 </w:t>
            </w:r>
            <w:r w:rsidRPr="009D0D56">
              <w:rPr>
                <w:rFonts w:ascii="Verdana" w:hAnsi="Verdana" w:cs="Arial"/>
                <w:sz w:val="16"/>
                <w:szCs w:val="16"/>
              </w:rPr>
              <w:t>[31]</w:t>
            </w:r>
          </w:p>
        </w:tc>
        <w:tc>
          <w:tcPr>
            <w:tcW w:w="1276" w:type="dxa"/>
            <w:tcBorders>
              <w:bottom w:val="single" w:sz="4" w:space="0" w:color="auto"/>
            </w:tcBorders>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PN-EN 12607-1[31]</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1427 [22]</w:t>
            </w:r>
          </w:p>
        </w:tc>
        <w:tc>
          <w:tcPr>
            <w:tcW w:w="709" w:type="dxa"/>
            <w:tcBorders>
              <w:bottom w:val="single" w:sz="4" w:space="0" w:color="auto"/>
            </w:tcBorders>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°C</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TBR</w:t>
            </w:r>
            <w:r>
              <w:rPr>
                <w:rFonts w:ascii="Verdana" w:hAnsi="Verdana" w:cs="Arial"/>
                <w:sz w:val="16"/>
                <w:szCs w:val="16"/>
                <w:vertAlign w:val="superscript"/>
              </w:rPr>
              <w:t>d</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1</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TBR</w:t>
            </w:r>
            <w:r>
              <w:rPr>
                <w:rFonts w:ascii="Verdana" w:hAnsi="Verdana" w:cs="Arial"/>
                <w:sz w:val="16"/>
                <w:szCs w:val="16"/>
                <w:vertAlign w:val="superscript"/>
              </w:rPr>
              <w:t>d</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1</w:t>
            </w:r>
          </w:p>
        </w:tc>
      </w:tr>
      <w:tr w:rsidR="00683496" w:rsidRPr="006D2270" w:rsidTr="00683496">
        <w:tc>
          <w:tcPr>
            <w:tcW w:w="2088" w:type="dxa"/>
            <w:vMerge/>
          </w:tcPr>
          <w:p w:rsidR="00683496" w:rsidRPr="009D0D56" w:rsidRDefault="00683496" w:rsidP="00683496">
            <w:pP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Nawrót sprężysty w 25</w:t>
            </w:r>
            <w:r w:rsidRPr="009D0D56">
              <w:rPr>
                <w:rFonts w:ascii="Verdana" w:hAnsi="Verdana" w:cs="Arial"/>
                <w:sz w:val="16"/>
                <w:szCs w:val="16"/>
                <w:vertAlign w:val="superscript"/>
              </w:rPr>
              <w:t>o</w:t>
            </w:r>
            <w:r w:rsidRPr="009D0D56">
              <w:rPr>
                <w:rFonts w:ascii="Verdana" w:hAnsi="Verdana" w:cs="Arial"/>
                <w:sz w:val="16"/>
                <w:szCs w:val="16"/>
              </w:rPr>
              <w:t>C po starzeniu wg PN-EN 12607-1 lub   -3 [31]</w:t>
            </w:r>
          </w:p>
        </w:tc>
        <w:tc>
          <w:tcPr>
            <w:tcW w:w="1276" w:type="dxa"/>
            <w:vMerge w:val="restart"/>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PN-EN 12607-1[31]</w:t>
            </w:r>
          </w:p>
          <w:p w:rsidR="00683496" w:rsidRPr="009D0D56" w:rsidRDefault="00683496" w:rsidP="00683496">
            <w:pPr>
              <w:jc w:val="center"/>
              <w:rPr>
                <w:rFonts w:ascii="Verdana" w:hAnsi="Verdana" w:cs="Arial"/>
                <w:sz w:val="16"/>
                <w:szCs w:val="16"/>
              </w:rPr>
            </w:pPr>
            <w:r w:rsidRPr="009D0D56">
              <w:rPr>
                <w:rFonts w:ascii="Verdana" w:hAnsi="Verdana" w:cs="Arial"/>
                <w:sz w:val="16"/>
                <w:szCs w:val="16"/>
              </w:rPr>
              <w:t>PN-EN 13398 [51]</w:t>
            </w:r>
          </w:p>
        </w:tc>
        <w:tc>
          <w:tcPr>
            <w:tcW w:w="709" w:type="dxa"/>
            <w:vMerge w:val="restart"/>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50</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4</w:t>
            </w:r>
          </w:p>
        </w:tc>
        <w:tc>
          <w:tcPr>
            <w:tcW w:w="850"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 60</w:t>
            </w:r>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3</w:t>
            </w:r>
          </w:p>
        </w:tc>
      </w:tr>
      <w:tr w:rsidR="00683496" w:rsidRPr="006D2270" w:rsidTr="00683496">
        <w:tc>
          <w:tcPr>
            <w:tcW w:w="2088" w:type="dxa"/>
            <w:vMerge/>
          </w:tcPr>
          <w:p w:rsidR="00683496" w:rsidRPr="009D0D56" w:rsidRDefault="00683496" w:rsidP="00683496">
            <w:pPr>
              <w:rPr>
                <w:rFonts w:ascii="Verdana" w:hAnsi="Verdana" w:cs="Arial"/>
                <w:sz w:val="16"/>
                <w:szCs w:val="16"/>
              </w:rPr>
            </w:pPr>
          </w:p>
        </w:tc>
        <w:tc>
          <w:tcPr>
            <w:tcW w:w="2698" w:type="dxa"/>
            <w:vAlign w:val="center"/>
          </w:tcPr>
          <w:p w:rsidR="00683496" w:rsidRPr="009D0D56" w:rsidRDefault="00683496" w:rsidP="00683496">
            <w:pPr>
              <w:rPr>
                <w:rFonts w:ascii="Verdana" w:hAnsi="Verdana" w:cs="Arial"/>
                <w:sz w:val="16"/>
                <w:szCs w:val="16"/>
              </w:rPr>
            </w:pPr>
            <w:r w:rsidRPr="009D0D56">
              <w:rPr>
                <w:rFonts w:ascii="Verdana" w:hAnsi="Verdana" w:cs="Arial"/>
                <w:sz w:val="16"/>
                <w:szCs w:val="16"/>
              </w:rPr>
              <w:t>Nawrót sprężysty w 10°C po starzeniu wg PN-EN 12607-1 lub   -3 [31]</w:t>
            </w:r>
          </w:p>
        </w:tc>
        <w:tc>
          <w:tcPr>
            <w:tcW w:w="1276" w:type="dxa"/>
            <w:vMerge/>
            <w:vAlign w:val="center"/>
          </w:tcPr>
          <w:p w:rsidR="00683496" w:rsidRPr="009D0D56" w:rsidRDefault="00683496" w:rsidP="00683496">
            <w:pPr>
              <w:jc w:val="center"/>
              <w:rPr>
                <w:rFonts w:ascii="Verdana" w:hAnsi="Verdana" w:cs="Arial"/>
                <w:sz w:val="16"/>
                <w:szCs w:val="16"/>
              </w:rPr>
            </w:pPr>
          </w:p>
        </w:tc>
        <w:tc>
          <w:tcPr>
            <w:tcW w:w="709" w:type="dxa"/>
            <w:vMerge/>
            <w:vAlign w:val="center"/>
          </w:tcPr>
          <w:p w:rsidR="00683496" w:rsidRPr="009D0D56" w:rsidRDefault="00683496" w:rsidP="00683496">
            <w:pPr>
              <w:jc w:val="center"/>
              <w:rPr>
                <w:rFonts w:ascii="Verdana" w:hAnsi="Verdana" w:cs="Arial"/>
                <w:sz w:val="16"/>
                <w:szCs w:val="16"/>
              </w:rPr>
            </w:pP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c>
          <w:tcPr>
            <w:tcW w:w="850" w:type="dxa"/>
            <w:vAlign w:val="center"/>
          </w:tcPr>
          <w:p w:rsidR="00683496" w:rsidRPr="009D0D56" w:rsidRDefault="00683496" w:rsidP="00683496">
            <w:pPr>
              <w:jc w:val="center"/>
              <w:rPr>
                <w:rFonts w:ascii="Verdana" w:hAnsi="Verdana" w:cs="Arial"/>
                <w:sz w:val="16"/>
                <w:szCs w:val="16"/>
              </w:rPr>
            </w:pPr>
            <w:proofErr w:type="spellStart"/>
            <w:r w:rsidRPr="009D0D56">
              <w:rPr>
                <w:rFonts w:ascii="Verdana" w:hAnsi="Verdana" w:cs="Arial"/>
                <w:sz w:val="16"/>
                <w:szCs w:val="16"/>
              </w:rPr>
              <w:t>N</w:t>
            </w:r>
            <w:r>
              <w:rPr>
                <w:rFonts w:ascii="Verdana" w:hAnsi="Verdana" w:cs="Arial"/>
                <w:sz w:val="16"/>
                <w:szCs w:val="16"/>
              </w:rPr>
              <w:t>R</w:t>
            </w:r>
            <w:r>
              <w:rPr>
                <w:rFonts w:ascii="Verdana" w:hAnsi="Verdana" w:cs="Arial"/>
                <w:sz w:val="16"/>
                <w:szCs w:val="16"/>
                <w:vertAlign w:val="superscript"/>
              </w:rPr>
              <w:t>b</w:t>
            </w:r>
            <w:proofErr w:type="spellEnd"/>
          </w:p>
        </w:tc>
        <w:tc>
          <w:tcPr>
            <w:tcW w:w="709" w:type="dxa"/>
            <w:vAlign w:val="center"/>
          </w:tcPr>
          <w:p w:rsidR="00683496" w:rsidRPr="009D0D56" w:rsidRDefault="00683496" w:rsidP="00683496">
            <w:pPr>
              <w:jc w:val="center"/>
              <w:rPr>
                <w:rFonts w:ascii="Verdana" w:hAnsi="Verdana" w:cs="Arial"/>
                <w:sz w:val="16"/>
                <w:szCs w:val="16"/>
              </w:rPr>
            </w:pPr>
            <w:r w:rsidRPr="009D0D56">
              <w:rPr>
                <w:rFonts w:ascii="Verdana" w:hAnsi="Verdana" w:cs="Arial"/>
                <w:sz w:val="16"/>
                <w:szCs w:val="16"/>
              </w:rPr>
              <w:t>0</w:t>
            </w:r>
          </w:p>
        </w:tc>
      </w:tr>
      <w:tr w:rsidR="00683496" w:rsidRPr="006D2270" w:rsidTr="00683496">
        <w:trPr>
          <w:trHeight w:val="530"/>
        </w:trPr>
        <w:tc>
          <w:tcPr>
            <w:tcW w:w="9889" w:type="dxa"/>
            <w:gridSpan w:val="8"/>
          </w:tcPr>
          <w:p w:rsidR="00683496" w:rsidRDefault="00683496" w:rsidP="00683496">
            <w:pPr>
              <w:rPr>
                <w:rFonts w:ascii="Verdana" w:hAnsi="Verdana" w:cs="Arial"/>
                <w:sz w:val="16"/>
                <w:szCs w:val="16"/>
              </w:rPr>
            </w:pPr>
            <w:r w:rsidRPr="009D0D56">
              <w:rPr>
                <w:rFonts w:ascii="Verdana" w:hAnsi="Verdana" w:cs="Arial"/>
                <w:sz w:val="16"/>
                <w:szCs w:val="16"/>
                <w:vertAlign w:val="superscript"/>
              </w:rPr>
              <w:t>a</w:t>
            </w:r>
            <w:r w:rsidRPr="009D0D56">
              <w:rPr>
                <w:rFonts w:ascii="Verdana" w:hAnsi="Verdana" w:cs="Arial"/>
                <w:sz w:val="16"/>
                <w:szCs w:val="16"/>
              </w:rPr>
              <w:t xml:space="preserve"> </w:t>
            </w:r>
            <w:r>
              <w:rPr>
                <w:rFonts w:ascii="Verdana" w:hAnsi="Verdana" w:cs="Arial"/>
                <w:sz w:val="16"/>
                <w:szCs w:val="16"/>
              </w:rPr>
              <w:t>Dolna granica penetracji w 25</w:t>
            </w:r>
            <w:r>
              <w:rPr>
                <w:rFonts w:ascii="Verdana" w:hAnsi="Verdana" w:cs="Arial"/>
                <w:sz w:val="16"/>
                <w:szCs w:val="16"/>
                <w:vertAlign w:val="superscript"/>
              </w:rPr>
              <w:t>o</w:t>
            </w:r>
            <w:r>
              <w:rPr>
                <w:rFonts w:ascii="Verdana" w:hAnsi="Verdana" w:cs="Arial"/>
                <w:sz w:val="16"/>
                <w:szCs w:val="16"/>
              </w:rPr>
              <w:t>C/górna granica penetracji w 25</w:t>
            </w:r>
            <w:r>
              <w:rPr>
                <w:rFonts w:ascii="Verdana" w:hAnsi="Verdana" w:cs="Arial"/>
                <w:sz w:val="16"/>
                <w:szCs w:val="16"/>
                <w:vertAlign w:val="superscript"/>
              </w:rPr>
              <w:t>o</w:t>
            </w:r>
            <w:r>
              <w:rPr>
                <w:rFonts w:ascii="Verdana" w:hAnsi="Verdana" w:cs="Arial"/>
                <w:sz w:val="16"/>
                <w:szCs w:val="16"/>
              </w:rPr>
              <w:t>C – dolna granica temperatury mięknienia.</w:t>
            </w:r>
          </w:p>
          <w:p w:rsidR="00683496" w:rsidRDefault="00683496" w:rsidP="00683496">
            <w:pPr>
              <w:rPr>
                <w:rFonts w:ascii="Verdana" w:hAnsi="Verdana" w:cs="Arial"/>
                <w:sz w:val="16"/>
                <w:szCs w:val="16"/>
              </w:rPr>
            </w:pPr>
            <w:r>
              <w:rPr>
                <w:rFonts w:ascii="Verdana" w:hAnsi="Verdana" w:cs="Arial"/>
                <w:sz w:val="16"/>
                <w:szCs w:val="16"/>
                <w:vertAlign w:val="superscript"/>
              </w:rPr>
              <w:t xml:space="preserve">b </w:t>
            </w:r>
            <w:r w:rsidRPr="009D0D56">
              <w:rPr>
                <w:rFonts w:ascii="Verdana" w:hAnsi="Verdana" w:cs="Arial"/>
                <w:sz w:val="16"/>
                <w:szCs w:val="16"/>
              </w:rPr>
              <w:t>N</w:t>
            </w:r>
            <w:r>
              <w:rPr>
                <w:rFonts w:ascii="Verdana" w:hAnsi="Verdana" w:cs="Arial"/>
                <w:sz w:val="16"/>
                <w:szCs w:val="16"/>
              </w:rPr>
              <w:t>R</w:t>
            </w:r>
            <w:r w:rsidRPr="009D0D56">
              <w:rPr>
                <w:rFonts w:ascii="Verdana" w:hAnsi="Verdana" w:cs="Arial"/>
                <w:sz w:val="16"/>
                <w:szCs w:val="16"/>
              </w:rPr>
              <w:t xml:space="preserve"> – No </w:t>
            </w:r>
            <w:proofErr w:type="spellStart"/>
            <w:r>
              <w:rPr>
                <w:rFonts w:ascii="Verdana" w:hAnsi="Verdana" w:cs="Arial"/>
                <w:sz w:val="16"/>
                <w:szCs w:val="16"/>
              </w:rPr>
              <w:t>Requirement</w:t>
            </w:r>
            <w:proofErr w:type="spellEnd"/>
            <w:r w:rsidRPr="009D0D56">
              <w:rPr>
                <w:rFonts w:ascii="Verdana" w:hAnsi="Verdana" w:cs="Arial"/>
                <w:sz w:val="16"/>
                <w:szCs w:val="16"/>
              </w:rPr>
              <w:t xml:space="preserve"> (</w:t>
            </w:r>
            <w:r>
              <w:rPr>
                <w:rFonts w:ascii="Verdana" w:hAnsi="Verdana" w:cs="Arial"/>
                <w:sz w:val="16"/>
                <w:szCs w:val="16"/>
              </w:rPr>
              <w:t>brak wymagań</w:t>
            </w:r>
            <w:r w:rsidRPr="009D0D56">
              <w:rPr>
                <w:rFonts w:ascii="Verdana" w:hAnsi="Verdana" w:cs="Arial"/>
                <w:sz w:val="16"/>
                <w:szCs w:val="16"/>
              </w:rPr>
              <w:t>)</w:t>
            </w:r>
            <w:r>
              <w:rPr>
                <w:rFonts w:ascii="Verdana" w:hAnsi="Verdana" w:cs="Arial"/>
                <w:sz w:val="16"/>
                <w:szCs w:val="16"/>
              </w:rPr>
              <w:t>.</w:t>
            </w:r>
          </w:p>
          <w:p w:rsidR="00683496" w:rsidRPr="00887391" w:rsidRDefault="00683496" w:rsidP="00683496">
            <w:pPr>
              <w:ind w:left="142" w:hanging="142"/>
              <w:rPr>
                <w:rFonts w:ascii="Verdana" w:hAnsi="Verdana" w:cs="Arial"/>
                <w:sz w:val="16"/>
                <w:szCs w:val="16"/>
              </w:rPr>
            </w:pPr>
            <w:r>
              <w:rPr>
                <w:rFonts w:ascii="Verdana" w:hAnsi="Verdana" w:cs="Arial"/>
                <w:sz w:val="16"/>
                <w:szCs w:val="16"/>
                <w:vertAlign w:val="superscript"/>
              </w:rPr>
              <w:t>c</w:t>
            </w:r>
            <w:r>
              <w:rPr>
                <w:rFonts w:ascii="Verdana" w:hAnsi="Verdana" w:cs="Arial"/>
                <w:sz w:val="16"/>
                <w:szCs w:val="16"/>
              </w:rPr>
              <w:t xml:space="preserve"> W zależności od końcowego zastosowania powinna zostać wybrana tylko jedna metoda oznaczenia kohezji. Oznaczanie kohezji metodą </w:t>
            </w:r>
            <w:proofErr w:type="spellStart"/>
            <w:r>
              <w:rPr>
                <w:rFonts w:ascii="Verdana" w:hAnsi="Verdana" w:cs="Arial"/>
                <w:sz w:val="16"/>
                <w:szCs w:val="16"/>
              </w:rPr>
              <w:t>Vialit</w:t>
            </w:r>
            <w:proofErr w:type="spellEnd"/>
            <w:r>
              <w:rPr>
                <w:rFonts w:ascii="Verdana" w:hAnsi="Verdana" w:cs="Arial"/>
                <w:sz w:val="16"/>
                <w:szCs w:val="16"/>
              </w:rPr>
              <w:t xml:space="preserve"> (PN-EN 13588) należy wybrać tylko w przypadku asfaltów przeznaczonych do powierzchniowego utrwalania.</w:t>
            </w:r>
          </w:p>
          <w:p w:rsidR="00683496" w:rsidRPr="009D0D56" w:rsidRDefault="00683496" w:rsidP="00683496">
            <w:pPr>
              <w:rPr>
                <w:rFonts w:ascii="Verdana" w:hAnsi="Verdana" w:cs="Arial"/>
                <w:sz w:val="16"/>
                <w:szCs w:val="16"/>
              </w:rPr>
            </w:pPr>
            <w:r>
              <w:rPr>
                <w:rFonts w:ascii="Verdana" w:hAnsi="Verdana" w:cs="Arial"/>
                <w:sz w:val="16"/>
                <w:szCs w:val="16"/>
                <w:vertAlign w:val="superscript"/>
              </w:rPr>
              <w:t>d</w:t>
            </w:r>
            <w:r w:rsidRPr="009D0D56">
              <w:rPr>
                <w:rFonts w:ascii="Verdana" w:hAnsi="Verdana" w:cs="Arial"/>
                <w:sz w:val="16"/>
                <w:szCs w:val="16"/>
              </w:rPr>
              <w:t xml:space="preserve"> TBR – To Be </w:t>
            </w:r>
            <w:proofErr w:type="spellStart"/>
            <w:r w:rsidRPr="009D0D56">
              <w:rPr>
                <w:rFonts w:ascii="Verdana" w:hAnsi="Verdana" w:cs="Arial"/>
                <w:sz w:val="16"/>
                <w:szCs w:val="16"/>
              </w:rPr>
              <w:t>Reported</w:t>
            </w:r>
            <w:proofErr w:type="spellEnd"/>
            <w:r w:rsidRPr="009D0D56">
              <w:rPr>
                <w:rFonts w:ascii="Verdana" w:hAnsi="Verdana" w:cs="Arial"/>
                <w:sz w:val="16"/>
                <w:szCs w:val="16"/>
              </w:rPr>
              <w:t xml:space="preserve"> (do zadeklarowania)</w:t>
            </w:r>
            <w:r>
              <w:rPr>
                <w:rFonts w:ascii="Verdana" w:hAnsi="Verdana" w:cs="Arial"/>
                <w:sz w:val="16"/>
                <w:szCs w:val="16"/>
              </w:rPr>
              <w:t>.</w:t>
            </w:r>
          </w:p>
        </w:tc>
      </w:tr>
    </w:tbl>
    <w:p w:rsidR="00683496" w:rsidRPr="006D2270" w:rsidRDefault="00683496" w:rsidP="00683496">
      <w:pPr>
        <w:ind w:left="993" w:hanging="993"/>
        <w:rPr>
          <w:rFonts w:ascii="Verdana" w:hAnsi="Verdana" w:cs="Arial"/>
        </w:rPr>
      </w:pPr>
    </w:p>
    <w:p w:rsidR="00683496" w:rsidRPr="006D2270" w:rsidRDefault="00683496" w:rsidP="00683496">
      <w:pPr>
        <w:jc w:val="both"/>
        <w:rPr>
          <w:rFonts w:ascii="Verdana" w:hAnsi="Verdana" w:cs="Arial"/>
        </w:rPr>
      </w:pPr>
      <w:r w:rsidRPr="006D2270">
        <w:rPr>
          <w:rFonts w:ascii="Verdana" w:hAnsi="Verdana" w:cs="Arial"/>
        </w:rPr>
        <w:t>Składowanie asfaltu drogowego powinno się odbywać w zbiornikach, wykluczających zanieczyszczenie asfaltu i wyposażonych w system grzewczy pośredni (bez kontaktu asfaltu</w:t>
      </w:r>
      <w:r w:rsidRPr="00887391">
        <w:rPr>
          <w:rFonts w:ascii="Verdana" w:hAnsi="Verdana" w:cs="Arial"/>
        </w:rPr>
        <w:t xml:space="preserve"> </w:t>
      </w:r>
      <w:r w:rsidRPr="006D2270">
        <w:rPr>
          <w:rFonts w:ascii="Verdana" w:hAnsi="Verdana" w:cs="Arial"/>
        </w:rPr>
        <w:t>z przewodami grzewczymi). Zbiornik roboczy otaczarki powinien być izolowany termicznie, posiadać automatyczny system grzewczy z tolerancją ± 5°C oraz układ cyrkulacji asfaltu.</w:t>
      </w:r>
    </w:p>
    <w:p w:rsidR="00683496" w:rsidRPr="006D2270" w:rsidRDefault="00683496" w:rsidP="00683496">
      <w:pPr>
        <w:jc w:val="both"/>
        <w:rPr>
          <w:rFonts w:ascii="Verdana" w:hAnsi="Verdana" w:cs="Arial"/>
        </w:rPr>
      </w:pPr>
      <w:r w:rsidRPr="006D2270">
        <w:rPr>
          <w:rFonts w:ascii="Verdana" w:hAnsi="Verdana" w:cs="Arial"/>
        </w:rPr>
        <w:t>Asfalt modyfikowany polimerami powinien być magazynowany w zbiorniku wyposażonym w system grzewczy pośredni z termostatem kontrolującym temperaturę z dokładnością  ± 5°C. Zaleca się wyposażenie zbiornika w mieszadło. Zaleca się bezpośrednie zużycie asfaltu modyfikowanego polimerami po dostarczeniu. Należy unikać wielokrotnego rozgrzewania i chłodzenia w okresie jego stosowania oraz unikać niekontrolowanego mieszania asfaltów modyfikowanych polimerami różnego rodzaju i klasy oraz z asfaltem drogowym.</w:t>
      </w:r>
      <w:r>
        <w:rPr>
          <w:rFonts w:ascii="Verdana" w:hAnsi="Verdana" w:cs="Arial"/>
        </w:rPr>
        <w:t xml:space="preserve"> </w:t>
      </w:r>
    </w:p>
    <w:p w:rsidR="00683496" w:rsidRPr="006D2270" w:rsidRDefault="00683496" w:rsidP="00683496">
      <w:pPr>
        <w:jc w:val="both"/>
        <w:rPr>
          <w:rFonts w:ascii="Verdana" w:hAnsi="Verdana" w:cs="Arial"/>
        </w:rPr>
      </w:pPr>
      <w:r w:rsidRPr="006D2270">
        <w:rPr>
          <w:rFonts w:ascii="Verdana" w:hAnsi="Verdana" w:cs="Arial"/>
        </w:rPr>
        <w:t xml:space="preserve"> </w:t>
      </w:r>
    </w:p>
    <w:p w:rsidR="00683496" w:rsidRPr="006D2270" w:rsidRDefault="00683496" w:rsidP="00683496">
      <w:pPr>
        <w:keepNext/>
        <w:outlineLvl w:val="1"/>
        <w:rPr>
          <w:rFonts w:ascii="Verdana" w:hAnsi="Verdana" w:cs="Arial"/>
          <w:b/>
          <w:bCs/>
          <w:iCs/>
        </w:rPr>
      </w:pPr>
      <w:bookmarkStart w:id="350" w:name="_Toc316558730"/>
      <w:r w:rsidRPr="006D2270">
        <w:rPr>
          <w:rFonts w:ascii="Verdana" w:hAnsi="Verdana" w:cs="Arial"/>
          <w:b/>
          <w:bCs/>
          <w:iCs/>
        </w:rPr>
        <w:t>2.3. Kruszywo</w:t>
      </w:r>
      <w:bookmarkEnd w:id="350"/>
      <w:r w:rsidRPr="006D2270">
        <w:rPr>
          <w:rFonts w:ascii="Verdana" w:hAnsi="Verdana" w:cs="Arial"/>
          <w:b/>
          <w:bCs/>
          <w:iCs/>
        </w:rPr>
        <w:t xml:space="preserve"> </w:t>
      </w:r>
    </w:p>
    <w:p w:rsidR="00683496" w:rsidRDefault="00683496" w:rsidP="00683496">
      <w:pPr>
        <w:jc w:val="both"/>
        <w:rPr>
          <w:rFonts w:ascii="Verdana" w:hAnsi="Verdana" w:cs="Arial"/>
          <w:b/>
        </w:rPr>
      </w:pPr>
      <w:r w:rsidRPr="006D2270">
        <w:rPr>
          <w:rFonts w:ascii="Verdana" w:hAnsi="Verdana" w:cs="Arial"/>
        </w:rPr>
        <w:t>Do warstwy ścieralnej z betonu asfaltowego należy stosować kruszywo według PN-EN 13043 [44] i WT-1 Kruszywa do mieszanek mineralno-asfaltowych i powierzchniowych utrwaleń na drogach krajowych 201</w:t>
      </w:r>
      <w:r>
        <w:rPr>
          <w:rFonts w:ascii="Verdana" w:hAnsi="Verdana" w:cs="Arial"/>
        </w:rPr>
        <w:t>4</w:t>
      </w:r>
      <w:r w:rsidRPr="006D2270">
        <w:rPr>
          <w:rFonts w:ascii="Verdana" w:hAnsi="Verdana" w:cs="Arial"/>
        </w:rPr>
        <w:t xml:space="preserve"> [64], obejmujące kruszywo grube, kruszywo drobne  i wypełniacz. </w:t>
      </w:r>
      <w:r w:rsidRPr="006D2270">
        <w:rPr>
          <w:rFonts w:ascii="Verdana" w:hAnsi="Verdana" w:cs="Arial"/>
        </w:rPr>
        <w:lastRenderedPageBreak/>
        <w:t>Kruszywa powinny spełniać wymagania podane w tab</w:t>
      </w:r>
      <w:r>
        <w:rPr>
          <w:rFonts w:ascii="Verdana" w:hAnsi="Verdana" w:cs="Arial"/>
        </w:rPr>
        <w:t>elach</w:t>
      </w:r>
      <w:r w:rsidRPr="006D2270">
        <w:rPr>
          <w:rFonts w:ascii="Verdana" w:hAnsi="Verdana" w:cs="Arial"/>
        </w:rPr>
        <w:t xml:space="preserve"> </w:t>
      </w:r>
      <w:r>
        <w:rPr>
          <w:rFonts w:ascii="Verdana" w:hAnsi="Verdana" w:cs="Arial"/>
        </w:rPr>
        <w:t>4</w:t>
      </w:r>
      <w:r w:rsidRPr="006D2270">
        <w:rPr>
          <w:rFonts w:ascii="Verdana" w:hAnsi="Verdana" w:cs="Arial"/>
        </w:rPr>
        <w:t>÷</w:t>
      </w:r>
      <w:r>
        <w:rPr>
          <w:rFonts w:ascii="Verdana" w:hAnsi="Verdana" w:cs="Arial"/>
        </w:rPr>
        <w:t>6</w:t>
      </w:r>
      <w:r w:rsidRPr="006D2270">
        <w:rPr>
          <w:rFonts w:ascii="Verdana" w:hAnsi="Verdana" w:cs="Arial"/>
        </w:rPr>
        <w:t xml:space="preserve"> </w:t>
      </w:r>
      <w:r>
        <w:rPr>
          <w:rFonts w:ascii="Verdana" w:hAnsi="Verdana" w:cs="Arial"/>
        </w:rPr>
        <w:t xml:space="preserve"> </w:t>
      </w:r>
      <w:r w:rsidRPr="006D2270">
        <w:rPr>
          <w:rFonts w:ascii="Verdana" w:hAnsi="Verdana" w:cs="Arial"/>
        </w:rPr>
        <w:t>(na podstawie WT-1 Kruszywa 201</w:t>
      </w:r>
      <w:r>
        <w:rPr>
          <w:rFonts w:ascii="Verdana" w:hAnsi="Verdana" w:cs="Arial"/>
        </w:rPr>
        <w:t>4</w:t>
      </w:r>
      <w:r w:rsidRPr="006D2270">
        <w:rPr>
          <w:rFonts w:ascii="Verdana" w:hAnsi="Verdana" w:cs="Arial"/>
        </w:rPr>
        <w:t xml:space="preserve"> [64] punkt </w:t>
      </w:r>
      <w:r>
        <w:rPr>
          <w:rFonts w:ascii="Verdana" w:hAnsi="Verdana" w:cs="Arial"/>
        </w:rPr>
        <w:t>5</w:t>
      </w:r>
      <w:r w:rsidRPr="006D2270">
        <w:rPr>
          <w:rFonts w:ascii="Verdana" w:hAnsi="Verdana" w:cs="Arial"/>
        </w:rPr>
        <w:t>.3, tab</w:t>
      </w:r>
      <w:r>
        <w:rPr>
          <w:rFonts w:ascii="Verdana" w:hAnsi="Verdana" w:cs="Arial"/>
        </w:rPr>
        <w:t xml:space="preserve">ele </w:t>
      </w:r>
      <w:r w:rsidRPr="006D2270">
        <w:rPr>
          <w:rFonts w:ascii="Verdana" w:hAnsi="Verdana" w:cs="Arial"/>
        </w:rPr>
        <w:t>12,14,15)</w:t>
      </w:r>
      <w:r>
        <w:rPr>
          <w:rFonts w:ascii="Verdana" w:hAnsi="Verdana" w:cs="Arial"/>
          <w:b/>
        </w:rPr>
        <w:t>.</w:t>
      </w:r>
    </w:p>
    <w:p w:rsidR="00683496" w:rsidRPr="00616C7A" w:rsidRDefault="00683496" w:rsidP="00683496">
      <w:pPr>
        <w:spacing w:line="276" w:lineRule="auto"/>
        <w:jc w:val="both"/>
        <w:rPr>
          <w:rFonts w:ascii="Verdana" w:hAnsi="Verdana"/>
          <w:u w:val="single"/>
        </w:rPr>
      </w:pPr>
      <w:r w:rsidRPr="00616C7A">
        <w:rPr>
          <w:rFonts w:ascii="Verdana" w:hAnsi="Verdana"/>
          <w:u w:val="single"/>
        </w:rPr>
        <w:t xml:space="preserve">Do produkcji </w:t>
      </w:r>
      <w:r>
        <w:rPr>
          <w:rFonts w:ascii="Verdana" w:hAnsi="Verdana"/>
          <w:u w:val="single"/>
        </w:rPr>
        <w:t>mieszanki mineralno-asfaltowej należy stosować mieszankę mineralną składającą się z co najmniej 2 rodzajów (ze względu na pochodzenie mineralogiczne) kruszyw grubych w tych samych frakcjach powyżej 4 mm, w tym jedno kruszywo grube rozjaśniające nawierzchnię.</w:t>
      </w:r>
    </w:p>
    <w:p w:rsidR="00683496" w:rsidRPr="00254068" w:rsidRDefault="00683496" w:rsidP="00683496">
      <w:pPr>
        <w:spacing w:line="276" w:lineRule="auto"/>
        <w:jc w:val="both"/>
        <w:rPr>
          <w:rFonts w:ascii="Verdana" w:hAnsi="Verdana"/>
          <w:u w:val="single"/>
        </w:rPr>
      </w:pPr>
    </w:p>
    <w:p w:rsidR="00683496" w:rsidRPr="006D2270" w:rsidRDefault="00683496" w:rsidP="00683496">
      <w:pPr>
        <w:widowControl w:val="0"/>
        <w:tabs>
          <w:tab w:val="left" w:pos="993"/>
        </w:tabs>
        <w:autoSpaceDE w:val="0"/>
        <w:autoSpaceDN w:val="0"/>
        <w:ind w:left="1134" w:hanging="1134"/>
        <w:jc w:val="both"/>
        <w:rPr>
          <w:rFonts w:ascii="Verdana" w:hAnsi="Verdana" w:cs="Arial"/>
          <w:b/>
          <w:bCs/>
        </w:rPr>
      </w:pPr>
      <w:r>
        <w:rPr>
          <w:rFonts w:ascii="Verdana" w:hAnsi="Verdana" w:cs="Arial"/>
        </w:rPr>
        <w:t xml:space="preserve">Tabela 4. </w:t>
      </w:r>
      <w:r w:rsidRPr="006D2270">
        <w:rPr>
          <w:rFonts w:ascii="Verdana" w:hAnsi="Verdana" w:cs="Arial"/>
          <w:bCs/>
        </w:rPr>
        <w:t>Wymagane właściwości kruszywa grubego do warstwy ścieralnej z betonu</w:t>
      </w:r>
      <w:r w:rsidRPr="00963952">
        <w:rPr>
          <w:rFonts w:ascii="Verdana" w:hAnsi="Verdana" w:cs="Arial"/>
          <w:bCs/>
        </w:rPr>
        <w:t xml:space="preserve"> </w:t>
      </w:r>
      <w:r w:rsidRPr="006D2270">
        <w:rPr>
          <w:rFonts w:ascii="Verdana" w:hAnsi="Verdana" w:cs="Arial"/>
          <w:bCs/>
        </w:rPr>
        <w:t>asfaltowego</w:t>
      </w:r>
      <w:r w:rsidRPr="00963952">
        <w:rPr>
          <w:rFonts w:ascii="Verdana" w:hAnsi="Verdana" w:cs="Arial"/>
          <w:bCs/>
        </w:rPr>
        <w:t xml:space="preserve"> </w:t>
      </w:r>
    </w:p>
    <w:tbl>
      <w:tblPr>
        <w:tblW w:w="9639" w:type="dxa"/>
        <w:tblInd w:w="6" w:type="dxa"/>
        <w:tblLayout w:type="fixed"/>
        <w:tblCellMar>
          <w:left w:w="0" w:type="dxa"/>
          <w:right w:w="0" w:type="dxa"/>
        </w:tblCellMar>
        <w:tblLook w:val="0000" w:firstRow="0" w:lastRow="0" w:firstColumn="0" w:lastColumn="0" w:noHBand="0" w:noVBand="0"/>
      </w:tblPr>
      <w:tblGrid>
        <w:gridCol w:w="6804"/>
        <w:gridCol w:w="2835"/>
      </w:tblGrid>
      <w:tr w:rsidR="00683496" w:rsidRPr="006D2270" w:rsidTr="00683496">
        <w:trPr>
          <w:cantSplit/>
          <w:trHeight w:hRule="exact" w:val="490"/>
        </w:trPr>
        <w:tc>
          <w:tcPr>
            <w:tcW w:w="6804" w:type="dxa"/>
            <w:vMerge w:val="restart"/>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spacing w:val="2"/>
              </w:rPr>
            </w:pPr>
            <w:r w:rsidRPr="006D2270">
              <w:rPr>
                <w:rFonts w:ascii="Verdana" w:hAnsi="Verdana" w:cs="Arial"/>
                <w:spacing w:val="2"/>
              </w:rPr>
              <w:t>Właściwości kruszywa</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spacing w:val="2"/>
              </w:rPr>
            </w:pPr>
            <w:r w:rsidRPr="006D2270">
              <w:rPr>
                <w:rFonts w:ascii="Verdana" w:hAnsi="Verdana" w:cs="Arial"/>
                <w:spacing w:val="2"/>
              </w:rPr>
              <w:t>Wymagania w zależności                   od kategorii ruchu</w:t>
            </w:r>
          </w:p>
        </w:tc>
      </w:tr>
      <w:tr w:rsidR="00683496" w:rsidRPr="006D2270" w:rsidTr="00683496">
        <w:trPr>
          <w:cantSplit/>
          <w:trHeight w:hRule="exact" w:val="280"/>
        </w:trPr>
        <w:tc>
          <w:tcPr>
            <w:tcW w:w="6804" w:type="dxa"/>
            <w:vMerge/>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spacing w:val="2"/>
              </w:rPr>
            </w:pP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spacing w:val="2"/>
              </w:rPr>
            </w:pPr>
            <w:r w:rsidRPr="006D2270">
              <w:rPr>
                <w:rFonts w:ascii="Verdana" w:hAnsi="Verdana" w:cs="Arial"/>
              </w:rPr>
              <w:t>KR 3</w:t>
            </w:r>
            <w:r>
              <w:rPr>
                <w:rFonts w:ascii="Verdana" w:hAnsi="Verdana" w:cs="Arial"/>
              </w:rPr>
              <w:t>÷</w:t>
            </w:r>
            <w:r w:rsidRPr="006D2270">
              <w:rPr>
                <w:rFonts w:ascii="Verdana" w:hAnsi="Verdana" w:cs="Arial"/>
              </w:rPr>
              <w:t>4</w:t>
            </w:r>
          </w:p>
        </w:tc>
      </w:tr>
      <w:tr w:rsidR="00683496" w:rsidRPr="006D2270" w:rsidTr="00683496">
        <w:trPr>
          <w:trHeight w:val="340"/>
        </w:trPr>
        <w:tc>
          <w:tcPr>
            <w:tcW w:w="6804" w:type="dxa"/>
            <w:tcBorders>
              <w:top w:val="single" w:sz="4"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Uziarnienie według PN-EN 933-1; kategoria nie niższa niż:</w:t>
            </w:r>
          </w:p>
        </w:tc>
        <w:tc>
          <w:tcPr>
            <w:tcW w:w="2835" w:type="dxa"/>
            <w:tcBorders>
              <w:top w:val="single" w:sz="4"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vertAlign w:val="superscript"/>
              </w:rPr>
            </w:pPr>
            <w:r w:rsidRPr="006D2270">
              <w:rPr>
                <w:rFonts w:ascii="Verdana" w:hAnsi="Verdana" w:cs="Arial"/>
                <w:i/>
                <w:spacing w:val="2"/>
              </w:rPr>
              <w:t>G</w:t>
            </w:r>
            <w:r w:rsidRPr="006D2270">
              <w:rPr>
                <w:rFonts w:ascii="Verdana" w:hAnsi="Verdana" w:cs="Arial"/>
                <w:spacing w:val="2"/>
                <w:vertAlign w:val="subscript"/>
              </w:rPr>
              <w:t xml:space="preserve">C </w:t>
            </w:r>
            <w:r w:rsidRPr="006D2270">
              <w:rPr>
                <w:rFonts w:ascii="Verdana" w:hAnsi="Verdana" w:cs="Arial"/>
                <w:spacing w:val="2"/>
              </w:rPr>
              <w:t xml:space="preserve">90/20 </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 xml:space="preserve">Tolerancje uziarnienia; </w:t>
            </w:r>
            <w:r>
              <w:rPr>
                <w:rFonts w:ascii="Verdana" w:hAnsi="Verdana" w:cs="Arial"/>
                <w:spacing w:val="2"/>
              </w:rPr>
              <w:t>wymagane kategorie</w:t>
            </w:r>
            <w:r w:rsidRPr="006D2270">
              <w:rPr>
                <w:rFonts w:ascii="Verdana" w:hAnsi="Verdana" w:cs="Arial"/>
                <w:spacing w:val="2"/>
              </w:rPr>
              <w:t>:</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133E8B" w:rsidRDefault="00683496" w:rsidP="00683496">
            <w:pPr>
              <w:widowControl w:val="0"/>
              <w:tabs>
                <w:tab w:val="left" w:pos="2835"/>
              </w:tabs>
              <w:autoSpaceDE w:val="0"/>
              <w:autoSpaceDN w:val="0"/>
              <w:ind w:right="-142"/>
              <w:jc w:val="center"/>
              <w:rPr>
                <w:rFonts w:ascii="Verdana" w:hAnsi="Verdana" w:cs="Arial"/>
                <w:spacing w:val="-4"/>
              </w:rPr>
            </w:pPr>
            <w:r w:rsidRPr="006D2270">
              <w:rPr>
                <w:rFonts w:ascii="Verdana" w:hAnsi="Verdana" w:cs="Arial"/>
                <w:i/>
                <w:spacing w:val="-4"/>
              </w:rPr>
              <w:t>G</w:t>
            </w:r>
            <w:r w:rsidRPr="006D2270">
              <w:rPr>
                <w:rFonts w:ascii="Verdana" w:hAnsi="Verdana" w:cs="Arial"/>
                <w:spacing w:val="-4"/>
                <w:vertAlign w:val="subscript"/>
              </w:rPr>
              <w:t>25/15</w:t>
            </w:r>
            <w:r>
              <w:rPr>
                <w:rFonts w:ascii="Verdana" w:hAnsi="Verdana" w:cs="Arial"/>
                <w:spacing w:val="-4"/>
              </w:rPr>
              <w:t>,</w:t>
            </w:r>
          </w:p>
          <w:p w:rsidR="00683496" w:rsidRPr="00133E8B" w:rsidRDefault="00683496" w:rsidP="00683496">
            <w:pPr>
              <w:widowControl w:val="0"/>
              <w:tabs>
                <w:tab w:val="left" w:pos="2835"/>
              </w:tabs>
              <w:autoSpaceDE w:val="0"/>
              <w:autoSpaceDN w:val="0"/>
              <w:ind w:right="-142"/>
              <w:jc w:val="center"/>
              <w:rPr>
                <w:rFonts w:ascii="Verdana" w:hAnsi="Verdana" w:cs="Arial"/>
                <w:spacing w:val="-4"/>
                <w:vertAlign w:val="subscript"/>
              </w:rPr>
            </w:pPr>
            <w:r w:rsidRPr="00133E8B">
              <w:rPr>
                <w:rFonts w:ascii="Verdana" w:hAnsi="Verdana" w:cs="Arial"/>
                <w:i/>
                <w:spacing w:val="-4"/>
              </w:rPr>
              <w:t>G</w:t>
            </w:r>
            <w:r>
              <w:rPr>
                <w:rFonts w:ascii="Verdana" w:hAnsi="Verdana" w:cs="Arial"/>
                <w:spacing w:val="-4"/>
                <w:vertAlign w:val="subscript"/>
              </w:rPr>
              <w:t>20/15</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Zawartość pyłów według PN-EN 933-1; 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693"/>
                <w:tab w:val="left" w:pos="2835"/>
              </w:tabs>
              <w:autoSpaceDE w:val="0"/>
              <w:autoSpaceDN w:val="0"/>
              <w:ind w:right="-142"/>
              <w:jc w:val="center"/>
              <w:rPr>
                <w:rFonts w:ascii="Verdana" w:hAnsi="Verdana" w:cs="Arial"/>
              </w:rPr>
            </w:pPr>
            <w:r w:rsidRPr="006D2270">
              <w:rPr>
                <w:rFonts w:ascii="Verdana" w:hAnsi="Verdana" w:cs="Arial"/>
                <w:i/>
              </w:rPr>
              <w:t>f</w:t>
            </w:r>
            <w:r w:rsidRPr="006D2270">
              <w:rPr>
                <w:rFonts w:ascii="Verdana" w:hAnsi="Verdana" w:cs="Arial"/>
                <w:vertAlign w:val="subscript"/>
              </w:rPr>
              <w:t>2</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tcPr>
          <w:p w:rsidR="00683496" w:rsidRPr="006D2270" w:rsidRDefault="00683496" w:rsidP="00683496">
            <w:pPr>
              <w:widowControl w:val="0"/>
              <w:autoSpaceDE w:val="0"/>
              <w:autoSpaceDN w:val="0"/>
              <w:spacing w:before="108"/>
              <w:ind w:left="83"/>
              <w:rPr>
                <w:rFonts w:ascii="Verdana" w:hAnsi="Verdana" w:cs="Arial"/>
                <w:spacing w:val="2"/>
              </w:rPr>
            </w:pPr>
            <w:r w:rsidRPr="006D2270">
              <w:rPr>
                <w:rFonts w:ascii="Verdana" w:hAnsi="Verdana" w:cs="Arial"/>
                <w:spacing w:val="2"/>
              </w:rPr>
              <w:t>Kształt kruszywa według PN-EN 933-3 lub według PN-EN 933-4;</w:t>
            </w:r>
          </w:p>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Default="00683496" w:rsidP="00683496">
            <w:pPr>
              <w:widowControl w:val="0"/>
              <w:tabs>
                <w:tab w:val="left" w:pos="2835"/>
              </w:tabs>
              <w:autoSpaceDE w:val="0"/>
              <w:autoSpaceDN w:val="0"/>
              <w:ind w:right="-142"/>
              <w:jc w:val="center"/>
              <w:rPr>
                <w:rFonts w:ascii="Verdana" w:hAnsi="Verdana" w:cs="Arial"/>
                <w:i/>
                <w:iCs/>
                <w:spacing w:val="2"/>
              </w:rPr>
            </w:pPr>
            <w:r w:rsidRPr="006D2270">
              <w:rPr>
                <w:rFonts w:ascii="Verdana" w:hAnsi="Verdana" w:cs="Arial"/>
                <w:i/>
                <w:iCs/>
                <w:spacing w:val="2"/>
              </w:rPr>
              <w:t>FI</w:t>
            </w:r>
            <w:r w:rsidRPr="00133E8B">
              <w:rPr>
                <w:rFonts w:ascii="Verdana" w:hAnsi="Verdana" w:cs="Arial"/>
                <w:iCs/>
                <w:spacing w:val="2"/>
                <w:vertAlign w:val="subscript"/>
              </w:rPr>
              <w:t>20</w:t>
            </w:r>
            <w:r w:rsidRPr="006D2270">
              <w:rPr>
                <w:rFonts w:ascii="Verdana" w:hAnsi="Verdana" w:cs="Arial"/>
                <w:i/>
                <w:iCs/>
                <w:spacing w:val="2"/>
              </w:rPr>
              <w:t xml:space="preserve"> </w:t>
            </w:r>
          </w:p>
          <w:p w:rsidR="00683496" w:rsidRPr="006D2270" w:rsidRDefault="00683496" w:rsidP="00683496">
            <w:pPr>
              <w:widowControl w:val="0"/>
              <w:tabs>
                <w:tab w:val="left" w:pos="2835"/>
              </w:tabs>
              <w:autoSpaceDE w:val="0"/>
              <w:autoSpaceDN w:val="0"/>
              <w:ind w:right="-142"/>
              <w:jc w:val="center"/>
              <w:rPr>
                <w:rFonts w:ascii="Verdana" w:hAnsi="Verdana" w:cs="Arial"/>
                <w:spacing w:val="-4"/>
              </w:rPr>
            </w:pPr>
            <w:r w:rsidRPr="006D2270">
              <w:rPr>
                <w:rFonts w:ascii="Verdana" w:hAnsi="Verdana" w:cs="Arial"/>
                <w:spacing w:val="2"/>
              </w:rPr>
              <w:t xml:space="preserve">lub </w:t>
            </w:r>
            <w:r w:rsidRPr="006D2270">
              <w:rPr>
                <w:rFonts w:ascii="Verdana" w:hAnsi="Verdana" w:cs="Arial"/>
                <w:spacing w:val="-4"/>
              </w:rPr>
              <w:t>SI</w:t>
            </w:r>
            <w:r w:rsidRPr="006D2270">
              <w:rPr>
                <w:rFonts w:ascii="Verdana" w:hAnsi="Verdana" w:cs="Arial"/>
                <w:spacing w:val="-4"/>
                <w:vertAlign w:val="subscript"/>
              </w:rPr>
              <w:t>20</w:t>
            </w:r>
          </w:p>
        </w:tc>
      </w:tr>
      <w:tr w:rsidR="00683496" w:rsidRPr="006D2270" w:rsidTr="00683496">
        <w:trPr>
          <w:trHeight w:val="8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spacing w:before="108"/>
              <w:ind w:left="141"/>
              <w:rPr>
                <w:rFonts w:ascii="Verdana" w:hAnsi="Verdana" w:cs="Arial"/>
                <w:spacing w:val="2"/>
              </w:rPr>
            </w:pPr>
            <w:r w:rsidRPr="006D2270">
              <w:rPr>
                <w:rFonts w:ascii="Verdana" w:hAnsi="Verdana" w:cs="Arial"/>
                <w:spacing w:val="2"/>
              </w:rPr>
              <w:t xml:space="preserve">Procentowa zawartość ziaren o powierzchni </w:t>
            </w:r>
            <w:proofErr w:type="spellStart"/>
            <w:r w:rsidRPr="006D2270">
              <w:rPr>
                <w:rFonts w:ascii="Verdana" w:hAnsi="Verdana" w:cs="Arial"/>
                <w:spacing w:val="2"/>
              </w:rPr>
              <w:t>przekruszonej</w:t>
            </w:r>
            <w:proofErr w:type="spellEnd"/>
            <w:r w:rsidRPr="006D2270">
              <w:rPr>
                <w:rFonts w:ascii="Verdana" w:hAnsi="Verdana" w:cs="Arial"/>
                <w:spacing w:val="2"/>
              </w:rPr>
              <w:t xml:space="preserve"> i łamanej w kruszywie grubym według PN-EN 933-5; kategoria ni</w:t>
            </w:r>
            <w:r>
              <w:rPr>
                <w:rFonts w:ascii="Verdana" w:hAnsi="Verdana" w:cs="Arial"/>
                <w:spacing w:val="2"/>
              </w:rPr>
              <w:t>e</w:t>
            </w:r>
            <w:r w:rsidRPr="006D2270">
              <w:rPr>
                <w:rFonts w:ascii="Verdana" w:hAnsi="Verdana" w:cs="Arial"/>
                <w:spacing w:val="2"/>
              </w:rPr>
              <w:t xml:space="preserve"> niższa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4"/>
              </w:rPr>
            </w:pPr>
            <w:r w:rsidRPr="00364354">
              <w:rPr>
                <w:rFonts w:ascii="Verdana" w:hAnsi="Verdana" w:cs="Arial"/>
                <w:i/>
                <w:spacing w:val="-4"/>
              </w:rPr>
              <w:t>C</w:t>
            </w:r>
            <w:r w:rsidRPr="006D2270">
              <w:rPr>
                <w:rFonts w:ascii="Verdana" w:hAnsi="Verdana" w:cs="Arial"/>
                <w:spacing w:val="-4"/>
                <w:vertAlign w:val="subscript"/>
              </w:rPr>
              <w:t>95/1</w:t>
            </w:r>
          </w:p>
        </w:tc>
      </w:tr>
      <w:tr w:rsidR="00683496" w:rsidRPr="006D2270" w:rsidTr="00683496">
        <w:trPr>
          <w:trHeight w:val="72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Odporność kruszywa na rozdrabni</w:t>
            </w:r>
            <w:r>
              <w:rPr>
                <w:rFonts w:ascii="Verdana" w:hAnsi="Verdana" w:cs="Arial"/>
                <w:spacing w:val="2"/>
              </w:rPr>
              <w:t xml:space="preserve">anie według normy PN-EN 1097-2, </w:t>
            </w:r>
            <w:r w:rsidRPr="006D2270">
              <w:rPr>
                <w:rFonts w:ascii="Verdana" w:hAnsi="Verdana" w:cs="Arial"/>
                <w:spacing w:val="2"/>
              </w:rPr>
              <w:t>rozdział 5</w:t>
            </w:r>
            <w:r>
              <w:rPr>
                <w:rFonts w:ascii="Verdana" w:hAnsi="Verdana" w:cs="Arial"/>
                <w:spacing w:val="2"/>
              </w:rPr>
              <w:t>,</w:t>
            </w:r>
            <w:r w:rsidRPr="006D2270">
              <w:rPr>
                <w:rFonts w:ascii="Verdana" w:hAnsi="Verdana" w:cs="Arial"/>
                <w:spacing w:val="2"/>
              </w:rPr>
              <w:t xml:space="preserve"> badana</w:t>
            </w:r>
            <w:r>
              <w:rPr>
                <w:rFonts w:ascii="Verdana" w:hAnsi="Verdana" w:cs="Arial"/>
                <w:spacing w:val="2"/>
              </w:rPr>
              <w:t xml:space="preserve"> na kruszywie o wymiarze 10/14</w:t>
            </w:r>
            <w:r w:rsidRPr="006D2270">
              <w:rPr>
                <w:rFonts w:ascii="Verdana" w:hAnsi="Verdana" w:cs="Arial"/>
                <w:spacing w:val="2"/>
              </w:rPr>
              <w:t>; 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4"/>
              </w:rPr>
            </w:pPr>
            <w:r w:rsidRPr="00364354">
              <w:rPr>
                <w:rFonts w:ascii="Verdana" w:hAnsi="Verdana" w:cs="Arial"/>
                <w:i/>
                <w:spacing w:val="-4"/>
              </w:rPr>
              <w:t>LA</w:t>
            </w:r>
            <w:r w:rsidRPr="006D2270">
              <w:rPr>
                <w:rFonts w:ascii="Verdana" w:hAnsi="Verdana" w:cs="Arial"/>
                <w:spacing w:val="-4"/>
                <w:vertAlign w:val="subscript"/>
              </w:rPr>
              <w:t>30</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141"/>
              <w:rPr>
                <w:rFonts w:ascii="Verdana" w:hAnsi="Verdana" w:cs="Arial"/>
                <w:spacing w:val="2"/>
              </w:rPr>
            </w:pPr>
            <w:r w:rsidRPr="006D2270">
              <w:rPr>
                <w:rFonts w:ascii="Verdana" w:hAnsi="Verdana" w:cs="Arial"/>
                <w:spacing w:val="2"/>
              </w:rPr>
              <w:t xml:space="preserve">Odporność na polerowanie kruszywa (badana na normowej frakcji kruszywa do mieszanki mineralno-asfaltowej) według PN-EN 1097-8; kategoria nie niższa niż:  </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BC2ED8" w:rsidRDefault="00683496" w:rsidP="00683496">
            <w:pPr>
              <w:widowControl w:val="0"/>
              <w:tabs>
                <w:tab w:val="left" w:pos="2835"/>
              </w:tabs>
              <w:autoSpaceDE w:val="0"/>
              <w:autoSpaceDN w:val="0"/>
              <w:ind w:right="-142"/>
              <w:jc w:val="center"/>
              <w:rPr>
                <w:rFonts w:ascii="Verdana" w:hAnsi="Verdana" w:cs="Arial"/>
                <w:spacing w:val="-4"/>
                <w:vertAlign w:val="superscript"/>
              </w:rPr>
            </w:pPr>
            <w:r w:rsidRPr="006D2270">
              <w:rPr>
                <w:rFonts w:ascii="Verdana" w:hAnsi="Verdana" w:cs="Arial"/>
                <w:i/>
                <w:iCs/>
                <w:spacing w:val="2"/>
              </w:rPr>
              <w:t xml:space="preserve">PSV </w:t>
            </w:r>
            <w:r w:rsidRPr="00BC2ED8">
              <w:rPr>
                <w:rFonts w:ascii="Verdana" w:hAnsi="Verdana" w:cs="Arial"/>
                <w:iCs/>
                <w:vertAlign w:val="subscript"/>
              </w:rPr>
              <w:t xml:space="preserve">Deklarowana                                               nie mniej  niż </w:t>
            </w:r>
            <w:r w:rsidRPr="00BC2ED8">
              <w:rPr>
                <w:rFonts w:ascii="Verdana" w:hAnsi="Verdana" w:cs="Arial"/>
                <w:spacing w:val="-4"/>
                <w:vertAlign w:val="subscript"/>
              </w:rPr>
              <w:t>48</w:t>
            </w:r>
            <w:r>
              <w:rPr>
                <w:rFonts w:ascii="Verdana" w:hAnsi="Verdana" w:cs="Arial"/>
                <w:spacing w:val="-4"/>
                <w:vertAlign w:val="superscript"/>
              </w:rPr>
              <w:t>*)</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Gęstość ziaren według PN-EN 1097-6, rozdz. 7, 8 lub 9:</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rPr>
            </w:pPr>
            <w:r w:rsidRPr="006D2270">
              <w:rPr>
                <w:rFonts w:ascii="Verdana" w:hAnsi="Verdana" w:cs="Arial"/>
                <w:spacing w:val="2"/>
              </w:rPr>
              <w:t>deklarowana przez producenta</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Nasiąkliwość według PN-EN 1097-6, rozdz. 7, 8 lub 9</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4"/>
              </w:rPr>
            </w:pPr>
            <w:r>
              <w:rPr>
                <w:rFonts w:ascii="Verdana" w:hAnsi="Verdana" w:cs="Arial"/>
                <w:spacing w:val="2"/>
              </w:rPr>
              <w:t>deklarowana przez producenta</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Gęstość nasypowa według normy PN-EN 1097-3:</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rPr>
            </w:pPr>
            <w:r w:rsidRPr="006D2270">
              <w:rPr>
                <w:rFonts w:ascii="Verdana" w:hAnsi="Verdana" w:cs="Arial"/>
                <w:spacing w:val="2"/>
              </w:rPr>
              <w:t>deklarowana przez producenta</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 xml:space="preserve">Mrozoodporność według PN-EN 1367-6 w 1% </w:t>
            </w:r>
            <w:proofErr w:type="spellStart"/>
            <w:r w:rsidRPr="006D2270">
              <w:rPr>
                <w:rFonts w:ascii="Verdana" w:hAnsi="Verdana" w:cs="Arial"/>
                <w:spacing w:val="2"/>
              </w:rPr>
              <w:t>NaCl</w:t>
            </w:r>
            <w:proofErr w:type="spellEnd"/>
            <w:r w:rsidRPr="006D2270">
              <w:rPr>
                <w:rFonts w:ascii="Verdana" w:hAnsi="Verdana" w:cs="Arial"/>
                <w:spacing w:val="2"/>
              </w:rPr>
              <w:t>,</w:t>
            </w:r>
            <w:r>
              <w:rPr>
                <w:rFonts w:ascii="Verdana" w:hAnsi="Verdana" w:cs="Arial"/>
                <w:spacing w:val="2"/>
              </w:rPr>
              <w:t xml:space="preserve">                          wartość </w:t>
            </w:r>
            <w:proofErr w:type="spellStart"/>
            <w:r w:rsidRPr="00BC2ED8">
              <w:rPr>
                <w:rFonts w:ascii="Verdana" w:hAnsi="Verdana" w:cs="Arial"/>
                <w:i/>
                <w:spacing w:val="2"/>
              </w:rPr>
              <w:t>F</w:t>
            </w:r>
            <w:r>
              <w:rPr>
                <w:rFonts w:ascii="Verdana" w:hAnsi="Verdana" w:cs="Arial"/>
                <w:spacing w:val="2"/>
                <w:vertAlign w:val="subscript"/>
              </w:rPr>
              <w:t>NaCl</w:t>
            </w:r>
            <w:proofErr w:type="spellEnd"/>
            <w:r w:rsidRPr="006D2270">
              <w:rPr>
                <w:rFonts w:ascii="Verdana" w:hAnsi="Verdana" w:cs="Arial"/>
                <w:spacing w:val="2"/>
              </w:rPr>
              <w:t xml:space="preserve">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rPr>
            </w:pPr>
            <w:r w:rsidRPr="006D2270">
              <w:rPr>
                <w:rFonts w:ascii="Verdana" w:hAnsi="Verdana" w:cs="Arial"/>
                <w:spacing w:val="2"/>
              </w:rPr>
              <w:t>7</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„Zgorzel słoneczna" bazaltu według PN-EN 1367-3, wymagana kategoria:</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rPr>
            </w:pPr>
            <w:r w:rsidRPr="00BC2ED8">
              <w:rPr>
                <w:rFonts w:ascii="Verdana" w:hAnsi="Verdana" w:cs="Arial"/>
                <w:i/>
                <w:spacing w:val="2"/>
              </w:rPr>
              <w:t>SB</w:t>
            </w:r>
            <w:r w:rsidRPr="006D2270">
              <w:rPr>
                <w:rFonts w:ascii="Verdana" w:hAnsi="Verdana" w:cs="Arial"/>
                <w:spacing w:val="2"/>
                <w:vertAlign w:val="subscript"/>
              </w:rPr>
              <w:t>LA</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 xml:space="preserve">Skład chemiczny - uproszczony opis petrograficzny według </w:t>
            </w:r>
            <w:r>
              <w:rPr>
                <w:rFonts w:ascii="Verdana" w:hAnsi="Verdana" w:cs="Arial"/>
                <w:spacing w:val="2"/>
              </w:rPr>
              <w:t xml:space="preserve">                    </w:t>
            </w:r>
            <w:r w:rsidRPr="006D2270">
              <w:rPr>
                <w:rFonts w:ascii="Verdana" w:hAnsi="Verdana" w:cs="Arial"/>
                <w:spacing w:val="2"/>
              </w:rPr>
              <w:t>PN-EN 932-3:</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rPr>
            </w:pPr>
            <w:r w:rsidRPr="006D2270">
              <w:rPr>
                <w:rFonts w:ascii="Verdana" w:hAnsi="Verdana" w:cs="Arial"/>
                <w:spacing w:val="2"/>
              </w:rPr>
              <w:t>deklarowany przez producenta</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83"/>
              <w:rPr>
                <w:rFonts w:ascii="Verdana" w:hAnsi="Verdana" w:cs="Arial"/>
                <w:spacing w:val="2"/>
              </w:rPr>
            </w:pPr>
            <w:r w:rsidRPr="006D2270">
              <w:rPr>
                <w:rFonts w:ascii="Verdana" w:hAnsi="Verdana" w:cs="Arial"/>
                <w:spacing w:val="2"/>
              </w:rPr>
              <w:t>Grube zanieczyszczenia lekkie według PN-EN 1744-1, p.14.2, 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rPr>
            </w:pPr>
            <w:r w:rsidRPr="001561BD">
              <w:rPr>
                <w:rFonts w:ascii="Verdana" w:hAnsi="Verdana" w:cs="Arial"/>
                <w:i/>
                <w:spacing w:val="2"/>
              </w:rPr>
              <w:t>m</w:t>
            </w:r>
            <w:r w:rsidRPr="006D2270">
              <w:rPr>
                <w:rFonts w:ascii="Verdana" w:hAnsi="Verdana" w:cs="Arial"/>
                <w:spacing w:val="2"/>
                <w:vertAlign w:val="subscript"/>
              </w:rPr>
              <w:t>LPC</w:t>
            </w:r>
            <w:r w:rsidRPr="006D2270">
              <w:rPr>
                <w:rFonts w:ascii="Verdana" w:hAnsi="Verdana" w:cs="Arial"/>
                <w:spacing w:val="2"/>
              </w:rPr>
              <w:t>0,1</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141"/>
              <w:rPr>
                <w:rFonts w:ascii="Verdana" w:hAnsi="Verdana" w:cs="Arial"/>
                <w:spacing w:val="2"/>
              </w:rPr>
            </w:pPr>
            <w:r w:rsidRPr="006D2270">
              <w:rPr>
                <w:rFonts w:ascii="Verdana" w:hAnsi="Verdana" w:cs="Arial"/>
                <w:spacing w:val="2"/>
              </w:rPr>
              <w:t xml:space="preserve">Rozpad krzemianu dwuwapniowego w kruszywie z żużla wielkopiecowego chłodzonego powietrzem według </w:t>
            </w:r>
            <w:r>
              <w:rPr>
                <w:rFonts w:ascii="Verdana" w:hAnsi="Verdana" w:cs="Arial"/>
                <w:spacing w:val="2"/>
              </w:rPr>
              <w:t xml:space="preserve">                               </w:t>
            </w:r>
            <w:r w:rsidRPr="006D2270">
              <w:rPr>
                <w:rFonts w:ascii="Verdana" w:hAnsi="Verdana" w:cs="Arial"/>
                <w:spacing w:val="2"/>
              </w:rPr>
              <w:t xml:space="preserve">PN-EN 1744-1,p.19.1:                     </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ind w:right="-142"/>
              <w:jc w:val="center"/>
              <w:rPr>
                <w:rFonts w:ascii="Verdana" w:hAnsi="Verdana" w:cs="Arial"/>
                <w:spacing w:val="2"/>
              </w:rPr>
            </w:pPr>
            <w:r w:rsidRPr="006D2270">
              <w:rPr>
                <w:rFonts w:ascii="Verdana" w:hAnsi="Verdana" w:cs="Arial"/>
                <w:spacing w:val="2"/>
              </w:rPr>
              <w:t>wymagana odporność</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tcPr>
          <w:p w:rsidR="00683496" w:rsidRPr="006D2270" w:rsidRDefault="00683496" w:rsidP="00683496">
            <w:pPr>
              <w:widowControl w:val="0"/>
              <w:tabs>
                <w:tab w:val="left" w:pos="3339"/>
              </w:tabs>
              <w:autoSpaceDE w:val="0"/>
              <w:autoSpaceDN w:val="0"/>
              <w:spacing w:before="108"/>
              <w:ind w:left="83"/>
              <w:rPr>
                <w:rFonts w:ascii="Verdana" w:hAnsi="Verdana" w:cs="Arial"/>
                <w:spacing w:val="2"/>
              </w:rPr>
            </w:pPr>
            <w:r w:rsidRPr="006D2270">
              <w:rPr>
                <w:rFonts w:ascii="Verdana" w:hAnsi="Verdana" w:cs="Arial"/>
                <w:spacing w:val="2"/>
              </w:rPr>
              <w:t>Rozpad związków żelaza w kruszywie z żużla wielkopiecowego chłodzonego powietrzem według PN-EN 1744-1, p. 19.2:</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jc w:val="center"/>
              <w:rPr>
                <w:rFonts w:ascii="Verdana" w:hAnsi="Verdana" w:cs="Arial"/>
                <w:spacing w:val="2"/>
              </w:rPr>
            </w:pPr>
            <w:r w:rsidRPr="006D2270">
              <w:rPr>
                <w:rFonts w:ascii="Verdana" w:hAnsi="Verdana" w:cs="Arial"/>
                <w:spacing w:val="2"/>
              </w:rPr>
              <w:t>wymagana odporność</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spacing w:before="108"/>
              <w:ind w:left="83"/>
              <w:rPr>
                <w:rFonts w:ascii="Verdana" w:hAnsi="Verdana" w:cs="Arial"/>
                <w:spacing w:val="2"/>
              </w:rPr>
            </w:pPr>
            <w:r w:rsidRPr="006D2270">
              <w:rPr>
                <w:rFonts w:ascii="Verdana" w:hAnsi="Verdana" w:cs="Arial"/>
                <w:spacing w:val="2"/>
              </w:rPr>
              <w:t xml:space="preserve">Stałość objętości kruszywa z żużla stalowniczego według </w:t>
            </w:r>
            <w:r>
              <w:rPr>
                <w:rFonts w:ascii="Verdana" w:hAnsi="Verdana" w:cs="Arial"/>
                <w:spacing w:val="2"/>
              </w:rPr>
              <w:t xml:space="preserve">                          </w:t>
            </w:r>
            <w:r w:rsidRPr="006D2270">
              <w:rPr>
                <w:rFonts w:ascii="Verdana" w:hAnsi="Verdana" w:cs="Arial"/>
                <w:spacing w:val="2"/>
              </w:rPr>
              <w:t>PN-EN 1744-1, p. 19.3, 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center" w:pos="2835"/>
              </w:tabs>
              <w:autoSpaceDE w:val="0"/>
              <w:autoSpaceDN w:val="0"/>
              <w:jc w:val="center"/>
              <w:rPr>
                <w:rFonts w:ascii="Verdana" w:hAnsi="Verdana" w:cs="Arial"/>
                <w:spacing w:val="-4"/>
              </w:rPr>
            </w:pPr>
            <w:r w:rsidRPr="001561BD">
              <w:rPr>
                <w:rFonts w:ascii="Verdana" w:hAnsi="Verdana" w:cs="Arial"/>
                <w:i/>
                <w:spacing w:val="-4"/>
              </w:rPr>
              <w:t>V</w:t>
            </w:r>
            <w:r w:rsidRPr="006D2270">
              <w:rPr>
                <w:rFonts w:ascii="Verdana" w:hAnsi="Verdana" w:cs="Arial"/>
                <w:spacing w:val="-4"/>
                <w:vertAlign w:val="subscript"/>
              </w:rPr>
              <w:t>3,5</w:t>
            </w:r>
          </w:p>
        </w:tc>
      </w:tr>
      <w:tr w:rsidR="00683496" w:rsidRPr="006D2270" w:rsidTr="00683496">
        <w:trPr>
          <w:trHeight w:val="340"/>
        </w:trPr>
        <w:tc>
          <w:tcPr>
            <w:tcW w:w="6804" w:type="dxa"/>
            <w:tcBorders>
              <w:top w:val="single" w:sz="5" w:space="0" w:color="auto"/>
              <w:left w:val="single" w:sz="5" w:space="0" w:color="auto"/>
              <w:bottom w:val="single" w:sz="4" w:space="0" w:color="auto"/>
              <w:right w:val="single" w:sz="5" w:space="0" w:color="auto"/>
            </w:tcBorders>
            <w:vAlign w:val="center"/>
          </w:tcPr>
          <w:p w:rsidR="00683496" w:rsidRPr="006D2270" w:rsidRDefault="00683496" w:rsidP="00683496">
            <w:pPr>
              <w:widowControl w:val="0"/>
              <w:autoSpaceDE w:val="0"/>
              <w:autoSpaceDN w:val="0"/>
              <w:spacing w:before="108"/>
              <w:ind w:left="83"/>
              <w:rPr>
                <w:rFonts w:ascii="Verdana" w:hAnsi="Verdana" w:cs="Arial"/>
                <w:spacing w:val="2"/>
              </w:rPr>
            </w:pPr>
            <w:r w:rsidRPr="006D2270">
              <w:rPr>
                <w:rFonts w:ascii="Verdana" w:hAnsi="Verdana" w:cs="Arial"/>
                <w:spacing w:val="2"/>
              </w:rPr>
              <w:t xml:space="preserve">Odporność na ścieranie ( dotyczy frakcji 10/14) według </w:t>
            </w:r>
            <w:r>
              <w:rPr>
                <w:rFonts w:ascii="Verdana" w:hAnsi="Verdana" w:cs="Arial"/>
                <w:spacing w:val="2"/>
              </w:rPr>
              <w:t xml:space="preserve">                               </w:t>
            </w:r>
            <w:r w:rsidRPr="006D2270">
              <w:rPr>
                <w:rFonts w:ascii="Verdana" w:hAnsi="Verdana" w:cs="Arial"/>
                <w:spacing w:val="2"/>
              </w:rPr>
              <w:t xml:space="preserve">PN-EN 1097-1 </w:t>
            </w:r>
          </w:p>
        </w:tc>
        <w:tc>
          <w:tcPr>
            <w:tcW w:w="2835" w:type="dxa"/>
            <w:tcBorders>
              <w:top w:val="single" w:sz="5" w:space="0" w:color="auto"/>
              <w:left w:val="single" w:sz="5" w:space="0" w:color="auto"/>
              <w:bottom w:val="single" w:sz="4" w:space="0" w:color="auto"/>
              <w:right w:val="single" w:sz="5" w:space="0" w:color="auto"/>
            </w:tcBorders>
            <w:vAlign w:val="center"/>
          </w:tcPr>
          <w:p w:rsidR="00683496" w:rsidRPr="006D2270" w:rsidRDefault="00683496" w:rsidP="00683496">
            <w:pPr>
              <w:jc w:val="center"/>
              <w:rPr>
                <w:rFonts w:ascii="Verdana" w:hAnsi="Verdana" w:cs="Arial"/>
                <w:spacing w:val="-4"/>
              </w:rPr>
            </w:pPr>
            <w:r w:rsidRPr="006D2270">
              <w:rPr>
                <w:rFonts w:ascii="Verdana" w:hAnsi="Verdana" w:cs="Arial"/>
                <w:i/>
              </w:rPr>
              <w:t>M</w:t>
            </w:r>
            <w:r w:rsidRPr="006D2270">
              <w:rPr>
                <w:rFonts w:ascii="Verdana" w:hAnsi="Verdana" w:cs="Arial"/>
                <w:vertAlign w:val="subscript"/>
              </w:rPr>
              <w:t>DE</w:t>
            </w:r>
            <w:r w:rsidRPr="006D2270">
              <w:rPr>
                <w:rFonts w:ascii="Verdana" w:hAnsi="Verdana" w:cs="Arial"/>
              </w:rPr>
              <w:t>NR</w:t>
            </w:r>
          </w:p>
        </w:tc>
      </w:tr>
      <w:tr w:rsidR="00683496" w:rsidRPr="006D2270" w:rsidTr="00683496">
        <w:trPr>
          <w:trHeight w:val="340"/>
        </w:trPr>
        <w:tc>
          <w:tcPr>
            <w:tcW w:w="9639" w:type="dxa"/>
            <w:gridSpan w:val="2"/>
            <w:tcBorders>
              <w:top w:val="single" w:sz="5" w:space="0" w:color="auto"/>
              <w:left w:val="single" w:sz="5" w:space="0" w:color="auto"/>
              <w:bottom w:val="single" w:sz="4" w:space="0" w:color="auto"/>
              <w:right w:val="single" w:sz="5" w:space="0" w:color="auto"/>
            </w:tcBorders>
            <w:vAlign w:val="center"/>
          </w:tcPr>
          <w:p w:rsidR="00683496" w:rsidRPr="00364354" w:rsidRDefault="00683496" w:rsidP="00683496">
            <w:pPr>
              <w:ind w:left="283" w:hanging="142"/>
              <w:jc w:val="both"/>
              <w:rPr>
                <w:rFonts w:ascii="Verdana" w:hAnsi="Verdana" w:cs="Arial"/>
                <w:spacing w:val="-4"/>
              </w:rPr>
            </w:pPr>
            <w:r>
              <w:rPr>
                <w:rFonts w:ascii="Verdana" w:hAnsi="Verdana" w:cs="Arial"/>
                <w:spacing w:val="-4"/>
                <w:vertAlign w:val="superscript"/>
              </w:rPr>
              <w:t>*)</w:t>
            </w:r>
            <w:r>
              <w:rPr>
                <w:rFonts w:ascii="Verdana" w:hAnsi="Verdana" w:cs="Arial"/>
                <w:spacing w:val="-4"/>
              </w:rPr>
              <w:t xml:space="preserve"> Kruszywa grube, które nie spełniają nie spełniają wymaganej kategorii wobec odporności na polerowanie (</w:t>
            </w:r>
            <w:r w:rsidRPr="001561BD">
              <w:rPr>
                <w:rFonts w:ascii="Verdana" w:hAnsi="Verdana" w:cs="Arial"/>
                <w:i/>
                <w:spacing w:val="-4"/>
              </w:rPr>
              <w:t>PSV</w:t>
            </w:r>
            <w:r>
              <w:rPr>
                <w:rFonts w:ascii="Verdana" w:hAnsi="Verdana" w:cs="Arial"/>
                <w:spacing w:val="-4"/>
              </w:rPr>
              <w:t>), mogą być stosowane, jeśli są używane w mieszance kruszyw grubych, która obliczeniowo osiąga podaną wartość wymaganej kategorii. Obliczona wartość (</w:t>
            </w:r>
            <w:r w:rsidRPr="00364354">
              <w:rPr>
                <w:rFonts w:ascii="Verdana" w:hAnsi="Verdana" w:cs="Arial"/>
                <w:i/>
                <w:spacing w:val="-4"/>
              </w:rPr>
              <w:t>PSV</w:t>
            </w:r>
            <w:r>
              <w:rPr>
                <w:rFonts w:ascii="Verdana" w:hAnsi="Verdana" w:cs="Arial"/>
                <w:spacing w:val="-4"/>
              </w:rPr>
              <w:t xml:space="preserve">) mieszanki </w:t>
            </w:r>
            <w:r>
              <w:rPr>
                <w:rFonts w:ascii="Verdana" w:hAnsi="Verdana" w:cs="Arial"/>
                <w:spacing w:val="-4"/>
              </w:rPr>
              <w:lastRenderedPageBreak/>
              <w:t xml:space="preserve">kruszywa grubego jest średnią ważoną wynikającą z wagowego udziału każdego z rodzaju kruszyw grubych przewidzianych do zastosowania w mieszance mineralno-asfaltowej oraz kategorii odporności na polerowanie każdego z tych kruszyw. Można mieszać tylko kruszywa grube kategorii </w:t>
            </w:r>
            <w:r w:rsidRPr="00364354">
              <w:rPr>
                <w:rFonts w:ascii="Verdana" w:hAnsi="Verdana" w:cs="Arial"/>
                <w:i/>
                <w:spacing w:val="-4"/>
              </w:rPr>
              <w:t>PSV</w:t>
            </w:r>
            <w:r>
              <w:rPr>
                <w:rFonts w:ascii="Verdana" w:hAnsi="Verdana" w:cs="Arial"/>
                <w:spacing w:val="-4"/>
                <w:vertAlign w:val="subscript"/>
              </w:rPr>
              <w:t>44</w:t>
            </w:r>
            <w:r>
              <w:rPr>
                <w:rFonts w:ascii="Verdana" w:hAnsi="Verdana" w:cs="Arial"/>
                <w:spacing w:val="-4"/>
              </w:rPr>
              <w:t xml:space="preserve"> i wyżej.</w:t>
            </w:r>
          </w:p>
        </w:tc>
      </w:tr>
    </w:tbl>
    <w:p w:rsidR="00683496" w:rsidRPr="006D2270" w:rsidRDefault="00683496" w:rsidP="00683496">
      <w:pPr>
        <w:rPr>
          <w:rFonts w:ascii="Verdana" w:hAnsi="Verdana" w:cs="Arial"/>
        </w:rPr>
      </w:pPr>
    </w:p>
    <w:p w:rsidR="00683496" w:rsidRPr="006D2270" w:rsidRDefault="00683496" w:rsidP="00683496">
      <w:pPr>
        <w:widowControl w:val="0"/>
        <w:autoSpaceDE w:val="0"/>
        <w:autoSpaceDN w:val="0"/>
        <w:spacing w:before="36" w:after="36"/>
        <w:ind w:left="993" w:hanging="993"/>
        <w:rPr>
          <w:rFonts w:ascii="Verdana" w:hAnsi="Verdana" w:cs="Arial"/>
          <w:bCs/>
        </w:rPr>
      </w:pPr>
      <w:r w:rsidRPr="006D2270">
        <w:rPr>
          <w:rFonts w:ascii="Verdana" w:hAnsi="Verdana" w:cs="Arial"/>
        </w:rPr>
        <w:t>Tab</w:t>
      </w:r>
      <w:r>
        <w:rPr>
          <w:rFonts w:ascii="Verdana" w:hAnsi="Verdana" w:cs="Arial"/>
        </w:rPr>
        <w:t>ela</w:t>
      </w:r>
      <w:r w:rsidRPr="006D2270">
        <w:rPr>
          <w:rFonts w:ascii="Verdana" w:hAnsi="Verdana" w:cs="Arial"/>
        </w:rPr>
        <w:t xml:space="preserve"> </w:t>
      </w:r>
      <w:r>
        <w:rPr>
          <w:rFonts w:ascii="Verdana" w:hAnsi="Verdana" w:cs="Arial"/>
        </w:rPr>
        <w:t>5</w:t>
      </w:r>
      <w:r w:rsidRPr="006D2270">
        <w:rPr>
          <w:rFonts w:ascii="Verdana" w:hAnsi="Verdana" w:cs="Arial"/>
        </w:rPr>
        <w:t xml:space="preserve">. </w:t>
      </w:r>
      <w:r w:rsidRPr="006D2270">
        <w:rPr>
          <w:rFonts w:ascii="Verdana" w:hAnsi="Verdana" w:cs="Arial"/>
          <w:bCs/>
        </w:rPr>
        <w:t xml:space="preserve">Wymagane właściwości kruszywa łamanego drobnego lub o ciągłym uziarnieniu </w:t>
      </w:r>
      <w:r w:rsidRPr="006D2270">
        <w:rPr>
          <w:rFonts w:ascii="Verdana" w:hAnsi="Verdana" w:cs="Arial"/>
          <w:bCs/>
        </w:rPr>
        <w:br/>
        <w:t xml:space="preserve">do D </w:t>
      </w:r>
      <w:r w:rsidRPr="006D2270">
        <w:rPr>
          <w:rFonts w:ascii="Verdana" w:hAnsi="Verdana" w:cs="Arial"/>
        </w:rPr>
        <w:t xml:space="preserve">≤ </w:t>
      </w:r>
      <w:r w:rsidRPr="006D2270">
        <w:rPr>
          <w:rFonts w:ascii="Verdana" w:hAnsi="Verdana" w:cs="Arial"/>
          <w:bCs/>
        </w:rPr>
        <w:t>8 mm do warstwy ścieralnej z betonu asfaltowego</w:t>
      </w:r>
    </w:p>
    <w:tbl>
      <w:tblPr>
        <w:tblW w:w="9639" w:type="dxa"/>
        <w:tblInd w:w="6" w:type="dxa"/>
        <w:tblLayout w:type="fixed"/>
        <w:tblCellMar>
          <w:left w:w="0" w:type="dxa"/>
          <w:right w:w="0" w:type="dxa"/>
        </w:tblCellMar>
        <w:tblLook w:val="0000" w:firstRow="0" w:lastRow="0" w:firstColumn="0" w:lastColumn="0" w:noHBand="0" w:noVBand="0"/>
      </w:tblPr>
      <w:tblGrid>
        <w:gridCol w:w="6804"/>
        <w:gridCol w:w="2835"/>
      </w:tblGrid>
      <w:tr w:rsidR="00683496" w:rsidRPr="006D2270" w:rsidTr="00683496">
        <w:trPr>
          <w:cantSplit/>
          <w:trHeight w:hRule="exact" w:val="514"/>
        </w:trPr>
        <w:tc>
          <w:tcPr>
            <w:tcW w:w="6804" w:type="dxa"/>
            <w:vMerge w:val="restart"/>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6D2270">
              <w:rPr>
                <w:rFonts w:ascii="Verdana" w:hAnsi="Verdana" w:cs="Arial"/>
              </w:rPr>
              <w:t>Właściwości kruszywa</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6D2270">
              <w:rPr>
                <w:rFonts w:ascii="Verdana" w:hAnsi="Verdana" w:cs="Arial"/>
              </w:rPr>
              <w:t>Wymagania w zależności                od kategorii ruchu</w:t>
            </w:r>
          </w:p>
        </w:tc>
      </w:tr>
      <w:tr w:rsidR="00683496" w:rsidRPr="006D2270" w:rsidTr="00683496">
        <w:trPr>
          <w:cantSplit/>
          <w:trHeight w:hRule="exact" w:val="294"/>
        </w:trPr>
        <w:tc>
          <w:tcPr>
            <w:tcW w:w="6804" w:type="dxa"/>
            <w:vMerge/>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jc w:val="center"/>
              <w:rPr>
                <w:rFonts w:ascii="Verdana" w:hAnsi="Verdana" w:cs="Arial"/>
              </w:rPr>
            </w:pP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tabs>
                <w:tab w:val="left" w:pos="285"/>
              </w:tabs>
              <w:autoSpaceDE w:val="0"/>
              <w:autoSpaceDN w:val="0"/>
              <w:jc w:val="center"/>
              <w:rPr>
                <w:rFonts w:ascii="Verdana" w:hAnsi="Verdana" w:cs="Arial"/>
              </w:rPr>
            </w:pPr>
            <w:r w:rsidRPr="006D2270">
              <w:rPr>
                <w:rFonts w:ascii="Verdana" w:hAnsi="Verdana" w:cs="Arial"/>
              </w:rPr>
              <w:t>KR 3</w:t>
            </w:r>
            <w:r>
              <w:rPr>
                <w:rFonts w:ascii="Verdana" w:hAnsi="Verdana" w:cs="Arial"/>
              </w:rPr>
              <w:t>÷</w:t>
            </w:r>
            <w:r w:rsidRPr="006D2270">
              <w:rPr>
                <w:rFonts w:ascii="Verdana" w:hAnsi="Verdana" w:cs="Arial"/>
              </w:rPr>
              <w:t>4</w:t>
            </w:r>
          </w:p>
        </w:tc>
      </w:tr>
      <w:tr w:rsidR="00683496" w:rsidRPr="006D2270" w:rsidTr="00683496">
        <w:trPr>
          <w:trHeight w:val="340"/>
        </w:trPr>
        <w:tc>
          <w:tcPr>
            <w:tcW w:w="6804" w:type="dxa"/>
            <w:tcBorders>
              <w:top w:val="single" w:sz="4"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99"/>
              <w:rPr>
                <w:rFonts w:ascii="Verdana" w:hAnsi="Verdana" w:cs="Arial"/>
              </w:rPr>
            </w:pPr>
            <w:r w:rsidRPr="006D2270">
              <w:rPr>
                <w:rFonts w:ascii="Verdana" w:hAnsi="Verdana" w:cs="Arial"/>
              </w:rPr>
              <w:t>Uziarnienie według PN-EN 933-1, wymagana kategoria:</w:t>
            </w:r>
          </w:p>
        </w:tc>
        <w:tc>
          <w:tcPr>
            <w:tcW w:w="2835" w:type="dxa"/>
            <w:tcBorders>
              <w:top w:val="single" w:sz="4"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rPr>
            </w:pPr>
            <w:r w:rsidRPr="00364354">
              <w:rPr>
                <w:rFonts w:ascii="Verdana" w:hAnsi="Verdana" w:cs="Arial"/>
                <w:i/>
              </w:rPr>
              <w:t>G</w:t>
            </w:r>
            <w:r w:rsidRPr="006D2270">
              <w:rPr>
                <w:rFonts w:ascii="Verdana" w:hAnsi="Verdana" w:cs="Arial"/>
                <w:vertAlign w:val="subscript"/>
              </w:rPr>
              <w:t>A</w:t>
            </w:r>
            <w:r w:rsidRPr="006D2270">
              <w:rPr>
                <w:rFonts w:ascii="Verdana" w:hAnsi="Verdana" w:cs="Arial"/>
              </w:rPr>
              <w:t xml:space="preserve">85 lub </w:t>
            </w:r>
            <w:r w:rsidRPr="00364354">
              <w:rPr>
                <w:rFonts w:ascii="Verdana" w:hAnsi="Verdana" w:cs="Arial"/>
                <w:i/>
              </w:rPr>
              <w:t>G</w:t>
            </w:r>
            <w:r w:rsidRPr="006D2270">
              <w:rPr>
                <w:rFonts w:ascii="Verdana" w:hAnsi="Verdana" w:cs="Arial"/>
                <w:vertAlign w:val="subscript"/>
              </w:rPr>
              <w:t>F</w:t>
            </w:r>
            <w:r w:rsidRPr="006D2270">
              <w:rPr>
                <w:rFonts w:ascii="Verdana" w:hAnsi="Verdana" w:cs="Arial"/>
              </w:rPr>
              <w:t>85</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99"/>
              <w:rPr>
                <w:rFonts w:ascii="Verdana" w:hAnsi="Verdana" w:cs="Arial"/>
              </w:rPr>
            </w:pPr>
            <w:r w:rsidRPr="006D2270">
              <w:rPr>
                <w:rFonts w:ascii="Verdana" w:hAnsi="Verdana" w:cs="Arial"/>
              </w:rPr>
              <w:t>Tolerancja uziarnienia; odchylenie nie większe niż według kategorii:</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rPr>
            </w:pPr>
            <w:r w:rsidRPr="00364354">
              <w:rPr>
                <w:rFonts w:ascii="Verdana" w:hAnsi="Verdana" w:cs="Arial"/>
                <w:i/>
              </w:rPr>
              <w:t>G</w:t>
            </w:r>
            <w:r w:rsidRPr="006D2270">
              <w:rPr>
                <w:rFonts w:ascii="Verdana" w:hAnsi="Verdana" w:cs="Arial"/>
                <w:vertAlign w:val="subscript"/>
              </w:rPr>
              <w:t>TC</w:t>
            </w:r>
            <w:r w:rsidRPr="006D2270">
              <w:rPr>
                <w:rFonts w:ascii="Verdana" w:hAnsi="Verdana" w:cs="Arial"/>
              </w:rPr>
              <w:t>20</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99"/>
              <w:rPr>
                <w:rFonts w:ascii="Verdana" w:hAnsi="Verdana" w:cs="Arial"/>
              </w:rPr>
            </w:pPr>
            <w:r w:rsidRPr="006D2270">
              <w:rPr>
                <w:rFonts w:ascii="Verdana" w:hAnsi="Verdana" w:cs="Arial"/>
              </w:rPr>
              <w:t>Zawartość pyłów według PN-EN 933-1, 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rPr>
            </w:pPr>
            <w:r w:rsidRPr="00364354">
              <w:rPr>
                <w:rFonts w:ascii="Verdana" w:hAnsi="Verdana" w:cs="Arial"/>
                <w:i/>
              </w:rPr>
              <w:t>f</w:t>
            </w:r>
            <w:r w:rsidRPr="006D2270">
              <w:rPr>
                <w:rFonts w:ascii="Verdana" w:hAnsi="Verdana" w:cs="Arial"/>
                <w:vertAlign w:val="subscript"/>
              </w:rPr>
              <w:t>16</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99"/>
              <w:rPr>
                <w:rFonts w:ascii="Verdana" w:hAnsi="Verdana" w:cs="Arial"/>
              </w:rPr>
            </w:pPr>
            <w:r w:rsidRPr="006D2270">
              <w:rPr>
                <w:rFonts w:ascii="Verdana" w:hAnsi="Verdana" w:cs="Arial"/>
              </w:rPr>
              <w:t>Jakość pyłów według PN-BN 933-9; 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rPr>
            </w:pPr>
            <w:r w:rsidRPr="00364354">
              <w:rPr>
                <w:rFonts w:ascii="Verdana" w:hAnsi="Verdana" w:cs="Arial"/>
                <w:i/>
              </w:rPr>
              <w:t>MB</w:t>
            </w:r>
            <w:r w:rsidRPr="006D2270">
              <w:rPr>
                <w:rFonts w:ascii="Verdana" w:hAnsi="Verdana" w:cs="Arial"/>
                <w:vertAlign w:val="subscript"/>
              </w:rPr>
              <w:t>F</w:t>
            </w:r>
            <w:r w:rsidRPr="006D2270">
              <w:rPr>
                <w:rFonts w:ascii="Verdana" w:hAnsi="Verdana" w:cs="Arial"/>
              </w:rPr>
              <w:t>10</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spacing w:before="72"/>
              <w:ind w:left="99"/>
              <w:rPr>
                <w:rFonts w:ascii="Verdana" w:hAnsi="Verdana" w:cs="Arial"/>
              </w:rPr>
            </w:pPr>
            <w:r w:rsidRPr="006D2270">
              <w:rPr>
                <w:rFonts w:ascii="Verdana" w:hAnsi="Verdana" w:cs="Arial"/>
              </w:rPr>
              <w:t>Kanciastość kruszywa drobnego lub kruszywa 0/2 wydzielonego z kruszywa o ciągłym uziarnieniu według PN-EN 933-6, rozdz. 8, kategoria nie niższa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rPr>
            </w:pPr>
            <w:r w:rsidRPr="00364354">
              <w:rPr>
                <w:rFonts w:ascii="Verdana" w:hAnsi="Verdana" w:cs="Arial"/>
                <w:i/>
              </w:rPr>
              <w:t>E</w:t>
            </w:r>
            <w:r w:rsidRPr="006D2270">
              <w:rPr>
                <w:rFonts w:ascii="Verdana" w:hAnsi="Verdana" w:cs="Arial"/>
                <w:vertAlign w:val="subscript"/>
              </w:rPr>
              <w:t>CS</w:t>
            </w:r>
            <w:r w:rsidRPr="006D2270">
              <w:rPr>
                <w:rFonts w:ascii="Verdana" w:hAnsi="Verdana" w:cs="Arial"/>
              </w:rPr>
              <w:t>30</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99"/>
              <w:rPr>
                <w:rFonts w:ascii="Verdana" w:hAnsi="Verdana" w:cs="Arial"/>
              </w:rPr>
            </w:pPr>
            <w:r w:rsidRPr="006D2270">
              <w:rPr>
                <w:rFonts w:ascii="Verdana" w:hAnsi="Verdana" w:cs="Arial"/>
              </w:rPr>
              <w:t>Gęstość ziaren według PN-EN 1097-6, rozdział 7, 8 lub 9</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rPr>
            </w:pPr>
            <w:r w:rsidRPr="006D2270">
              <w:rPr>
                <w:rFonts w:ascii="Verdana" w:hAnsi="Verdana" w:cs="Arial"/>
              </w:rPr>
              <w:t>deklarowana przez producenta</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ind w:left="99"/>
              <w:rPr>
                <w:rFonts w:ascii="Verdana" w:hAnsi="Verdana" w:cs="Arial"/>
              </w:rPr>
            </w:pPr>
            <w:r w:rsidRPr="006D2270">
              <w:rPr>
                <w:rFonts w:ascii="Verdana" w:hAnsi="Verdana" w:cs="Arial"/>
              </w:rPr>
              <w:t>Nasiąkliwość według PN-EN 1097-6, rozdz. 7, 8 lub 9</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spacing w:val="2"/>
              </w:rPr>
            </w:pPr>
            <w:r w:rsidRPr="006D2270">
              <w:rPr>
                <w:rFonts w:ascii="Verdana" w:hAnsi="Verdana" w:cs="Arial"/>
              </w:rPr>
              <w:t>deklarowana przez producenta</w:t>
            </w:r>
          </w:p>
        </w:tc>
      </w:tr>
      <w:tr w:rsidR="00683496" w:rsidRPr="006D2270" w:rsidTr="00683496">
        <w:trPr>
          <w:trHeight w:val="340"/>
        </w:trPr>
        <w:tc>
          <w:tcPr>
            <w:tcW w:w="6804"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autoSpaceDE w:val="0"/>
              <w:autoSpaceDN w:val="0"/>
              <w:spacing w:before="72"/>
              <w:ind w:left="99"/>
              <w:rPr>
                <w:rFonts w:ascii="Verdana" w:hAnsi="Verdana" w:cs="Arial"/>
              </w:rPr>
            </w:pPr>
            <w:r w:rsidRPr="006D2270">
              <w:rPr>
                <w:rFonts w:ascii="Verdana" w:hAnsi="Verdana" w:cs="Arial"/>
              </w:rPr>
              <w:t>Grube zanieczyszczenia lekkie, według PN-EN 1744-1 p. 14.2, kategoria nie wyższa niż:</w:t>
            </w:r>
          </w:p>
        </w:tc>
        <w:tc>
          <w:tcPr>
            <w:tcW w:w="2835" w:type="dxa"/>
            <w:tcBorders>
              <w:top w:val="single" w:sz="5" w:space="0" w:color="auto"/>
              <w:left w:val="single" w:sz="5" w:space="0" w:color="auto"/>
              <w:bottom w:val="single" w:sz="5" w:space="0" w:color="auto"/>
              <w:right w:val="single" w:sz="5" w:space="0" w:color="auto"/>
            </w:tcBorders>
            <w:vAlign w:val="center"/>
          </w:tcPr>
          <w:p w:rsidR="00683496" w:rsidRPr="006D2270" w:rsidRDefault="00683496" w:rsidP="00683496">
            <w:pPr>
              <w:widowControl w:val="0"/>
              <w:tabs>
                <w:tab w:val="left" w:pos="2835"/>
              </w:tabs>
              <w:autoSpaceDE w:val="0"/>
              <w:autoSpaceDN w:val="0"/>
              <w:jc w:val="center"/>
              <w:rPr>
                <w:rFonts w:ascii="Verdana" w:hAnsi="Verdana" w:cs="Arial"/>
              </w:rPr>
            </w:pPr>
            <w:r w:rsidRPr="00D8614F">
              <w:rPr>
                <w:rFonts w:ascii="Verdana" w:hAnsi="Verdana" w:cs="Arial"/>
                <w:i/>
              </w:rPr>
              <w:t>m</w:t>
            </w:r>
            <w:r w:rsidRPr="006D2270">
              <w:rPr>
                <w:rFonts w:ascii="Verdana" w:hAnsi="Verdana" w:cs="Arial"/>
                <w:vertAlign w:val="subscript"/>
              </w:rPr>
              <w:t>LPC</w:t>
            </w:r>
            <w:r w:rsidRPr="006D2270">
              <w:rPr>
                <w:rFonts w:ascii="Verdana" w:hAnsi="Verdana" w:cs="Arial"/>
              </w:rPr>
              <w:t>0,1</w:t>
            </w:r>
          </w:p>
        </w:tc>
      </w:tr>
    </w:tbl>
    <w:p w:rsidR="00683496" w:rsidRDefault="00683496" w:rsidP="00683496">
      <w:pPr>
        <w:jc w:val="both"/>
        <w:rPr>
          <w:rFonts w:ascii="Verdana" w:hAnsi="Verdana"/>
          <w:b/>
          <w:spacing w:val="-3"/>
          <w:u w:val="single"/>
        </w:rPr>
      </w:pPr>
    </w:p>
    <w:p w:rsidR="00683496" w:rsidRPr="006706D2" w:rsidRDefault="00683496" w:rsidP="00683496">
      <w:pPr>
        <w:jc w:val="both"/>
        <w:rPr>
          <w:rFonts w:ascii="Verdana" w:hAnsi="Verdana"/>
        </w:rPr>
      </w:pPr>
      <w:r w:rsidRPr="006706D2">
        <w:rPr>
          <w:rFonts w:ascii="Verdana" w:hAnsi="Verdana"/>
          <w:spacing w:val="-3"/>
          <w:u w:val="single"/>
        </w:rPr>
        <w:t>Uwaga</w:t>
      </w:r>
      <w:r>
        <w:rPr>
          <w:rFonts w:ascii="Verdana" w:hAnsi="Verdana"/>
          <w:spacing w:val="-3"/>
          <w:u w:val="single"/>
        </w:rPr>
        <w:t>!</w:t>
      </w:r>
      <w:r w:rsidRPr="006706D2">
        <w:rPr>
          <w:rFonts w:ascii="Verdana" w:hAnsi="Verdana"/>
          <w:spacing w:val="-3"/>
        </w:rPr>
        <w:t xml:space="preserve"> Do produkcji warstwy ścieralnej z mieszanki AC nie dopuszcza się użycia kruszywa drobnego lub o ciągłym uziarnieniu do </w:t>
      </w:r>
      <w:r w:rsidRPr="006706D2">
        <w:rPr>
          <w:rFonts w:ascii="Verdana" w:hAnsi="Verdana" w:cs="Arial"/>
          <w:bCs/>
        </w:rPr>
        <w:t xml:space="preserve">D </w:t>
      </w:r>
      <w:r w:rsidRPr="006706D2">
        <w:rPr>
          <w:rFonts w:ascii="Verdana" w:hAnsi="Verdana" w:cs="Arial"/>
        </w:rPr>
        <w:t xml:space="preserve">≤ </w:t>
      </w:r>
      <w:r w:rsidRPr="006706D2">
        <w:rPr>
          <w:rFonts w:ascii="Verdana" w:hAnsi="Verdana" w:cs="Arial"/>
          <w:bCs/>
        </w:rPr>
        <w:t>8 mm</w:t>
      </w:r>
      <w:r>
        <w:rPr>
          <w:rFonts w:ascii="Verdana" w:hAnsi="Verdana"/>
          <w:spacing w:val="-3"/>
        </w:rPr>
        <w:t xml:space="preserve"> pochodzącego </w:t>
      </w:r>
      <w:r w:rsidRPr="006706D2">
        <w:rPr>
          <w:rFonts w:ascii="Verdana" w:hAnsi="Verdana"/>
          <w:spacing w:val="-3"/>
        </w:rPr>
        <w:t xml:space="preserve">z osadowych skał węglanowych. </w:t>
      </w:r>
    </w:p>
    <w:p w:rsidR="00683496" w:rsidRPr="006D2270" w:rsidRDefault="00683496" w:rsidP="00683496">
      <w:pPr>
        <w:rPr>
          <w:rFonts w:ascii="Verdana" w:hAnsi="Verdana" w:cs="Arial"/>
        </w:rPr>
      </w:pPr>
    </w:p>
    <w:p w:rsidR="00683496" w:rsidRPr="0044542F" w:rsidRDefault="00683496" w:rsidP="00683496">
      <w:pPr>
        <w:ind w:left="993" w:hanging="993"/>
        <w:rPr>
          <w:rFonts w:ascii="Verdana" w:hAnsi="Verdana" w:cs="Arial"/>
          <w:bCs/>
        </w:rPr>
      </w:pPr>
      <w:r w:rsidRPr="0044542F">
        <w:rPr>
          <w:rFonts w:ascii="Verdana" w:hAnsi="Verdana" w:cs="Arial"/>
        </w:rPr>
        <w:t xml:space="preserve">Tabela 6. </w:t>
      </w:r>
      <w:r w:rsidRPr="0044542F">
        <w:rPr>
          <w:rFonts w:ascii="Verdana" w:hAnsi="Verdana" w:cs="Arial"/>
          <w:bCs/>
        </w:rPr>
        <w:t xml:space="preserve">Wymagane właściwości wypełniacza do warstwy ścieralnej z betonu asfaltowego </w:t>
      </w:r>
    </w:p>
    <w:tbl>
      <w:tblPr>
        <w:tblW w:w="9639" w:type="dxa"/>
        <w:tblInd w:w="5" w:type="dxa"/>
        <w:tblLayout w:type="fixed"/>
        <w:tblCellMar>
          <w:left w:w="0" w:type="dxa"/>
          <w:right w:w="0" w:type="dxa"/>
        </w:tblCellMar>
        <w:tblLook w:val="0000" w:firstRow="0" w:lastRow="0" w:firstColumn="0" w:lastColumn="0" w:noHBand="0" w:noVBand="0"/>
      </w:tblPr>
      <w:tblGrid>
        <w:gridCol w:w="6804"/>
        <w:gridCol w:w="2835"/>
      </w:tblGrid>
      <w:tr w:rsidR="00683496" w:rsidRPr="006D2270" w:rsidTr="00683496">
        <w:trPr>
          <w:cantSplit/>
          <w:trHeight w:hRule="exact" w:val="588"/>
        </w:trPr>
        <w:tc>
          <w:tcPr>
            <w:tcW w:w="6804" w:type="dxa"/>
            <w:vMerge w:val="restart"/>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6D2270">
              <w:rPr>
                <w:rFonts w:ascii="Verdana" w:hAnsi="Verdana" w:cs="Arial"/>
              </w:rPr>
              <w:t>Właściwości wypełniacza</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spacing w:before="72"/>
              <w:jc w:val="center"/>
              <w:rPr>
                <w:rFonts w:ascii="Verdana" w:hAnsi="Verdana" w:cs="Arial"/>
              </w:rPr>
            </w:pPr>
            <w:r w:rsidRPr="006D2270">
              <w:rPr>
                <w:rFonts w:ascii="Verdana" w:hAnsi="Verdana" w:cs="Arial"/>
              </w:rPr>
              <w:t>Wymagania w zależności                    od kategorii ruchu</w:t>
            </w:r>
          </w:p>
        </w:tc>
      </w:tr>
      <w:tr w:rsidR="00683496" w:rsidRPr="006D2270" w:rsidTr="00683496">
        <w:trPr>
          <w:cantSplit/>
          <w:trHeight w:hRule="exact" w:val="283"/>
        </w:trPr>
        <w:tc>
          <w:tcPr>
            <w:tcW w:w="6804" w:type="dxa"/>
            <w:vMerge/>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jc w:val="center"/>
              <w:rPr>
                <w:rFonts w:ascii="Verdana" w:hAnsi="Verdana" w:cs="Arial"/>
              </w:rPr>
            </w:pP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6D2270">
              <w:rPr>
                <w:rFonts w:ascii="Verdana" w:hAnsi="Verdana" w:cs="Arial"/>
              </w:rPr>
              <w:t>KR 3</w:t>
            </w:r>
            <w:r>
              <w:rPr>
                <w:rFonts w:ascii="Verdana" w:hAnsi="Verdana" w:cs="Arial"/>
              </w:rPr>
              <w:t>÷</w:t>
            </w:r>
            <w:r w:rsidRPr="006D2270">
              <w:rPr>
                <w:rFonts w:ascii="Verdana" w:hAnsi="Verdana" w:cs="Arial"/>
              </w:rPr>
              <w:t>4</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ind w:left="142"/>
              <w:rPr>
                <w:rFonts w:ascii="Verdana" w:hAnsi="Verdana" w:cs="Arial"/>
              </w:rPr>
            </w:pPr>
            <w:r w:rsidRPr="006D2270">
              <w:rPr>
                <w:rFonts w:ascii="Verdana" w:hAnsi="Verdana" w:cs="Arial"/>
              </w:rPr>
              <w:t>Uziarnienie według PN-EN 933-10:</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6D2270">
              <w:rPr>
                <w:rFonts w:ascii="Verdana" w:hAnsi="Verdana" w:cs="Arial"/>
              </w:rPr>
              <w:t xml:space="preserve">zgodne z tablicą 24 </w:t>
            </w:r>
            <w:r>
              <w:rPr>
                <w:rFonts w:ascii="Verdana" w:hAnsi="Verdana" w:cs="Arial"/>
              </w:rPr>
              <w:t xml:space="preserve">                         </w:t>
            </w:r>
            <w:r w:rsidRPr="006D2270">
              <w:rPr>
                <w:rFonts w:ascii="Verdana" w:hAnsi="Verdana" w:cs="Arial"/>
              </w:rPr>
              <w:t>w PN-EN 13043</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ind w:left="142"/>
              <w:rPr>
                <w:rFonts w:ascii="Verdana" w:hAnsi="Verdana" w:cs="Arial"/>
              </w:rPr>
            </w:pPr>
            <w:r w:rsidRPr="006D2270">
              <w:rPr>
                <w:rFonts w:ascii="Verdana" w:hAnsi="Verdana" w:cs="Arial"/>
              </w:rPr>
              <w:t>Jakość pyłów według PN-EN 933-9, kategoria nie wyższa niż:</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44542F">
              <w:rPr>
                <w:rFonts w:ascii="Verdana" w:hAnsi="Verdana" w:cs="Arial"/>
                <w:i/>
              </w:rPr>
              <w:t>MB</w:t>
            </w:r>
            <w:r w:rsidRPr="006D2270">
              <w:rPr>
                <w:rFonts w:ascii="Verdana" w:hAnsi="Verdana" w:cs="Arial"/>
                <w:vertAlign w:val="subscript"/>
              </w:rPr>
              <w:t>F</w:t>
            </w:r>
            <w:r w:rsidRPr="006D2270">
              <w:rPr>
                <w:rFonts w:ascii="Verdana" w:hAnsi="Verdana" w:cs="Arial"/>
              </w:rPr>
              <w:t>10</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ind w:left="142"/>
              <w:rPr>
                <w:rFonts w:ascii="Verdana" w:hAnsi="Verdana" w:cs="Arial"/>
              </w:rPr>
            </w:pPr>
            <w:r w:rsidRPr="006D2270">
              <w:rPr>
                <w:rFonts w:ascii="Verdana" w:hAnsi="Verdana" w:cs="Arial"/>
              </w:rPr>
              <w:t>Zawartość wody według PN-EN 1097-5, nie wyższa niż:</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6D2270">
              <w:rPr>
                <w:rFonts w:ascii="Verdana" w:hAnsi="Verdana" w:cs="Arial"/>
              </w:rPr>
              <w:t>1 %</w:t>
            </w:r>
            <w:r>
              <w:rPr>
                <w:rFonts w:ascii="Verdana" w:hAnsi="Verdana" w:cs="Arial"/>
              </w:rPr>
              <w:t xml:space="preserve"> </w:t>
            </w:r>
            <w:r w:rsidRPr="006D2270">
              <w:rPr>
                <w:rFonts w:ascii="Verdana" w:hAnsi="Verdana" w:cs="Arial"/>
              </w:rPr>
              <w:t>(m/m)</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ind w:left="142"/>
              <w:rPr>
                <w:rFonts w:ascii="Verdana" w:hAnsi="Verdana" w:cs="Arial"/>
              </w:rPr>
            </w:pPr>
            <w:r w:rsidRPr="006D2270">
              <w:rPr>
                <w:rFonts w:ascii="Verdana" w:hAnsi="Verdana" w:cs="Arial"/>
              </w:rPr>
              <w:t>Gęstość ziaren według PN-EN 1097-7</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6D2270">
              <w:rPr>
                <w:rFonts w:ascii="Verdana" w:hAnsi="Verdana" w:cs="Arial"/>
              </w:rPr>
              <w:t>deklarowana przez producenta</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spacing w:before="36" w:line="316" w:lineRule="auto"/>
              <w:ind w:left="142"/>
              <w:rPr>
                <w:rFonts w:ascii="Verdana" w:hAnsi="Verdana" w:cs="Arial"/>
              </w:rPr>
            </w:pPr>
            <w:r w:rsidRPr="006D2270">
              <w:rPr>
                <w:rFonts w:ascii="Verdana" w:hAnsi="Verdana" w:cs="Arial"/>
              </w:rPr>
              <w:t>Wolne przestrzenie w suchym zagęszczonym wypełniaczu według PN-EN 1097-4, wymagana kategoria:</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i/>
                <w:iCs/>
                <w:spacing w:val="6"/>
              </w:rPr>
            </w:pPr>
            <w:r w:rsidRPr="006D2270">
              <w:rPr>
                <w:rFonts w:ascii="Verdana" w:hAnsi="Verdana" w:cs="Arial"/>
                <w:i/>
                <w:iCs/>
                <w:spacing w:val="6"/>
              </w:rPr>
              <w:t>V</w:t>
            </w:r>
            <w:r w:rsidRPr="006D2270">
              <w:rPr>
                <w:rFonts w:ascii="Verdana" w:hAnsi="Verdana" w:cs="Arial"/>
                <w:iCs/>
                <w:spacing w:val="6"/>
                <w:vertAlign w:val="subscript"/>
              </w:rPr>
              <w:t>28/45</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spacing w:before="36"/>
              <w:ind w:left="142"/>
              <w:rPr>
                <w:rFonts w:ascii="Verdana" w:hAnsi="Verdana" w:cs="Arial"/>
              </w:rPr>
            </w:pPr>
            <w:r w:rsidRPr="006D2270">
              <w:rPr>
                <w:rFonts w:ascii="Verdana" w:hAnsi="Verdana" w:cs="Arial"/>
              </w:rPr>
              <w:t>Przyrost temperatury mięknienia według PN-EN 13179-1, wymagana kategoria:</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44542F">
              <w:rPr>
                <w:rFonts w:ascii="Verdana" w:hAnsi="Verdana" w:cs="Arial"/>
                <w:i/>
              </w:rPr>
              <w:t>∆</w:t>
            </w:r>
            <w:r w:rsidRPr="006D2270">
              <w:rPr>
                <w:rFonts w:ascii="Verdana" w:hAnsi="Verdana" w:cs="Arial"/>
                <w:vertAlign w:val="subscript"/>
              </w:rPr>
              <w:t>R&amp;B</w:t>
            </w:r>
            <w:r w:rsidRPr="006D2270">
              <w:rPr>
                <w:rFonts w:ascii="Verdana" w:hAnsi="Verdana" w:cs="Arial"/>
              </w:rPr>
              <w:t>8/25</w:t>
            </w:r>
          </w:p>
        </w:tc>
      </w:tr>
      <w:tr w:rsidR="00683496" w:rsidRPr="006D2270" w:rsidTr="00683496">
        <w:trPr>
          <w:trHeight w:val="441"/>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spacing w:before="36"/>
              <w:ind w:left="142"/>
              <w:rPr>
                <w:rFonts w:ascii="Verdana" w:hAnsi="Verdana" w:cs="Arial"/>
              </w:rPr>
            </w:pPr>
            <w:r w:rsidRPr="006D2270">
              <w:rPr>
                <w:rFonts w:ascii="Verdana" w:hAnsi="Verdana" w:cs="Arial"/>
              </w:rPr>
              <w:t>Rozpuszczalność w wodzie według PN-EN 1744-1, kategoria nie wyższa niż:</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rPr>
            </w:pPr>
            <w:r w:rsidRPr="0044542F">
              <w:rPr>
                <w:rFonts w:ascii="Verdana" w:hAnsi="Verdana" w:cs="Arial"/>
                <w:i/>
              </w:rPr>
              <w:t>WS</w:t>
            </w:r>
            <w:r w:rsidRPr="006D2270">
              <w:rPr>
                <w:rFonts w:ascii="Verdana" w:hAnsi="Verdana" w:cs="Arial"/>
                <w:vertAlign w:val="subscript"/>
              </w:rPr>
              <w:t>10</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spacing w:before="36"/>
              <w:ind w:left="142"/>
              <w:rPr>
                <w:rFonts w:ascii="Verdana" w:hAnsi="Verdana" w:cs="Arial"/>
              </w:rPr>
            </w:pPr>
            <w:r w:rsidRPr="006D2270">
              <w:rPr>
                <w:rFonts w:ascii="Verdana" w:hAnsi="Verdana" w:cs="Arial"/>
              </w:rPr>
              <w:t>Zawartość CaCO</w:t>
            </w:r>
            <w:r w:rsidRPr="006D2270">
              <w:rPr>
                <w:rFonts w:ascii="Verdana" w:hAnsi="Verdana" w:cs="Arial"/>
                <w:vertAlign w:val="subscript"/>
              </w:rPr>
              <w:t>3</w:t>
            </w:r>
            <w:r w:rsidRPr="006D2270">
              <w:rPr>
                <w:rFonts w:ascii="Verdana" w:hAnsi="Verdana" w:cs="Arial"/>
              </w:rPr>
              <w:t xml:space="preserve"> w wypełniaczu wapiennym według PN-EN 196-2, kategoria nie niższa niż:</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vertAlign w:val="subscript"/>
              </w:rPr>
            </w:pPr>
            <w:r w:rsidRPr="006D2270">
              <w:rPr>
                <w:rFonts w:ascii="Verdana" w:hAnsi="Verdana" w:cs="Arial"/>
                <w:i/>
              </w:rPr>
              <w:t>CC</w:t>
            </w:r>
            <w:r w:rsidRPr="006D2270">
              <w:rPr>
                <w:rFonts w:ascii="Verdana" w:hAnsi="Verdana" w:cs="Arial"/>
                <w:vertAlign w:val="subscript"/>
              </w:rPr>
              <w:t>70</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spacing w:before="36"/>
              <w:ind w:left="142"/>
              <w:rPr>
                <w:rFonts w:ascii="Verdana" w:hAnsi="Verdana" w:cs="Arial"/>
              </w:rPr>
            </w:pPr>
            <w:r w:rsidRPr="006D2270">
              <w:rPr>
                <w:rFonts w:ascii="Verdana" w:hAnsi="Verdana" w:cs="Arial"/>
              </w:rPr>
              <w:t>Zawartość wodorotlenku wapnia w wypełniaczu mieszanym, wymagana kategoria:</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44542F" w:rsidRDefault="00683496" w:rsidP="00683496">
            <w:pPr>
              <w:widowControl w:val="0"/>
              <w:autoSpaceDE w:val="0"/>
              <w:autoSpaceDN w:val="0"/>
              <w:jc w:val="center"/>
              <w:rPr>
                <w:rFonts w:ascii="Verdana" w:hAnsi="Verdana" w:cs="Arial"/>
                <w:spacing w:val="10"/>
                <w:vertAlign w:val="superscript"/>
              </w:rPr>
            </w:pPr>
            <w:proofErr w:type="spellStart"/>
            <w:r w:rsidRPr="00577CDD">
              <w:rPr>
                <w:rFonts w:ascii="Verdana" w:hAnsi="Verdana" w:cs="Arial"/>
                <w:i/>
                <w:spacing w:val="27"/>
              </w:rPr>
              <w:t>K</w:t>
            </w:r>
            <w:r w:rsidRPr="0044542F">
              <w:rPr>
                <w:rFonts w:ascii="Verdana" w:hAnsi="Verdana" w:cs="Arial"/>
                <w:spacing w:val="27"/>
              </w:rPr>
              <w:t>a</w:t>
            </w:r>
            <w:r w:rsidRPr="0044542F">
              <w:rPr>
                <w:rFonts w:ascii="Verdana" w:hAnsi="Verdana" w:cs="Arial"/>
                <w:spacing w:val="27"/>
                <w:vertAlign w:val="subscript"/>
              </w:rPr>
              <w:t>NR</w:t>
            </w:r>
            <w:proofErr w:type="spellEnd"/>
            <w:r>
              <w:rPr>
                <w:rFonts w:ascii="Verdana" w:hAnsi="Verdana" w:cs="Arial"/>
                <w:spacing w:val="27"/>
              </w:rPr>
              <w:t xml:space="preserve"> lub </w:t>
            </w:r>
            <w:r w:rsidRPr="00577CDD">
              <w:rPr>
                <w:rFonts w:ascii="Verdana" w:hAnsi="Verdana" w:cs="Arial"/>
                <w:i/>
                <w:spacing w:val="27"/>
              </w:rPr>
              <w:t>K</w:t>
            </w:r>
            <w:r w:rsidRPr="0044542F">
              <w:rPr>
                <w:rFonts w:ascii="Verdana" w:hAnsi="Verdana" w:cs="Arial"/>
                <w:spacing w:val="27"/>
              </w:rPr>
              <w:t>a</w:t>
            </w:r>
            <w:r w:rsidRPr="0044542F">
              <w:rPr>
                <w:rFonts w:ascii="Verdana" w:hAnsi="Verdana" w:cs="Arial"/>
                <w:spacing w:val="10"/>
              </w:rPr>
              <w:t>20</w:t>
            </w:r>
            <w:r>
              <w:rPr>
                <w:rFonts w:ascii="Verdana" w:hAnsi="Verdana" w:cs="Arial"/>
                <w:spacing w:val="10"/>
                <w:vertAlign w:val="superscript"/>
              </w:rPr>
              <w:t>*)</w:t>
            </w:r>
          </w:p>
        </w:tc>
      </w:tr>
      <w:tr w:rsidR="00683496" w:rsidRPr="006D2270" w:rsidTr="00683496">
        <w:trPr>
          <w:trHeight w:val="340"/>
        </w:trPr>
        <w:tc>
          <w:tcPr>
            <w:tcW w:w="6804"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ind w:left="142"/>
              <w:rPr>
                <w:rFonts w:ascii="Verdana" w:hAnsi="Verdana" w:cs="Arial"/>
              </w:rPr>
            </w:pPr>
            <w:r w:rsidRPr="006D2270">
              <w:rPr>
                <w:rFonts w:ascii="Verdana" w:hAnsi="Verdana" w:cs="Arial"/>
              </w:rPr>
              <w:t>„Liczba asfaltowa" według PN-EN 13179-2, wymagana kategoria:</w:t>
            </w:r>
          </w:p>
        </w:tc>
        <w:tc>
          <w:tcPr>
            <w:tcW w:w="2835"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widowControl w:val="0"/>
              <w:autoSpaceDE w:val="0"/>
              <w:autoSpaceDN w:val="0"/>
              <w:jc w:val="center"/>
              <w:rPr>
                <w:rFonts w:ascii="Verdana" w:hAnsi="Verdana" w:cs="Arial"/>
                <w:spacing w:val="10"/>
              </w:rPr>
            </w:pPr>
            <w:proofErr w:type="spellStart"/>
            <w:r w:rsidRPr="0044542F">
              <w:rPr>
                <w:rFonts w:ascii="Verdana" w:hAnsi="Verdana" w:cs="Arial"/>
                <w:i/>
                <w:spacing w:val="23"/>
              </w:rPr>
              <w:t>BN</w:t>
            </w:r>
            <w:r w:rsidRPr="006D2270">
              <w:rPr>
                <w:rFonts w:ascii="Verdana" w:hAnsi="Verdana" w:cs="Arial"/>
                <w:spacing w:val="23"/>
                <w:vertAlign w:val="subscript"/>
              </w:rPr>
              <w:t>Deklarowana</w:t>
            </w:r>
            <w:proofErr w:type="spellEnd"/>
          </w:p>
        </w:tc>
      </w:tr>
      <w:tr w:rsidR="00683496" w:rsidRPr="006D2270" w:rsidTr="00683496">
        <w:trPr>
          <w:trHeight w:val="340"/>
        </w:trPr>
        <w:tc>
          <w:tcPr>
            <w:tcW w:w="9639" w:type="dxa"/>
            <w:gridSpan w:val="2"/>
            <w:tcBorders>
              <w:top w:val="single" w:sz="4" w:space="0" w:color="auto"/>
              <w:left w:val="single" w:sz="4" w:space="0" w:color="auto"/>
              <w:bottom w:val="single" w:sz="4" w:space="0" w:color="auto"/>
              <w:right w:val="single" w:sz="4" w:space="0" w:color="auto"/>
            </w:tcBorders>
            <w:vAlign w:val="center"/>
          </w:tcPr>
          <w:p w:rsidR="00683496" w:rsidRPr="00A15E1B" w:rsidRDefault="00683496" w:rsidP="00683496">
            <w:pPr>
              <w:widowControl w:val="0"/>
              <w:autoSpaceDE w:val="0"/>
              <w:autoSpaceDN w:val="0"/>
              <w:ind w:left="426" w:hanging="284"/>
              <w:jc w:val="both"/>
              <w:rPr>
                <w:rFonts w:ascii="Verdana" w:hAnsi="Verdana" w:cs="Arial"/>
                <w:spacing w:val="23"/>
              </w:rPr>
            </w:pPr>
            <w:r w:rsidRPr="0044542F">
              <w:rPr>
                <w:rFonts w:ascii="Verdana" w:hAnsi="Verdana" w:cs="Arial"/>
                <w:spacing w:val="23"/>
                <w:vertAlign w:val="superscript"/>
              </w:rPr>
              <w:t>*)</w:t>
            </w:r>
            <w:r>
              <w:rPr>
                <w:rFonts w:ascii="Verdana" w:hAnsi="Verdana" w:cs="Arial"/>
                <w:spacing w:val="23"/>
                <w:vertAlign w:val="superscript"/>
              </w:rPr>
              <w:t xml:space="preserve"> </w:t>
            </w:r>
            <w:r>
              <w:rPr>
                <w:rFonts w:ascii="Verdana" w:hAnsi="Verdana" w:cs="Arial"/>
                <w:spacing w:val="-4"/>
              </w:rPr>
              <w:t xml:space="preserve">W przypadku rezygnacji ze stosowania wypełniacza mieszanego stosuje się kategorię </w:t>
            </w:r>
            <w:proofErr w:type="spellStart"/>
            <w:r w:rsidRPr="00A15E1B">
              <w:rPr>
                <w:rFonts w:ascii="Verdana" w:hAnsi="Verdana" w:cs="Arial"/>
                <w:i/>
                <w:spacing w:val="-4"/>
              </w:rPr>
              <w:t>K</w:t>
            </w:r>
            <w:r>
              <w:rPr>
                <w:rFonts w:ascii="Verdana" w:hAnsi="Verdana" w:cs="Arial"/>
                <w:spacing w:val="-4"/>
              </w:rPr>
              <w:t>a</w:t>
            </w:r>
            <w:r w:rsidRPr="00A15E1B">
              <w:rPr>
                <w:rFonts w:ascii="Verdana" w:hAnsi="Verdana" w:cs="Arial"/>
                <w:spacing w:val="-4"/>
                <w:vertAlign w:val="subscript"/>
              </w:rPr>
              <w:t>NR</w:t>
            </w:r>
            <w:proofErr w:type="spellEnd"/>
            <w:r>
              <w:rPr>
                <w:rFonts w:ascii="Verdana" w:hAnsi="Verdana" w:cs="Arial"/>
                <w:spacing w:val="-4"/>
              </w:rPr>
              <w:t>.</w:t>
            </w:r>
          </w:p>
        </w:tc>
      </w:tr>
    </w:tbl>
    <w:p w:rsidR="00683496" w:rsidRPr="006D2270" w:rsidRDefault="00683496" w:rsidP="00683496">
      <w:pPr>
        <w:jc w:val="both"/>
        <w:rPr>
          <w:rFonts w:ascii="Verdana" w:hAnsi="Verdana" w:cs="Arial"/>
        </w:rPr>
      </w:pPr>
      <w:r w:rsidRPr="006D2270">
        <w:rPr>
          <w:rFonts w:ascii="Verdana" w:hAnsi="Verdana" w:cs="Arial"/>
        </w:rPr>
        <w:lastRenderedPageBreak/>
        <w:t xml:space="preserve">Do warstwy ścieralnej </w:t>
      </w:r>
      <w:r>
        <w:rPr>
          <w:rFonts w:ascii="Verdana" w:hAnsi="Verdana" w:cs="Arial"/>
        </w:rPr>
        <w:t xml:space="preserve">nie </w:t>
      </w:r>
      <w:r w:rsidRPr="006D2270">
        <w:rPr>
          <w:rFonts w:ascii="Verdana" w:hAnsi="Verdana" w:cs="Arial"/>
        </w:rPr>
        <w:t xml:space="preserve">dopuszcza się </w:t>
      </w:r>
      <w:r>
        <w:rPr>
          <w:rFonts w:ascii="Verdana" w:hAnsi="Verdana" w:cs="Arial"/>
        </w:rPr>
        <w:t>użycia pyłów z odpylania dozowanych jako odrębne kruszywo.</w:t>
      </w:r>
    </w:p>
    <w:p w:rsidR="00683496" w:rsidRDefault="00683496" w:rsidP="00683496">
      <w:pPr>
        <w:jc w:val="both"/>
        <w:rPr>
          <w:rFonts w:ascii="Verdana" w:hAnsi="Verdana" w:cs="Arial"/>
        </w:rPr>
      </w:pPr>
    </w:p>
    <w:p w:rsidR="00683496" w:rsidRPr="006D2270" w:rsidRDefault="00683496" w:rsidP="00683496">
      <w:pPr>
        <w:jc w:val="both"/>
        <w:rPr>
          <w:rFonts w:ascii="Verdana" w:hAnsi="Verdana" w:cs="Arial"/>
        </w:rPr>
      </w:pPr>
      <w:r w:rsidRPr="006D2270">
        <w:rPr>
          <w:rFonts w:ascii="Verdana" w:hAnsi="Verdana" w:cs="Aria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683496" w:rsidRPr="006D2270" w:rsidRDefault="00683496" w:rsidP="00683496">
      <w:pPr>
        <w:rPr>
          <w:rFonts w:ascii="Verdana" w:hAnsi="Verdana" w:cs="Arial"/>
        </w:rPr>
      </w:pPr>
    </w:p>
    <w:p w:rsidR="00683496" w:rsidRPr="006D2270" w:rsidRDefault="00683496" w:rsidP="00683496">
      <w:pPr>
        <w:keepNext/>
        <w:outlineLvl w:val="1"/>
        <w:rPr>
          <w:rFonts w:ascii="Verdana" w:hAnsi="Verdana" w:cs="Arial"/>
          <w:b/>
          <w:bCs/>
          <w:iCs/>
        </w:rPr>
      </w:pPr>
      <w:bookmarkStart w:id="351" w:name="_Toc316558731"/>
      <w:r w:rsidRPr="006D2270">
        <w:rPr>
          <w:rFonts w:ascii="Verdana" w:hAnsi="Verdana" w:cs="Arial"/>
          <w:b/>
          <w:bCs/>
          <w:iCs/>
        </w:rPr>
        <w:t>2.4. Środek adhezyjny</w:t>
      </w:r>
      <w:bookmarkEnd w:id="351"/>
    </w:p>
    <w:p w:rsidR="00683496" w:rsidRPr="006D2270" w:rsidRDefault="00683496" w:rsidP="00683496">
      <w:pPr>
        <w:jc w:val="both"/>
        <w:rPr>
          <w:rFonts w:ascii="Verdana" w:hAnsi="Verdana" w:cs="Arial"/>
        </w:rPr>
      </w:pPr>
      <w:r w:rsidRPr="006D2270">
        <w:rPr>
          <w:rFonts w:ascii="Verdana" w:hAnsi="Verdana" w:cs="Aria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[34], metoda A po 6h obracania wynosiła co najmniej 80%. Badanie przyczepności lepiszcza do kruszywa należy każdorazowo przedstawić dla konkretnie złożone</w:t>
      </w:r>
      <w:r>
        <w:rPr>
          <w:rFonts w:ascii="Verdana" w:hAnsi="Verdana" w:cs="Arial"/>
        </w:rPr>
        <w:t>go badania typu MMA</w:t>
      </w:r>
      <w:r w:rsidRPr="006D2270">
        <w:rPr>
          <w:rFonts w:ascii="Verdana" w:hAnsi="Verdana" w:cs="Arial"/>
        </w:rPr>
        <w:t xml:space="preserve"> </w:t>
      </w:r>
      <w:r>
        <w:rPr>
          <w:rFonts w:ascii="Verdana" w:hAnsi="Verdana" w:cs="Arial"/>
        </w:rPr>
        <w:t>(</w:t>
      </w:r>
      <w:r w:rsidRPr="006D2270">
        <w:rPr>
          <w:rFonts w:ascii="Verdana" w:hAnsi="Verdana" w:cs="Arial"/>
        </w:rPr>
        <w:t>recepty</w:t>
      </w:r>
      <w:r>
        <w:rPr>
          <w:rFonts w:ascii="Verdana" w:hAnsi="Verdana" w:cs="Arial"/>
        </w:rPr>
        <w:t>)</w:t>
      </w:r>
      <w:r w:rsidRPr="006D2270">
        <w:rPr>
          <w:rFonts w:ascii="Verdana" w:hAnsi="Verdana" w:cs="Arial"/>
        </w:rPr>
        <w:t>.</w:t>
      </w:r>
    </w:p>
    <w:p w:rsidR="00683496" w:rsidRPr="006D2270" w:rsidRDefault="00683496" w:rsidP="00683496">
      <w:pPr>
        <w:jc w:val="both"/>
        <w:rPr>
          <w:rFonts w:ascii="Verdana" w:hAnsi="Verdana" w:cs="Arial"/>
        </w:rPr>
      </w:pPr>
      <w:r w:rsidRPr="006D2270">
        <w:rPr>
          <w:rFonts w:ascii="Verdana" w:hAnsi="Verdana" w:cs="Arial"/>
        </w:rPr>
        <w:t>Środek adhezyjny powinien odpowiadać wymaganiom określonym przez producenta.</w:t>
      </w:r>
    </w:p>
    <w:p w:rsidR="00683496" w:rsidRPr="006D2270" w:rsidRDefault="00683496" w:rsidP="00683496">
      <w:pPr>
        <w:jc w:val="both"/>
        <w:rPr>
          <w:rFonts w:ascii="Verdana" w:hAnsi="Verdana" w:cs="Arial"/>
        </w:rPr>
      </w:pPr>
      <w:r w:rsidRPr="006D2270">
        <w:rPr>
          <w:rFonts w:ascii="Verdana" w:hAnsi="Verdana" w:cs="Arial"/>
        </w:rPr>
        <w:t>Składowanie środka adhezyjnego jest dozwolone tylko w oryginalnych opakowaniach, w warunkach określonych przez producenta.</w:t>
      </w:r>
    </w:p>
    <w:p w:rsidR="00683496" w:rsidRPr="006D2270" w:rsidRDefault="00683496" w:rsidP="00683496">
      <w:pPr>
        <w:jc w:val="both"/>
        <w:rPr>
          <w:rFonts w:ascii="Verdana" w:hAnsi="Verdana" w:cs="Arial"/>
        </w:rPr>
      </w:pPr>
    </w:p>
    <w:p w:rsidR="00683496" w:rsidRPr="006D2270" w:rsidRDefault="00683496" w:rsidP="00683496">
      <w:pPr>
        <w:keepNext/>
        <w:outlineLvl w:val="1"/>
        <w:rPr>
          <w:rFonts w:ascii="Verdana" w:hAnsi="Verdana" w:cs="Arial"/>
          <w:b/>
          <w:bCs/>
          <w:iCs/>
        </w:rPr>
      </w:pPr>
      <w:r w:rsidRPr="006D2270">
        <w:rPr>
          <w:rFonts w:ascii="Verdana" w:hAnsi="Verdana" w:cs="Arial"/>
          <w:b/>
          <w:bCs/>
          <w:iCs/>
        </w:rPr>
        <w:t>2.5. Materiały do uszczelnienia połączeń i krawędzi</w:t>
      </w:r>
    </w:p>
    <w:p w:rsidR="00683496" w:rsidRPr="006D2270" w:rsidRDefault="00683496" w:rsidP="00683496">
      <w:pPr>
        <w:jc w:val="both"/>
        <w:rPr>
          <w:rFonts w:ascii="Verdana" w:hAnsi="Verdana" w:cs="Arial"/>
        </w:rPr>
      </w:pPr>
      <w:r w:rsidRPr="006D2270">
        <w:rPr>
          <w:rFonts w:ascii="Verdana" w:hAnsi="Verdana" w:cs="Arial"/>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taśmy kauczukowo-asfaltowe o następujących parametrach:</w:t>
      </w:r>
    </w:p>
    <w:p w:rsidR="00683496" w:rsidRPr="006D2270" w:rsidRDefault="00683496"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rPr>
      </w:pPr>
      <w:r w:rsidRPr="006D2270">
        <w:rPr>
          <w:rFonts w:ascii="Verdana" w:hAnsi="Verdana" w:cs="Arial"/>
        </w:rPr>
        <w:t xml:space="preserve">samoprzylepne w postaci wstęgi uformowanej z asfaltu modyfikowanego polimerami, </w:t>
      </w:r>
    </w:p>
    <w:p w:rsidR="00683496" w:rsidRPr="006D2270" w:rsidRDefault="00683496"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rPr>
      </w:pPr>
      <w:r w:rsidRPr="006D2270">
        <w:rPr>
          <w:rFonts w:ascii="Verdana" w:hAnsi="Verdana" w:cs="Arial"/>
        </w:rPr>
        <w:t>o przekroju prostokątnym i szerokości od 20 do 70 mm dostosowanej do grubości układanej warstwy,</w:t>
      </w:r>
      <w:r>
        <w:rPr>
          <w:rFonts w:ascii="Verdana" w:hAnsi="Verdana" w:cs="Arial"/>
        </w:rPr>
        <w:t xml:space="preserve"> (przyklejona taśma powinna wystawać ponad krawędź uzupełnianej nawierzchni z 5-10 mm zapasem, aby po ułożeniu MMA i zagęszczeniu złącze było dobrze uszczelnione),</w:t>
      </w:r>
      <w:r w:rsidRPr="006D2270">
        <w:rPr>
          <w:rFonts w:ascii="Verdana" w:hAnsi="Verdana" w:cs="Arial"/>
        </w:rPr>
        <w:t xml:space="preserve">                      </w:t>
      </w:r>
    </w:p>
    <w:p w:rsidR="00683496" w:rsidRPr="006D2270" w:rsidRDefault="00683496"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rPr>
      </w:pPr>
      <w:r w:rsidRPr="006D2270">
        <w:rPr>
          <w:rFonts w:ascii="Verdana" w:hAnsi="Verdana" w:cs="Arial"/>
        </w:rPr>
        <w:t xml:space="preserve">grubości minimum 8 mm, </w:t>
      </w:r>
    </w:p>
    <w:p w:rsidR="00683496" w:rsidRPr="006D2270" w:rsidRDefault="00683496"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rPr>
      </w:pPr>
      <w:r w:rsidRPr="006D2270">
        <w:rPr>
          <w:rFonts w:ascii="Verdana" w:hAnsi="Verdana" w:cs="Arial"/>
        </w:rPr>
        <w:t xml:space="preserve">zwinięte na rdzeń tekturowy z papierem dwustronnie </w:t>
      </w:r>
      <w:proofErr w:type="spellStart"/>
      <w:r w:rsidRPr="006D2270">
        <w:rPr>
          <w:rFonts w:ascii="Verdana" w:hAnsi="Verdana" w:cs="Arial"/>
        </w:rPr>
        <w:t>silikonowanym</w:t>
      </w:r>
      <w:proofErr w:type="spellEnd"/>
      <w:r w:rsidRPr="006D2270">
        <w:rPr>
          <w:rFonts w:ascii="Verdana" w:hAnsi="Verdana" w:cs="Arial"/>
        </w:rPr>
        <w:t>,</w:t>
      </w:r>
    </w:p>
    <w:p w:rsidR="00683496" w:rsidRPr="006D2270" w:rsidRDefault="00683496" w:rsidP="002122BD">
      <w:pPr>
        <w:numPr>
          <w:ilvl w:val="0"/>
          <w:numId w:val="40"/>
        </w:numPr>
        <w:tabs>
          <w:tab w:val="left" w:pos="284"/>
        </w:tabs>
        <w:overflowPunct w:val="0"/>
        <w:autoSpaceDE w:val="0"/>
        <w:autoSpaceDN w:val="0"/>
        <w:adjustRightInd w:val="0"/>
        <w:ind w:left="284" w:hanging="284"/>
        <w:jc w:val="both"/>
        <w:textAlignment w:val="baseline"/>
        <w:rPr>
          <w:rFonts w:ascii="Verdana" w:hAnsi="Verdana" w:cs="Arial"/>
        </w:rPr>
      </w:pPr>
      <w:r w:rsidRPr="006D2270">
        <w:rPr>
          <w:rFonts w:ascii="Verdana" w:hAnsi="Verdana" w:cs="Arial"/>
        </w:rPr>
        <w:t>dobra przyczepność do pionowo przeciętej powierzchni warstwy,</w:t>
      </w:r>
    </w:p>
    <w:p w:rsidR="00683496" w:rsidRPr="006D2270" w:rsidRDefault="00683496" w:rsidP="002122BD">
      <w:pPr>
        <w:numPr>
          <w:ilvl w:val="0"/>
          <w:numId w:val="40"/>
        </w:numPr>
        <w:tabs>
          <w:tab w:val="left" w:pos="284"/>
        </w:tabs>
        <w:overflowPunct w:val="0"/>
        <w:autoSpaceDE w:val="0"/>
        <w:autoSpaceDN w:val="0"/>
        <w:adjustRightInd w:val="0"/>
        <w:ind w:left="0" w:firstLine="0"/>
        <w:jc w:val="both"/>
        <w:textAlignment w:val="baseline"/>
        <w:rPr>
          <w:rFonts w:ascii="Verdana" w:hAnsi="Verdana" w:cs="Arial"/>
        </w:rPr>
      </w:pPr>
      <w:r w:rsidRPr="006D2270">
        <w:rPr>
          <w:rFonts w:ascii="Verdana" w:hAnsi="Verdana" w:cs="Arial"/>
        </w:rPr>
        <w:t>penetracja stożkiem w temp. +25</w:t>
      </w:r>
      <w:r w:rsidRPr="006D2270">
        <w:rPr>
          <w:rFonts w:ascii="Verdana" w:hAnsi="Verdana" w:cs="Arial"/>
          <w:vertAlign w:val="superscript"/>
        </w:rPr>
        <w:t>o</w:t>
      </w:r>
      <w:r w:rsidRPr="006D2270">
        <w:rPr>
          <w:rFonts w:ascii="Verdana" w:hAnsi="Verdana" w:cs="Arial"/>
        </w:rPr>
        <w:t>C od 20 do 60 [0,1mm],</w:t>
      </w:r>
    </w:p>
    <w:p w:rsidR="00683496" w:rsidRPr="006D2270" w:rsidRDefault="00683496" w:rsidP="002122BD">
      <w:pPr>
        <w:numPr>
          <w:ilvl w:val="0"/>
          <w:numId w:val="40"/>
        </w:numPr>
        <w:tabs>
          <w:tab w:val="left" w:pos="284"/>
        </w:tabs>
        <w:overflowPunct w:val="0"/>
        <w:autoSpaceDE w:val="0"/>
        <w:autoSpaceDN w:val="0"/>
        <w:adjustRightInd w:val="0"/>
        <w:ind w:left="0" w:firstLine="0"/>
        <w:jc w:val="both"/>
        <w:textAlignment w:val="baseline"/>
        <w:rPr>
          <w:rFonts w:ascii="Verdana" w:hAnsi="Verdana" w:cs="Arial"/>
        </w:rPr>
      </w:pPr>
      <w:r w:rsidRPr="006D2270">
        <w:rPr>
          <w:rFonts w:ascii="Verdana" w:hAnsi="Verdana" w:cs="Arial"/>
        </w:rPr>
        <w:t xml:space="preserve">temperatura mięknienia wg </w:t>
      </w:r>
      <w:proofErr w:type="spellStart"/>
      <w:r w:rsidRPr="006D2270">
        <w:rPr>
          <w:rFonts w:ascii="Verdana" w:hAnsi="Verdana" w:cs="Arial"/>
        </w:rPr>
        <w:t>PiK</w:t>
      </w:r>
      <w:proofErr w:type="spellEnd"/>
      <w:r w:rsidRPr="006D2270">
        <w:rPr>
          <w:rFonts w:ascii="Verdana" w:hAnsi="Verdana" w:cs="Arial"/>
        </w:rPr>
        <w:t xml:space="preserve">  ≥ 90</w:t>
      </w:r>
      <w:r w:rsidRPr="006D2270">
        <w:rPr>
          <w:rFonts w:ascii="Verdana" w:hAnsi="Verdana" w:cs="Arial"/>
          <w:vertAlign w:val="superscript"/>
        </w:rPr>
        <w:t>o</w:t>
      </w:r>
      <w:r w:rsidRPr="006D2270">
        <w:rPr>
          <w:rFonts w:ascii="Verdana" w:hAnsi="Verdana" w:cs="Arial"/>
        </w:rPr>
        <w:t>C,</w:t>
      </w:r>
    </w:p>
    <w:p w:rsidR="00683496" w:rsidRPr="006D2270" w:rsidRDefault="00683496" w:rsidP="002122BD">
      <w:pPr>
        <w:numPr>
          <w:ilvl w:val="0"/>
          <w:numId w:val="40"/>
        </w:numPr>
        <w:tabs>
          <w:tab w:val="left" w:pos="284"/>
        </w:tabs>
        <w:overflowPunct w:val="0"/>
        <w:autoSpaceDE w:val="0"/>
        <w:autoSpaceDN w:val="0"/>
        <w:adjustRightInd w:val="0"/>
        <w:ind w:left="0" w:firstLine="0"/>
        <w:jc w:val="both"/>
        <w:textAlignment w:val="baseline"/>
        <w:rPr>
          <w:rFonts w:ascii="Verdana" w:hAnsi="Verdana" w:cs="Arial"/>
        </w:rPr>
      </w:pPr>
      <w:r w:rsidRPr="006D2270">
        <w:rPr>
          <w:rFonts w:ascii="Verdana" w:hAnsi="Verdana" w:cs="Arial"/>
        </w:rPr>
        <w:t xml:space="preserve">zdolność powrotu do stanu pierwotnego  ≥ </w:t>
      </w:r>
      <w:r>
        <w:rPr>
          <w:rFonts w:ascii="Verdana" w:hAnsi="Verdana" w:cs="Arial"/>
        </w:rPr>
        <w:t>5</w:t>
      </w:r>
      <w:r w:rsidRPr="006D2270">
        <w:rPr>
          <w:rFonts w:ascii="Verdana" w:hAnsi="Verdana" w:cs="Arial"/>
        </w:rPr>
        <w:t>0%,</w:t>
      </w:r>
    </w:p>
    <w:p w:rsidR="00683496" w:rsidRPr="006D2270" w:rsidRDefault="00683496" w:rsidP="002122BD">
      <w:pPr>
        <w:numPr>
          <w:ilvl w:val="0"/>
          <w:numId w:val="40"/>
        </w:numPr>
        <w:tabs>
          <w:tab w:val="left" w:pos="284"/>
        </w:tabs>
        <w:overflowPunct w:val="0"/>
        <w:autoSpaceDE w:val="0"/>
        <w:autoSpaceDN w:val="0"/>
        <w:adjustRightInd w:val="0"/>
        <w:ind w:left="0" w:firstLine="0"/>
        <w:jc w:val="both"/>
        <w:textAlignment w:val="baseline"/>
        <w:rPr>
          <w:rFonts w:ascii="Verdana" w:hAnsi="Verdana" w:cs="Arial"/>
        </w:rPr>
      </w:pPr>
      <w:r w:rsidRPr="006D2270">
        <w:rPr>
          <w:rFonts w:ascii="Verdana" w:hAnsi="Verdana" w:cs="Arial"/>
        </w:rPr>
        <w:t>wydłużenie taśmy w szczelinie w temp. -10</w:t>
      </w:r>
      <w:r w:rsidRPr="006D2270">
        <w:rPr>
          <w:rFonts w:ascii="Verdana" w:hAnsi="Verdana" w:cs="Arial"/>
          <w:vertAlign w:val="superscript"/>
        </w:rPr>
        <w:t>o</w:t>
      </w:r>
      <w:r w:rsidRPr="006D2270">
        <w:rPr>
          <w:rFonts w:ascii="Verdana" w:hAnsi="Verdana" w:cs="Arial"/>
        </w:rPr>
        <w:t>C  ≥ 10%,</w:t>
      </w:r>
    </w:p>
    <w:p w:rsidR="00683496" w:rsidRPr="006D2270" w:rsidRDefault="00683496" w:rsidP="00683496">
      <w:pPr>
        <w:jc w:val="both"/>
        <w:rPr>
          <w:rFonts w:ascii="Verdana" w:hAnsi="Verdana" w:cs="Arial"/>
        </w:rPr>
      </w:pPr>
      <w:r w:rsidRPr="006D2270">
        <w:rPr>
          <w:rFonts w:ascii="Verdana" w:hAnsi="Verdana" w:cs="Arial"/>
        </w:rPr>
        <w:t>Składowanie taśm kauczukowo-asfaltowych dozwolone jest tylko w oryginalnych opakowaniach producenta, w warunkach określonych w aprobacie technicznej.</w:t>
      </w:r>
    </w:p>
    <w:p w:rsidR="00683496" w:rsidRDefault="00683496" w:rsidP="00683496">
      <w:pPr>
        <w:jc w:val="both"/>
        <w:rPr>
          <w:rFonts w:ascii="Verdana" w:hAnsi="Verdana" w:cs="Arial"/>
        </w:rPr>
      </w:pPr>
      <w:r w:rsidRPr="006D2270">
        <w:rPr>
          <w:rFonts w:ascii="Verdana" w:hAnsi="Verdana" w:cs="Arial"/>
        </w:rPr>
        <w:t xml:space="preserve">Do uszczelnienia krawędzi zewnętrznych warstwy należy stosować asfalt </w:t>
      </w:r>
      <w:r>
        <w:rPr>
          <w:rFonts w:ascii="Verdana" w:hAnsi="Verdana" w:cs="Arial"/>
        </w:rPr>
        <w:t>drogowy</w:t>
      </w:r>
      <w:r w:rsidRPr="006D2270">
        <w:rPr>
          <w:rFonts w:ascii="Verdana" w:hAnsi="Verdana" w:cs="Arial"/>
        </w:rPr>
        <w:t xml:space="preserve">.                                                                                                                                                                      </w:t>
      </w:r>
    </w:p>
    <w:p w:rsidR="00683496" w:rsidRPr="009A4D89" w:rsidRDefault="00683496" w:rsidP="00683496">
      <w:pPr>
        <w:jc w:val="both"/>
        <w:rPr>
          <w:rFonts w:ascii="Verdana" w:hAnsi="Verdana" w:cs="Arial"/>
        </w:rPr>
      </w:pPr>
    </w:p>
    <w:p w:rsidR="00683496" w:rsidRDefault="00683496" w:rsidP="00683496">
      <w:pPr>
        <w:rPr>
          <w:rFonts w:ascii="Verdana" w:hAnsi="Verdana" w:cs="Arial"/>
          <w:b/>
        </w:rPr>
      </w:pPr>
      <w:r w:rsidRPr="006D2270">
        <w:rPr>
          <w:rFonts w:ascii="Verdana" w:hAnsi="Verdana" w:cs="Arial"/>
          <w:b/>
        </w:rPr>
        <w:t xml:space="preserve">2.6. Materiały do złączenia warstw konstrukcji                                                                                                                                             </w:t>
      </w:r>
    </w:p>
    <w:p w:rsidR="00683496" w:rsidRPr="006D2270" w:rsidRDefault="00683496" w:rsidP="00683496">
      <w:pPr>
        <w:jc w:val="both"/>
        <w:rPr>
          <w:rFonts w:ascii="Verdana" w:hAnsi="Verdana" w:cs="Arial"/>
        </w:rPr>
      </w:pPr>
      <w:r w:rsidRPr="00B706AB">
        <w:rPr>
          <w:rFonts w:ascii="Verdana" w:hAnsi="Verdana" w:cs="Arial"/>
        </w:rPr>
        <w:t>Do złączania warstw konstrukcji nawierzchni (warstwa wiążąca i/lub wyrównawcza z warstwą ścieralną) należy stosować kationowe emulsje modyfikowane polimerami                         C 60 BP ZM,</w:t>
      </w:r>
      <w:r w:rsidRPr="00D30827">
        <w:rPr>
          <w:rFonts w:ascii="Verdana" w:hAnsi="Verdana" w:cs="Arial"/>
          <w:color w:val="FF0000"/>
        </w:rPr>
        <w:t xml:space="preserve"> </w:t>
      </w:r>
      <w:r>
        <w:rPr>
          <w:rFonts w:ascii="Verdana" w:hAnsi="Verdana" w:cs="Arial"/>
        </w:rPr>
        <w:t xml:space="preserve">spełniające wymagania PN-EN 13808 [58] wraz z Załącznikiem krajowym NA, Wymagania dotyczące krajowych emulsji asfaltowych. </w:t>
      </w:r>
    </w:p>
    <w:p w:rsidR="00683496" w:rsidRPr="006D2270" w:rsidRDefault="00683496" w:rsidP="00683496">
      <w:pPr>
        <w:jc w:val="both"/>
        <w:rPr>
          <w:rFonts w:ascii="Verdana" w:hAnsi="Verdana" w:cs="Arial"/>
        </w:rPr>
      </w:pPr>
      <w:r w:rsidRPr="006D2270">
        <w:rPr>
          <w:rFonts w:ascii="Verdana" w:hAnsi="Verdana" w:cs="Arial"/>
        </w:rPr>
        <w:t xml:space="preserve">Emulsję asfaltową można składować w opakowaniach transportowych lub </w:t>
      </w:r>
      <w:r>
        <w:rPr>
          <w:rFonts w:ascii="Verdana" w:hAnsi="Verdana" w:cs="Arial"/>
        </w:rPr>
        <w:br/>
      </w:r>
      <w:r w:rsidRPr="006D2270">
        <w:rPr>
          <w:rFonts w:ascii="Verdana" w:hAnsi="Verdana" w:cs="Arial"/>
        </w:rPr>
        <w:t xml:space="preserve">w stacjonarnych zbiornikach pionowych z nalewaniem od dna. Nie należy nalewać emulsji do opakowań i zbiorników zanieczyszczonych materiałami mineralnymi. </w:t>
      </w:r>
    </w:p>
    <w:p w:rsidR="00683496" w:rsidRDefault="00683496" w:rsidP="00683496">
      <w:pPr>
        <w:jc w:val="both"/>
        <w:rPr>
          <w:rFonts w:ascii="Verdana" w:hAnsi="Verdana" w:cs="Arial"/>
          <w:b/>
        </w:rPr>
      </w:pPr>
    </w:p>
    <w:p w:rsidR="00683496" w:rsidRDefault="00683496" w:rsidP="00683496">
      <w:pPr>
        <w:jc w:val="both"/>
        <w:rPr>
          <w:rFonts w:ascii="Verdana" w:hAnsi="Verdana" w:cs="Arial"/>
          <w:b/>
        </w:rPr>
      </w:pPr>
      <w:r w:rsidRPr="006E5B5C">
        <w:rPr>
          <w:rFonts w:ascii="Verdana" w:hAnsi="Verdana" w:cs="Arial"/>
          <w:b/>
        </w:rPr>
        <w:t>2.</w:t>
      </w:r>
      <w:r>
        <w:rPr>
          <w:rFonts w:ascii="Verdana" w:hAnsi="Verdana" w:cs="Arial"/>
          <w:b/>
        </w:rPr>
        <w:t>7</w:t>
      </w:r>
      <w:r w:rsidRPr="006E5B5C">
        <w:rPr>
          <w:rFonts w:ascii="Verdana" w:hAnsi="Verdana" w:cs="Arial"/>
          <w:b/>
        </w:rPr>
        <w:t>. Ochrona wykonanego skropienia</w:t>
      </w:r>
    </w:p>
    <w:p w:rsidR="00683496" w:rsidRDefault="00683496" w:rsidP="00683496">
      <w:pPr>
        <w:jc w:val="both"/>
        <w:rPr>
          <w:rFonts w:ascii="Verdana" w:hAnsi="Verdana" w:cs="Arial"/>
        </w:rPr>
      </w:pPr>
      <w:r>
        <w:rPr>
          <w:rFonts w:ascii="Verdana" w:hAnsi="Verdana" w:cs="Arial"/>
        </w:rPr>
        <w:t>Wykonanie warstwy ochronnej emulsji przez dodatkowe skropienie z użyciem mleczka wapiennego zaleca się stosować dla dróg o kategorii ruchu KR 4÷7. Skropienie mleczkiem wapiennym wykonuje się dopiero wtedy, gdy nastąpi rozpad emulsji i odparuje woda.</w:t>
      </w:r>
    </w:p>
    <w:p w:rsidR="00683496" w:rsidRDefault="00683496" w:rsidP="00683496">
      <w:pPr>
        <w:jc w:val="both"/>
        <w:rPr>
          <w:rFonts w:ascii="Verdana" w:hAnsi="Verdana" w:cs="Arial"/>
        </w:rPr>
      </w:pPr>
      <w:r>
        <w:rPr>
          <w:rFonts w:ascii="Verdana" w:hAnsi="Verdana" w:cs="Arial"/>
        </w:rPr>
        <w:t xml:space="preserve">Stężenie roztworu roboczego mleczka wapiennego należy przygotować tak, by w 100 g próbki zawartość wodorotlenku wapnia wyrażona w gramach, a otrzymana przez wysuszenie próbki </w:t>
      </w:r>
      <w:r>
        <w:rPr>
          <w:rFonts w:ascii="Verdana" w:hAnsi="Verdana" w:cs="Arial"/>
        </w:rPr>
        <w:lastRenderedPageBreak/>
        <w:t>w suszarce w temp. 110±5</w:t>
      </w:r>
      <w:r>
        <w:rPr>
          <w:rFonts w:ascii="Verdana" w:hAnsi="Verdana" w:cs="Arial"/>
          <w:vertAlign w:val="superscript"/>
        </w:rPr>
        <w:t>o</w:t>
      </w:r>
      <w:r>
        <w:rPr>
          <w:rFonts w:ascii="Verdana" w:hAnsi="Verdana" w:cs="Arial"/>
        </w:rPr>
        <w:t xml:space="preserve">C do stałej masy (jednak nie dłużej </w:t>
      </w:r>
      <w:r>
        <w:rPr>
          <w:rFonts w:ascii="Verdana" w:hAnsi="Verdana" w:cs="Arial"/>
        </w:rPr>
        <w:br/>
        <w:t>niż 5 godz.) była:</w:t>
      </w:r>
    </w:p>
    <w:p w:rsidR="00683496" w:rsidRDefault="00683496" w:rsidP="002122BD">
      <w:pPr>
        <w:numPr>
          <w:ilvl w:val="0"/>
          <w:numId w:val="44"/>
        </w:numPr>
        <w:jc w:val="both"/>
        <w:rPr>
          <w:rFonts w:ascii="Verdana" w:hAnsi="Verdana" w:cs="Arial"/>
        </w:rPr>
      </w:pPr>
      <w:r>
        <w:rPr>
          <w:rFonts w:ascii="Verdana" w:hAnsi="Verdana" w:cs="Arial"/>
        </w:rPr>
        <w:t>nie mniejsza niż 9,0% i nie większa niż 16,0% - do skropienia warstw mineralno-asfaltowych.</w:t>
      </w:r>
    </w:p>
    <w:p w:rsidR="00683496" w:rsidRDefault="00683496" w:rsidP="00683496">
      <w:pPr>
        <w:jc w:val="both"/>
        <w:rPr>
          <w:rFonts w:ascii="Verdana" w:hAnsi="Verdana" w:cs="Arial"/>
        </w:rPr>
      </w:pPr>
      <w:r>
        <w:rPr>
          <w:rFonts w:ascii="Verdana" w:hAnsi="Verdana" w:cs="Arial"/>
        </w:rPr>
        <w:t xml:space="preserve">Dozowana na nawierzchnię dawka roztworu mleczka wapiennego powinna zawierać się </w:t>
      </w:r>
      <w:r>
        <w:rPr>
          <w:rFonts w:ascii="Verdana" w:hAnsi="Verdana" w:cs="Arial"/>
        </w:rPr>
        <w:br/>
        <w:t>w przedziale 250 g/m</w:t>
      </w:r>
      <w:r>
        <w:rPr>
          <w:rFonts w:ascii="Verdana" w:hAnsi="Verdana" w:cs="Arial"/>
          <w:vertAlign w:val="superscript"/>
        </w:rPr>
        <w:t>2</w:t>
      </w:r>
      <w:r>
        <w:rPr>
          <w:rFonts w:ascii="Verdana" w:hAnsi="Verdana" w:cs="Arial"/>
        </w:rPr>
        <w:t xml:space="preserve"> ±20 g.</w:t>
      </w:r>
    </w:p>
    <w:p w:rsidR="00683496" w:rsidRDefault="00683496" w:rsidP="00683496">
      <w:pPr>
        <w:jc w:val="both"/>
        <w:rPr>
          <w:rFonts w:ascii="Verdana" w:hAnsi="Verdana" w:cs="Arial"/>
        </w:rPr>
      </w:pPr>
      <w:r>
        <w:rPr>
          <w:rFonts w:ascii="Verdana" w:hAnsi="Verdana" w:cs="Arial"/>
        </w:rPr>
        <w:t>Dalsze prace budowlane na zabezpieczonej nawierzchni można prowadzić po odparowaniu wody z zaaplikowanego roztworu mleczka wapiennego – ocena wizualna (powstanie suchego filmu wodorotlenku wapnia na powierzchni).</w:t>
      </w:r>
    </w:p>
    <w:p w:rsidR="00683496" w:rsidRDefault="00683496" w:rsidP="00683496">
      <w:pPr>
        <w:jc w:val="both"/>
        <w:rPr>
          <w:rFonts w:ascii="Verdana" w:hAnsi="Verdana" w:cs="Arial"/>
        </w:rPr>
      </w:pPr>
      <w:r>
        <w:rPr>
          <w:rFonts w:ascii="Verdana" w:hAnsi="Verdana" w:cs="Arial"/>
        </w:rPr>
        <w:t xml:space="preserve">Ze względu na osiadanie wodorotlenku wapnia na dnie zbiornika skrapiarki lub opryskiwacza, urządzenia te powinny być wyposażone w system obiegu zamkniętego lub mieszadło obrotowe. Jeśli producent mieszaniny gwarantuje jednorodność </w:t>
      </w:r>
      <w:r>
        <w:rPr>
          <w:rFonts w:ascii="Verdana" w:hAnsi="Verdana" w:cs="Arial"/>
        </w:rPr>
        <w:br/>
        <w:t>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w:t>
      </w:r>
      <w:r>
        <w:rPr>
          <w:rFonts w:ascii="Verdana" w:hAnsi="Verdana" w:cs="Arial"/>
          <w:vertAlign w:val="superscript"/>
        </w:rPr>
        <w:t>o</w:t>
      </w:r>
      <w:r>
        <w:rPr>
          <w:rFonts w:ascii="Verdana" w:hAnsi="Verdana" w:cs="Arial"/>
        </w:rPr>
        <w:t xml:space="preserve">C. </w:t>
      </w:r>
    </w:p>
    <w:p w:rsidR="00683496" w:rsidRPr="006D2270" w:rsidRDefault="00683496" w:rsidP="00683496">
      <w:pPr>
        <w:rPr>
          <w:rFonts w:ascii="Verdana" w:hAnsi="Verdana" w:cs="Arial"/>
        </w:rPr>
      </w:pPr>
    </w:p>
    <w:p w:rsidR="00683496" w:rsidRPr="006D2270" w:rsidRDefault="00683496" w:rsidP="00683496">
      <w:pPr>
        <w:keepNext/>
        <w:widowControl w:val="0"/>
        <w:outlineLvl w:val="0"/>
        <w:rPr>
          <w:rFonts w:ascii="Verdana" w:hAnsi="Verdana" w:cs="Arial"/>
          <w:b/>
          <w:snapToGrid w:val="0"/>
        </w:rPr>
      </w:pPr>
      <w:bookmarkStart w:id="352" w:name="_Toc316558734"/>
      <w:r w:rsidRPr="006D2270">
        <w:rPr>
          <w:rFonts w:ascii="Verdana" w:hAnsi="Verdana" w:cs="Arial"/>
          <w:b/>
          <w:snapToGrid w:val="0"/>
        </w:rPr>
        <w:t>3. S</w:t>
      </w:r>
      <w:bookmarkEnd w:id="352"/>
      <w:r w:rsidRPr="006D2270">
        <w:rPr>
          <w:rFonts w:ascii="Verdana" w:hAnsi="Verdana" w:cs="Arial"/>
          <w:b/>
          <w:snapToGrid w:val="0"/>
        </w:rPr>
        <w:t>przęt</w:t>
      </w:r>
    </w:p>
    <w:p w:rsidR="00683496" w:rsidRPr="006D2270" w:rsidRDefault="00683496" w:rsidP="00683496">
      <w:pPr>
        <w:keepNext/>
        <w:outlineLvl w:val="1"/>
        <w:rPr>
          <w:rFonts w:ascii="Verdana" w:hAnsi="Verdana" w:cs="Arial"/>
          <w:b/>
          <w:bCs/>
          <w:iCs/>
        </w:rPr>
      </w:pPr>
      <w:bookmarkStart w:id="353" w:name="_Toc316558735"/>
      <w:r w:rsidRPr="006D2270">
        <w:rPr>
          <w:rFonts w:ascii="Verdana" w:hAnsi="Verdana" w:cs="Arial"/>
          <w:b/>
          <w:bCs/>
          <w:iCs/>
        </w:rPr>
        <w:t>3.1. Ogólne wymagania dotyczące sprzętu</w:t>
      </w:r>
      <w:bookmarkEnd w:id="353"/>
    </w:p>
    <w:p w:rsidR="00683496" w:rsidRPr="006D2270" w:rsidRDefault="00683496" w:rsidP="00683496">
      <w:pPr>
        <w:jc w:val="both"/>
        <w:rPr>
          <w:rFonts w:ascii="Verdana" w:hAnsi="Verdana" w:cs="Arial"/>
        </w:rPr>
      </w:pPr>
      <w:r w:rsidRPr="006D2270">
        <w:rPr>
          <w:rFonts w:ascii="Verdana" w:hAnsi="Verdana" w:cs="Arial"/>
        </w:rPr>
        <w:t>Ogólne wymagania dotyczące sprzętu podano w SST D-M-00.00.00 „Wymagania ogólne” pkt 3.</w:t>
      </w:r>
    </w:p>
    <w:p w:rsidR="00683496" w:rsidRPr="006D2270" w:rsidRDefault="00683496" w:rsidP="00683496">
      <w:pPr>
        <w:keepNext/>
        <w:outlineLvl w:val="1"/>
        <w:rPr>
          <w:rFonts w:ascii="Verdana" w:hAnsi="Verdana" w:cs="Arial"/>
          <w:b/>
          <w:bCs/>
          <w:iCs/>
        </w:rPr>
      </w:pPr>
      <w:bookmarkStart w:id="354" w:name="_Toc316558736"/>
    </w:p>
    <w:p w:rsidR="00683496" w:rsidRPr="006D2270" w:rsidRDefault="00683496" w:rsidP="00683496">
      <w:pPr>
        <w:keepNext/>
        <w:outlineLvl w:val="1"/>
        <w:rPr>
          <w:rFonts w:ascii="Verdana" w:hAnsi="Verdana" w:cs="Arial"/>
          <w:b/>
          <w:bCs/>
          <w:iCs/>
        </w:rPr>
      </w:pPr>
      <w:r w:rsidRPr="006D2270">
        <w:rPr>
          <w:rFonts w:ascii="Verdana" w:hAnsi="Verdana" w:cs="Arial"/>
          <w:b/>
          <w:bCs/>
          <w:iCs/>
        </w:rPr>
        <w:t>3.2. Sprzęt do wykonania nawierzchni z betonu asfaltowego</w:t>
      </w:r>
      <w:bookmarkEnd w:id="354"/>
    </w:p>
    <w:p w:rsidR="00683496" w:rsidRPr="006D2270" w:rsidRDefault="00683496" w:rsidP="00683496">
      <w:pPr>
        <w:jc w:val="both"/>
        <w:rPr>
          <w:rFonts w:ascii="Verdana" w:hAnsi="Verdana" w:cs="Arial"/>
        </w:rPr>
      </w:pPr>
      <w:r w:rsidRPr="006D2270">
        <w:rPr>
          <w:rFonts w:ascii="Verdana" w:hAnsi="Verdana" w:cs="Arial"/>
        </w:rPr>
        <w:t>Wykonawca przystępujący do wykonania warstw nawierzchni z betonu asfaltowego powinien wykazać się możliwością korzystania z następującego sprzętu:</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wytwórnia (otaczarka) o mieszaniu cyklicznym lub ciągłym, z automatycznym komputerowym sterowaniem produkcji, do wytwarzania mieszanek mineralno-asfaltowych, na wytwórni powinien funkcjonować certyfikowany system Zakładowej Kontroli Produkcji zgodny z normą PN-EN 13108-21 [63.1], </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układarka gąsienicowa, z elektronicznym sterowaniem równości układanej warstwy,</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skrapiarka,</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walce stalowe gładkie, </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lekka </w:t>
      </w:r>
      <w:proofErr w:type="spellStart"/>
      <w:r w:rsidRPr="006D2270">
        <w:rPr>
          <w:rFonts w:ascii="Verdana" w:hAnsi="Verdana" w:cs="Arial"/>
        </w:rPr>
        <w:t>rozsypywarka</w:t>
      </w:r>
      <w:proofErr w:type="spellEnd"/>
      <w:r w:rsidRPr="006D2270">
        <w:rPr>
          <w:rFonts w:ascii="Verdana" w:hAnsi="Verdana" w:cs="Arial"/>
        </w:rPr>
        <w:t xml:space="preserve"> kruszywa,</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szczotki mechaniczne i/lub inne urządzenia czyszczące,</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samochody samowyładowcze z przykryciem brezentowym lub termosami,</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sprzęt drobny.</w:t>
      </w:r>
    </w:p>
    <w:p w:rsidR="00683496" w:rsidRPr="006D2270" w:rsidRDefault="00683496" w:rsidP="00683496">
      <w:pPr>
        <w:overflowPunct w:val="0"/>
        <w:autoSpaceDE w:val="0"/>
        <w:autoSpaceDN w:val="0"/>
        <w:adjustRightInd w:val="0"/>
        <w:ind w:left="283"/>
        <w:jc w:val="both"/>
        <w:textAlignment w:val="baseline"/>
        <w:rPr>
          <w:rFonts w:ascii="Verdana" w:hAnsi="Verdana" w:cs="Arial"/>
        </w:rPr>
      </w:pPr>
    </w:p>
    <w:p w:rsidR="00683496" w:rsidRPr="006D2270" w:rsidRDefault="00683496" w:rsidP="00683496">
      <w:pPr>
        <w:keepNext/>
        <w:widowControl w:val="0"/>
        <w:numPr>
          <w:ilvl w:val="12"/>
          <w:numId w:val="0"/>
        </w:numPr>
        <w:outlineLvl w:val="0"/>
        <w:rPr>
          <w:rFonts w:ascii="Verdana" w:hAnsi="Verdana" w:cs="Arial"/>
          <w:b/>
          <w:snapToGrid w:val="0"/>
        </w:rPr>
      </w:pPr>
      <w:bookmarkStart w:id="355" w:name="_Toc316558737"/>
      <w:r w:rsidRPr="006D2270">
        <w:rPr>
          <w:rFonts w:ascii="Verdana" w:hAnsi="Verdana" w:cs="Arial"/>
          <w:b/>
          <w:snapToGrid w:val="0"/>
        </w:rPr>
        <w:t>4. T</w:t>
      </w:r>
      <w:bookmarkEnd w:id="355"/>
      <w:r w:rsidRPr="006D2270">
        <w:rPr>
          <w:rFonts w:ascii="Verdana" w:hAnsi="Verdana" w:cs="Arial"/>
          <w:b/>
          <w:snapToGrid w:val="0"/>
        </w:rPr>
        <w:t>ransport</w:t>
      </w:r>
    </w:p>
    <w:p w:rsidR="00683496" w:rsidRPr="006D2270" w:rsidRDefault="00683496" w:rsidP="00683496">
      <w:pPr>
        <w:keepNext/>
        <w:numPr>
          <w:ilvl w:val="12"/>
          <w:numId w:val="0"/>
        </w:numPr>
        <w:outlineLvl w:val="1"/>
        <w:rPr>
          <w:rFonts w:ascii="Verdana" w:hAnsi="Verdana" w:cs="Arial"/>
          <w:b/>
          <w:bCs/>
          <w:iCs/>
        </w:rPr>
      </w:pPr>
      <w:bookmarkStart w:id="356" w:name="_Toc316558738"/>
      <w:r w:rsidRPr="006D2270">
        <w:rPr>
          <w:rFonts w:ascii="Verdana" w:hAnsi="Verdana" w:cs="Arial"/>
          <w:b/>
          <w:bCs/>
          <w:iCs/>
        </w:rPr>
        <w:t>4.1. Ogólne wymagania dotyczące transportu</w:t>
      </w:r>
      <w:bookmarkEnd w:id="356"/>
    </w:p>
    <w:p w:rsidR="00683496" w:rsidRPr="006D2270" w:rsidRDefault="00683496" w:rsidP="00683496">
      <w:pPr>
        <w:numPr>
          <w:ilvl w:val="12"/>
          <w:numId w:val="0"/>
        </w:numPr>
        <w:jc w:val="both"/>
        <w:rPr>
          <w:rFonts w:ascii="Verdana" w:hAnsi="Verdana" w:cs="Arial"/>
        </w:rPr>
      </w:pPr>
      <w:r w:rsidRPr="006D2270">
        <w:rPr>
          <w:rFonts w:ascii="Verdana" w:hAnsi="Verdana" w:cs="Arial"/>
        </w:rPr>
        <w:t>Ogólne wymagania dotyczące transportu podano w SST D-M-00.00.00 „Wymagania ogólne” pkt 4.</w:t>
      </w:r>
    </w:p>
    <w:p w:rsidR="00683496" w:rsidRPr="006D2270" w:rsidRDefault="00683496" w:rsidP="00683496">
      <w:pPr>
        <w:numPr>
          <w:ilvl w:val="12"/>
          <w:numId w:val="0"/>
        </w:numPr>
        <w:jc w:val="both"/>
        <w:rPr>
          <w:rFonts w:ascii="Verdana" w:hAnsi="Verdana" w:cs="Arial"/>
        </w:rPr>
      </w:pPr>
    </w:p>
    <w:p w:rsidR="00683496" w:rsidRPr="006D2270" w:rsidRDefault="00683496" w:rsidP="00683496">
      <w:pPr>
        <w:keepNext/>
        <w:numPr>
          <w:ilvl w:val="12"/>
          <w:numId w:val="0"/>
        </w:numPr>
        <w:outlineLvl w:val="1"/>
        <w:rPr>
          <w:rFonts w:ascii="Verdana" w:hAnsi="Verdana" w:cs="Arial"/>
          <w:b/>
          <w:bCs/>
          <w:iCs/>
        </w:rPr>
      </w:pPr>
      <w:bookmarkStart w:id="357" w:name="_Toc316558739"/>
      <w:r w:rsidRPr="006D2270">
        <w:rPr>
          <w:rFonts w:ascii="Verdana" w:hAnsi="Verdana" w:cs="Arial"/>
          <w:b/>
          <w:bCs/>
          <w:iCs/>
        </w:rPr>
        <w:t>4.2. Transport materiałów</w:t>
      </w:r>
      <w:bookmarkEnd w:id="357"/>
    </w:p>
    <w:p w:rsidR="00683496" w:rsidRPr="006D2270" w:rsidRDefault="00683496" w:rsidP="00683496">
      <w:pPr>
        <w:jc w:val="both"/>
        <w:rPr>
          <w:rFonts w:ascii="Verdana" w:hAnsi="Verdana" w:cs="Arial"/>
        </w:rPr>
      </w:pPr>
      <w:r w:rsidRPr="006D2270">
        <w:rPr>
          <w:rFonts w:ascii="Verdana" w:hAnsi="Verdana" w:cs="Arial"/>
        </w:rPr>
        <w:t>Asfalt modyfikowany polimerami należy przewozić w cysternach kolejowych lub samochodach izolowanych i zaopatrzonych w urządzenia umożliwiające pośrednie ogrzewanie oraz w zawory spustowe.</w:t>
      </w:r>
    </w:p>
    <w:p w:rsidR="00683496" w:rsidRPr="006D2270" w:rsidRDefault="00683496" w:rsidP="00683496">
      <w:pPr>
        <w:jc w:val="both"/>
        <w:rPr>
          <w:rFonts w:ascii="Verdana" w:hAnsi="Verdana" w:cs="Arial"/>
        </w:rPr>
      </w:pPr>
      <w:r w:rsidRPr="006D2270">
        <w:rPr>
          <w:rFonts w:ascii="Verdana" w:hAnsi="Verdana" w:cs="Arial"/>
        </w:rPr>
        <w:t>Kruszywa można przewozić dowolnymi środkami transportu, w warunkach zabezpieczających je przed zanieczyszczeniem, zmieszaniem z innymi materiałami i nadmiernym zawilgoceniem.</w:t>
      </w:r>
    </w:p>
    <w:p w:rsidR="00683496" w:rsidRPr="006D2270" w:rsidRDefault="00683496" w:rsidP="00683496">
      <w:pPr>
        <w:jc w:val="both"/>
        <w:rPr>
          <w:rFonts w:ascii="Verdana" w:hAnsi="Verdana" w:cs="Arial"/>
        </w:rPr>
      </w:pPr>
      <w:r w:rsidRPr="006D2270">
        <w:rPr>
          <w:rFonts w:ascii="Verdana" w:hAnsi="Verdana"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683496" w:rsidRPr="006D2270" w:rsidRDefault="00683496" w:rsidP="00683496">
      <w:pPr>
        <w:jc w:val="both"/>
        <w:rPr>
          <w:rFonts w:ascii="Verdana" w:hAnsi="Verdana" w:cs="Arial"/>
        </w:rPr>
      </w:pPr>
      <w:r w:rsidRPr="006D2270">
        <w:rPr>
          <w:rFonts w:ascii="Verdana" w:hAnsi="Verdana"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6D2270">
        <w:rPr>
          <w:rFonts w:ascii="Verdana" w:hAnsi="Verdana" w:cs="Arial"/>
        </w:rPr>
        <w:t>pH</w:t>
      </w:r>
      <w:proofErr w:type="spellEnd"/>
      <w:r w:rsidRPr="006D2270">
        <w:rPr>
          <w:rFonts w:ascii="Verdana" w:hAnsi="Verdana" w:cs="Arial"/>
        </w:rPr>
        <w:t xml:space="preserve"> ≤ 4).</w:t>
      </w:r>
    </w:p>
    <w:p w:rsidR="00683496" w:rsidRPr="006D2270" w:rsidRDefault="00683496" w:rsidP="00683496">
      <w:pPr>
        <w:jc w:val="both"/>
        <w:rPr>
          <w:rFonts w:ascii="Verdana" w:hAnsi="Verdana" w:cs="Arial"/>
        </w:rPr>
      </w:pPr>
      <w:r w:rsidRPr="006D2270">
        <w:rPr>
          <w:rFonts w:ascii="Verdana" w:hAnsi="Verdana" w:cs="Arial"/>
        </w:rPr>
        <w:lastRenderedPageBreak/>
        <w:t>Miesza</w:t>
      </w:r>
      <w:r>
        <w:rPr>
          <w:rFonts w:ascii="Verdana" w:hAnsi="Verdana" w:cs="Arial"/>
        </w:rPr>
        <w:t xml:space="preserve">nkę mineralno-asfaltową należy </w:t>
      </w:r>
      <w:r w:rsidRPr="006D2270">
        <w:rPr>
          <w:rFonts w:ascii="Verdana" w:hAnsi="Verdana" w:cs="Arial"/>
        </w:rPr>
        <w:t>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683496" w:rsidRDefault="00683496" w:rsidP="00683496">
      <w:pPr>
        <w:keepNext/>
        <w:widowControl w:val="0"/>
        <w:numPr>
          <w:ilvl w:val="12"/>
          <w:numId w:val="0"/>
        </w:numPr>
        <w:outlineLvl w:val="0"/>
        <w:rPr>
          <w:rFonts w:ascii="Verdana" w:hAnsi="Verdana" w:cs="Arial"/>
          <w:b/>
          <w:snapToGrid w:val="0"/>
        </w:rPr>
      </w:pPr>
      <w:bookmarkStart w:id="358" w:name="_Toc316558740"/>
    </w:p>
    <w:p w:rsidR="00683496" w:rsidRPr="006D2270" w:rsidRDefault="00683496" w:rsidP="00683496">
      <w:pPr>
        <w:keepNext/>
        <w:widowControl w:val="0"/>
        <w:numPr>
          <w:ilvl w:val="12"/>
          <w:numId w:val="0"/>
        </w:numPr>
        <w:outlineLvl w:val="0"/>
        <w:rPr>
          <w:rFonts w:ascii="Verdana" w:hAnsi="Verdana" w:cs="Arial"/>
          <w:b/>
          <w:snapToGrid w:val="0"/>
        </w:rPr>
      </w:pPr>
      <w:r w:rsidRPr="006D2270">
        <w:rPr>
          <w:rFonts w:ascii="Verdana" w:hAnsi="Verdana" w:cs="Arial"/>
          <w:b/>
          <w:snapToGrid w:val="0"/>
        </w:rPr>
        <w:t>5. W</w:t>
      </w:r>
      <w:bookmarkEnd w:id="358"/>
      <w:r w:rsidRPr="006D2270">
        <w:rPr>
          <w:rFonts w:ascii="Verdana" w:hAnsi="Verdana" w:cs="Arial"/>
          <w:b/>
          <w:snapToGrid w:val="0"/>
        </w:rPr>
        <w:t>ykonanie robót</w:t>
      </w:r>
    </w:p>
    <w:p w:rsidR="00683496" w:rsidRPr="006D2270" w:rsidRDefault="00683496" w:rsidP="00683496">
      <w:pPr>
        <w:keepNext/>
        <w:numPr>
          <w:ilvl w:val="12"/>
          <w:numId w:val="0"/>
        </w:numPr>
        <w:outlineLvl w:val="1"/>
        <w:rPr>
          <w:rFonts w:ascii="Verdana" w:hAnsi="Verdana" w:cs="Arial"/>
          <w:b/>
          <w:bCs/>
          <w:iCs/>
        </w:rPr>
      </w:pPr>
      <w:bookmarkStart w:id="359" w:name="_Toc316558741"/>
      <w:r w:rsidRPr="006D2270">
        <w:rPr>
          <w:rFonts w:ascii="Verdana" w:hAnsi="Verdana" w:cs="Arial"/>
          <w:b/>
          <w:bCs/>
          <w:iCs/>
        </w:rPr>
        <w:t>5.1. Ogólne zasady wykonania robót</w:t>
      </w:r>
      <w:bookmarkEnd w:id="359"/>
    </w:p>
    <w:p w:rsidR="00683496" w:rsidRPr="006D2270" w:rsidRDefault="00683496" w:rsidP="00683496">
      <w:pPr>
        <w:numPr>
          <w:ilvl w:val="12"/>
          <w:numId w:val="0"/>
        </w:numPr>
        <w:jc w:val="both"/>
        <w:rPr>
          <w:rFonts w:ascii="Verdana" w:hAnsi="Verdana" w:cs="Arial"/>
        </w:rPr>
      </w:pPr>
      <w:r w:rsidRPr="006D2270">
        <w:rPr>
          <w:rFonts w:ascii="Verdana" w:hAnsi="Verdana" w:cs="Arial"/>
        </w:rPr>
        <w:t>Ogólne zasady wykonania robót podano w SST D-M-00.00.00 „Wymagania ogólne” pkt 5.</w:t>
      </w:r>
    </w:p>
    <w:p w:rsidR="00683496" w:rsidRDefault="00683496" w:rsidP="00683496">
      <w:pPr>
        <w:keepNext/>
        <w:numPr>
          <w:ilvl w:val="12"/>
          <w:numId w:val="0"/>
        </w:numPr>
        <w:outlineLvl w:val="1"/>
        <w:rPr>
          <w:rFonts w:ascii="Verdana" w:hAnsi="Verdana" w:cs="Arial"/>
          <w:b/>
          <w:bCs/>
          <w:iCs/>
        </w:rPr>
      </w:pPr>
      <w:bookmarkStart w:id="360" w:name="_Toc316558742"/>
    </w:p>
    <w:p w:rsidR="00683496" w:rsidRPr="006D2270" w:rsidRDefault="00683496" w:rsidP="00683496">
      <w:pPr>
        <w:keepNext/>
        <w:numPr>
          <w:ilvl w:val="12"/>
          <w:numId w:val="0"/>
        </w:numPr>
        <w:outlineLvl w:val="1"/>
        <w:rPr>
          <w:rFonts w:ascii="Verdana" w:hAnsi="Verdana" w:cs="Arial"/>
          <w:b/>
          <w:bCs/>
          <w:iCs/>
        </w:rPr>
      </w:pPr>
      <w:r w:rsidRPr="006D2270">
        <w:rPr>
          <w:rFonts w:ascii="Verdana" w:hAnsi="Verdana" w:cs="Arial"/>
          <w:b/>
          <w:bCs/>
          <w:iCs/>
        </w:rPr>
        <w:t>5.2. Projektowanie mieszanki mineralno-asfaltowej</w:t>
      </w:r>
      <w:bookmarkEnd w:id="360"/>
      <w:r w:rsidRPr="006D2270">
        <w:rPr>
          <w:rFonts w:ascii="Verdana" w:hAnsi="Verdana" w:cs="Arial"/>
          <w:b/>
          <w:bCs/>
          <w:iCs/>
        </w:rPr>
        <w:t xml:space="preserve"> </w:t>
      </w:r>
    </w:p>
    <w:p w:rsidR="00683496" w:rsidRDefault="00683496" w:rsidP="00683496">
      <w:pPr>
        <w:jc w:val="both"/>
        <w:rPr>
          <w:rFonts w:ascii="Verdana" w:hAnsi="Verdana" w:cs="Arial"/>
        </w:rPr>
      </w:pPr>
      <w:r>
        <w:rPr>
          <w:rFonts w:ascii="Verdana" w:hAnsi="Verdana" w:cs="Arial"/>
        </w:rPr>
        <w:t>Projektowanie mieszanki mineralno-asfaltowej polega na:</w:t>
      </w:r>
    </w:p>
    <w:p w:rsidR="00683496" w:rsidRDefault="00683496" w:rsidP="002122BD">
      <w:pPr>
        <w:numPr>
          <w:ilvl w:val="0"/>
          <w:numId w:val="41"/>
        </w:numPr>
        <w:jc w:val="both"/>
        <w:rPr>
          <w:rFonts w:ascii="Verdana" w:hAnsi="Verdana" w:cs="Arial"/>
        </w:rPr>
      </w:pPr>
      <w:r>
        <w:rPr>
          <w:rFonts w:ascii="Verdana" w:hAnsi="Verdana" w:cs="Arial"/>
        </w:rPr>
        <w:t>doborze składników mieszanki,</w:t>
      </w:r>
    </w:p>
    <w:p w:rsidR="00683496" w:rsidRDefault="00683496" w:rsidP="002122BD">
      <w:pPr>
        <w:numPr>
          <w:ilvl w:val="0"/>
          <w:numId w:val="41"/>
        </w:numPr>
        <w:jc w:val="both"/>
        <w:rPr>
          <w:rFonts w:ascii="Verdana" w:hAnsi="Verdana" w:cs="Arial"/>
        </w:rPr>
      </w:pPr>
      <w:r>
        <w:rPr>
          <w:rFonts w:ascii="Verdana" w:hAnsi="Verdana" w:cs="Arial"/>
        </w:rPr>
        <w:t>doborze optymalnej ilości asfaltu,</w:t>
      </w:r>
    </w:p>
    <w:p w:rsidR="00683496" w:rsidRPr="00675A69" w:rsidRDefault="00683496" w:rsidP="002122BD">
      <w:pPr>
        <w:numPr>
          <w:ilvl w:val="0"/>
          <w:numId w:val="41"/>
        </w:numPr>
        <w:jc w:val="both"/>
        <w:rPr>
          <w:rFonts w:ascii="Verdana" w:hAnsi="Verdana" w:cs="Arial"/>
        </w:rPr>
      </w:pPr>
      <w:r w:rsidRPr="00831D34">
        <w:rPr>
          <w:rFonts w:ascii="Verdana" w:hAnsi="Verdana"/>
          <w:sz w:val="18"/>
          <w:szCs w:val="18"/>
        </w:rPr>
        <w:t xml:space="preserve">doborze </w:t>
      </w:r>
      <w:r w:rsidRPr="00831D34">
        <w:rPr>
          <w:rFonts w:ascii="Verdana" w:hAnsi="Verdana" w:cs="TimesNewRoman"/>
          <w:sz w:val="18"/>
          <w:szCs w:val="18"/>
        </w:rPr>
        <w:t>ś</w:t>
      </w:r>
      <w:r w:rsidRPr="00831D34">
        <w:rPr>
          <w:rFonts w:ascii="Verdana" w:hAnsi="Verdana"/>
          <w:sz w:val="18"/>
          <w:szCs w:val="18"/>
        </w:rPr>
        <w:t>rodka adhezyjnego,</w:t>
      </w:r>
    </w:p>
    <w:p w:rsidR="00683496" w:rsidRDefault="00683496" w:rsidP="002122BD">
      <w:pPr>
        <w:numPr>
          <w:ilvl w:val="0"/>
          <w:numId w:val="41"/>
        </w:numPr>
        <w:jc w:val="both"/>
        <w:rPr>
          <w:rFonts w:ascii="Verdana" w:hAnsi="Verdana" w:cs="Arial"/>
        </w:rPr>
      </w:pPr>
      <w:r>
        <w:rPr>
          <w:rFonts w:ascii="Verdana" w:hAnsi="Verdana" w:cs="Arial"/>
        </w:rPr>
        <w:t>określeniu właściwości mieszanki mineralno-asfaltowej wraz z przedstawieniem sprawozdań z tych badań,</w:t>
      </w:r>
    </w:p>
    <w:p w:rsidR="00683496" w:rsidRDefault="00683496" w:rsidP="002122BD">
      <w:pPr>
        <w:numPr>
          <w:ilvl w:val="0"/>
          <w:numId w:val="41"/>
        </w:numPr>
        <w:jc w:val="both"/>
        <w:rPr>
          <w:rFonts w:ascii="Verdana" w:hAnsi="Verdana" w:cs="Arial"/>
        </w:rPr>
      </w:pPr>
      <w:r>
        <w:rPr>
          <w:rFonts w:ascii="Verdana" w:hAnsi="Verdana" w:cs="Arial"/>
        </w:rPr>
        <w:t>przedstawieniu w badaniu typu MMA (recepcie) poziomu odpylania dla kruszywa grubego i drobnego stosowanego do produkcji MMA,</w:t>
      </w:r>
    </w:p>
    <w:p w:rsidR="00683496" w:rsidRDefault="00683496" w:rsidP="002122BD">
      <w:pPr>
        <w:numPr>
          <w:ilvl w:val="0"/>
          <w:numId w:val="41"/>
        </w:numPr>
        <w:jc w:val="both"/>
        <w:rPr>
          <w:rFonts w:ascii="Verdana" w:hAnsi="Verdana" w:cs="Arial"/>
        </w:rPr>
      </w:pPr>
      <w:r>
        <w:rPr>
          <w:rFonts w:ascii="Verdana" w:hAnsi="Verdana" w:cs="Arial"/>
        </w:rPr>
        <w:t>wykonaniu przez Producenta MMA pełnych badań właściwości wszystkich materiałów wsadowych wraz z przedstawieniem sprawozdań z tych badań. Ważność wykonanych przez Producenta MMA pełnych badań właściwości wszystkich materiałów wsadowych, w trakcie złożenia do akceptacji razem z badaniem typu MMA (receptą) nie mogą przekroczyć 6 miesięcy od dnia wykonania tych badań.</w:t>
      </w:r>
    </w:p>
    <w:p w:rsidR="00683496" w:rsidRPr="006D2270" w:rsidRDefault="00683496" w:rsidP="00683496">
      <w:pPr>
        <w:jc w:val="both"/>
        <w:rPr>
          <w:rFonts w:ascii="Verdana" w:hAnsi="Verdana" w:cs="Arial"/>
          <w:strike/>
        </w:rPr>
      </w:pPr>
      <w:r>
        <w:rPr>
          <w:rFonts w:ascii="Verdana" w:hAnsi="Verdana" w:cs="Arial"/>
        </w:rPr>
        <w:t>W terminie 4 tygodni p</w:t>
      </w:r>
      <w:r w:rsidRPr="006D2270">
        <w:rPr>
          <w:rFonts w:ascii="Verdana" w:hAnsi="Verdana" w:cs="Arial"/>
        </w:rPr>
        <w:t xml:space="preserve">rzed przystąpieniem do robót Wykonawca dostarczy Przedstawicielowi Zamawiającego/Inspektorowi Nadzoru do akceptacji projekt </w:t>
      </w:r>
      <w:r>
        <w:rPr>
          <w:rFonts w:ascii="Verdana" w:hAnsi="Verdana" w:cs="Arial"/>
        </w:rPr>
        <w:t xml:space="preserve">MMA (badanie typu, recepta) </w:t>
      </w:r>
      <w:r w:rsidRPr="006D2270">
        <w:rPr>
          <w:rFonts w:ascii="Verdana" w:hAnsi="Verdana" w:cs="Arial"/>
        </w:rPr>
        <w:t>wraz z pełnymi badaniami</w:t>
      </w:r>
      <w:r>
        <w:rPr>
          <w:rFonts w:ascii="Verdana" w:hAnsi="Verdana" w:cs="Arial"/>
        </w:rPr>
        <w:t xml:space="preserve"> właściwości</w:t>
      </w:r>
      <w:r w:rsidRPr="006D2270">
        <w:rPr>
          <w:rFonts w:ascii="Verdana" w:hAnsi="Verdana" w:cs="Arial"/>
        </w:rPr>
        <w:t xml:space="preserve"> materiałów wsadowych </w:t>
      </w:r>
      <w:r>
        <w:rPr>
          <w:rFonts w:ascii="Verdana" w:hAnsi="Verdana" w:cs="Arial"/>
        </w:rPr>
        <w:t xml:space="preserve">                   </w:t>
      </w:r>
      <w:r w:rsidRPr="006D2270">
        <w:rPr>
          <w:rFonts w:ascii="Verdana" w:hAnsi="Verdana" w:cs="Arial"/>
        </w:rPr>
        <w:t xml:space="preserve">i właściwości MMA. </w:t>
      </w:r>
    </w:p>
    <w:p w:rsidR="00683496" w:rsidRPr="006D2270" w:rsidRDefault="00683496" w:rsidP="00683496">
      <w:pPr>
        <w:jc w:val="both"/>
        <w:rPr>
          <w:rFonts w:ascii="Verdana" w:hAnsi="Verdana" w:cs="Arial"/>
        </w:rPr>
      </w:pPr>
      <w:r w:rsidRPr="006D2270">
        <w:rPr>
          <w:rFonts w:ascii="Verdana" w:hAnsi="Verdana" w:cs="Arial"/>
        </w:rPr>
        <w:t xml:space="preserve">Uziarnienie mieszanki mineralnej oraz minimalna zawartość lepiszcza podane są </w:t>
      </w:r>
      <w:r>
        <w:rPr>
          <w:rFonts w:ascii="Verdana" w:hAnsi="Verdana" w:cs="Arial"/>
        </w:rPr>
        <w:br/>
      </w:r>
      <w:r w:rsidRPr="006D2270">
        <w:rPr>
          <w:rFonts w:ascii="Verdana" w:hAnsi="Verdana" w:cs="Arial"/>
        </w:rPr>
        <w:t>w tab</w:t>
      </w:r>
      <w:r>
        <w:rPr>
          <w:rFonts w:ascii="Verdana" w:hAnsi="Verdana" w:cs="Arial"/>
        </w:rPr>
        <w:t>ela 7</w:t>
      </w:r>
      <w:r w:rsidRPr="006D2270">
        <w:rPr>
          <w:rFonts w:ascii="Verdana" w:hAnsi="Verdana" w:cs="Arial"/>
        </w:rPr>
        <w:t>.</w:t>
      </w:r>
    </w:p>
    <w:p w:rsidR="00683496" w:rsidRPr="006D2270" w:rsidRDefault="00683496" w:rsidP="00683496">
      <w:pPr>
        <w:spacing w:before="240" w:after="120"/>
        <w:ind w:left="992" w:hanging="992"/>
        <w:rPr>
          <w:rFonts w:ascii="Verdana" w:hAnsi="Verdana" w:cs="Arial"/>
        </w:rPr>
      </w:pPr>
      <w:r w:rsidRPr="006D2270">
        <w:rPr>
          <w:rFonts w:ascii="Verdana" w:hAnsi="Verdana" w:cs="Arial"/>
        </w:rPr>
        <w:t>Ta</w:t>
      </w:r>
      <w:r>
        <w:rPr>
          <w:rFonts w:ascii="Verdana" w:hAnsi="Verdana" w:cs="Arial"/>
        </w:rPr>
        <w:t>bela</w:t>
      </w:r>
      <w:r w:rsidRPr="006D2270">
        <w:rPr>
          <w:rFonts w:ascii="Verdana" w:hAnsi="Verdana" w:cs="Arial"/>
        </w:rPr>
        <w:t xml:space="preserve"> </w:t>
      </w:r>
      <w:r>
        <w:rPr>
          <w:rFonts w:ascii="Verdana" w:hAnsi="Verdana" w:cs="Arial"/>
        </w:rPr>
        <w:t>7</w:t>
      </w:r>
      <w:r w:rsidRPr="006D2270">
        <w:rPr>
          <w:rFonts w:ascii="Verdana" w:hAnsi="Verdana" w:cs="Arial"/>
        </w:rPr>
        <w:t>.</w:t>
      </w:r>
      <w:r w:rsidRPr="006D2270">
        <w:rPr>
          <w:rFonts w:ascii="Verdana" w:hAnsi="Verdana" w:cs="Arial"/>
        </w:rPr>
        <w:tab/>
        <w:t>Uziarnienie mieszanki mineralnej oraz zawartość lepiszcza do betonu asfaltowego do warstwy ścieralnej dla KR 3</w:t>
      </w:r>
      <w:r>
        <w:rPr>
          <w:rFonts w:ascii="Verdana" w:hAnsi="Verdana" w:cs="Arial"/>
        </w:rPr>
        <w:t>÷</w:t>
      </w:r>
      <w:r w:rsidRPr="006D2270">
        <w:rPr>
          <w:rFonts w:ascii="Verdana" w:hAnsi="Verdana" w:cs="Arial"/>
        </w:rPr>
        <w:t xml:space="preserve">4 [65]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0"/>
        <w:gridCol w:w="1234"/>
        <w:gridCol w:w="1321"/>
        <w:gridCol w:w="1388"/>
        <w:gridCol w:w="1943"/>
      </w:tblGrid>
      <w:tr w:rsidR="00683496" w:rsidRPr="006D2270" w:rsidTr="00683496">
        <w:trPr>
          <w:trHeight w:val="201"/>
        </w:trPr>
        <w:tc>
          <w:tcPr>
            <w:tcW w:w="3100" w:type="dxa"/>
            <w:vMerge w:val="restart"/>
            <w:vAlign w:val="center"/>
          </w:tcPr>
          <w:p w:rsidR="00683496" w:rsidRPr="006D2270" w:rsidRDefault="00683496" w:rsidP="00683496">
            <w:pPr>
              <w:jc w:val="center"/>
              <w:rPr>
                <w:rFonts w:ascii="Verdana" w:hAnsi="Verdana" w:cs="Arial"/>
              </w:rPr>
            </w:pPr>
            <w:r w:rsidRPr="006D2270">
              <w:rPr>
                <w:rFonts w:ascii="Verdana" w:hAnsi="Verdana" w:cs="Arial"/>
              </w:rPr>
              <w:t>Właściwość</w:t>
            </w:r>
          </w:p>
        </w:tc>
        <w:tc>
          <w:tcPr>
            <w:tcW w:w="5885" w:type="dxa"/>
            <w:gridSpan w:val="4"/>
          </w:tcPr>
          <w:p w:rsidR="00683496" w:rsidRPr="006D2270" w:rsidRDefault="00683496" w:rsidP="00683496">
            <w:pPr>
              <w:jc w:val="center"/>
              <w:rPr>
                <w:rFonts w:ascii="Verdana" w:hAnsi="Verdana" w:cs="Arial"/>
              </w:rPr>
            </w:pPr>
            <w:r w:rsidRPr="006D2270">
              <w:rPr>
                <w:rFonts w:ascii="Verdana" w:hAnsi="Verdana" w:cs="Arial"/>
              </w:rPr>
              <w:t>Przesiew,   [% (m/m)]</w:t>
            </w:r>
          </w:p>
        </w:tc>
      </w:tr>
      <w:tr w:rsidR="00683496" w:rsidRPr="006D2270" w:rsidTr="00683496">
        <w:trPr>
          <w:trHeight w:val="120"/>
        </w:trPr>
        <w:tc>
          <w:tcPr>
            <w:tcW w:w="3100" w:type="dxa"/>
            <w:vMerge/>
          </w:tcPr>
          <w:p w:rsidR="00683496" w:rsidRPr="006D2270" w:rsidRDefault="00683496" w:rsidP="00683496">
            <w:pPr>
              <w:jc w:val="center"/>
              <w:rPr>
                <w:rFonts w:ascii="Verdana" w:hAnsi="Verdana" w:cs="Arial"/>
              </w:rPr>
            </w:pPr>
          </w:p>
        </w:tc>
        <w:tc>
          <w:tcPr>
            <w:tcW w:w="2555" w:type="dxa"/>
            <w:gridSpan w:val="2"/>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3330" w:type="dxa"/>
            <w:gridSpan w:val="2"/>
          </w:tcPr>
          <w:p w:rsidR="00683496" w:rsidRPr="006D2270" w:rsidRDefault="00683496" w:rsidP="00683496">
            <w:pPr>
              <w:jc w:val="center"/>
              <w:rPr>
                <w:rFonts w:ascii="Verdana" w:hAnsi="Verdana" w:cs="Arial"/>
              </w:rPr>
            </w:pPr>
            <w:r w:rsidRPr="006D2270">
              <w:rPr>
                <w:rFonts w:ascii="Verdana" w:hAnsi="Verdana" w:cs="Arial"/>
              </w:rPr>
              <w:t>AC 11S</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sidRPr="006D2270">
              <w:rPr>
                <w:rFonts w:ascii="Verdana" w:hAnsi="Verdana" w:cs="Arial"/>
              </w:rPr>
              <w:t>Wymiar sita #, [mm]</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sidRPr="006D2270">
              <w:rPr>
                <w:rFonts w:ascii="Verdana" w:hAnsi="Verdana" w:cs="Arial"/>
              </w:rPr>
              <w:t>od</w:t>
            </w:r>
          </w:p>
        </w:tc>
        <w:tc>
          <w:tcPr>
            <w:tcW w:w="1943" w:type="dxa"/>
          </w:tcPr>
          <w:p w:rsidR="00683496" w:rsidRPr="006D2270" w:rsidRDefault="00683496" w:rsidP="00683496">
            <w:pPr>
              <w:jc w:val="center"/>
              <w:rPr>
                <w:rFonts w:ascii="Verdana" w:hAnsi="Verdana" w:cs="Arial"/>
              </w:rPr>
            </w:pPr>
            <w:r>
              <w:rPr>
                <w:rFonts w:ascii="Verdana" w:hAnsi="Verdana" w:cs="Arial"/>
              </w:rPr>
              <w:t>d</w:t>
            </w:r>
            <w:r w:rsidRPr="006D2270">
              <w:rPr>
                <w:rFonts w:ascii="Verdana" w:hAnsi="Verdana" w:cs="Arial"/>
              </w:rPr>
              <w:t>o</w:t>
            </w:r>
          </w:p>
        </w:tc>
      </w:tr>
      <w:tr w:rsidR="00683496" w:rsidRPr="006D2270" w:rsidTr="00683496">
        <w:trPr>
          <w:trHeight w:val="188"/>
        </w:trPr>
        <w:tc>
          <w:tcPr>
            <w:tcW w:w="3100" w:type="dxa"/>
          </w:tcPr>
          <w:p w:rsidR="00683496" w:rsidRPr="006D2270" w:rsidRDefault="00683496" w:rsidP="00683496">
            <w:pPr>
              <w:jc w:val="center"/>
              <w:rPr>
                <w:rFonts w:ascii="Verdana" w:hAnsi="Verdana" w:cs="Arial"/>
              </w:rPr>
            </w:pPr>
            <w:r w:rsidRPr="006D2270">
              <w:rPr>
                <w:rFonts w:ascii="Verdana" w:hAnsi="Verdana" w:cs="Arial"/>
              </w:rPr>
              <w:t>16</w:t>
            </w:r>
            <w:r>
              <w:rPr>
                <w:rFonts w:ascii="Verdana" w:hAnsi="Verdana" w:cs="Arial"/>
              </w:rPr>
              <w:t>,0</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sidRPr="006D2270">
              <w:rPr>
                <w:rFonts w:ascii="Verdana" w:hAnsi="Verdana" w:cs="Arial"/>
              </w:rPr>
              <w:t>100</w:t>
            </w:r>
          </w:p>
        </w:tc>
        <w:tc>
          <w:tcPr>
            <w:tcW w:w="1943" w:type="dxa"/>
          </w:tcPr>
          <w:p w:rsidR="00683496" w:rsidRPr="006D2270" w:rsidRDefault="00683496" w:rsidP="00683496">
            <w:pPr>
              <w:jc w:val="center"/>
              <w:rPr>
                <w:rFonts w:ascii="Verdana" w:hAnsi="Verdana" w:cs="Arial"/>
              </w:rPr>
            </w:pPr>
            <w:r w:rsidRPr="006D2270">
              <w:rPr>
                <w:rFonts w:ascii="Verdana" w:hAnsi="Verdana" w:cs="Arial"/>
              </w:rPr>
              <w:t>-</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sidRPr="006D2270">
              <w:rPr>
                <w:rFonts w:ascii="Verdana" w:hAnsi="Verdana" w:cs="Arial"/>
              </w:rPr>
              <w:t>11,2</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sidRPr="006D2270">
              <w:rPr>
                <w:rFonts w:ascii="Verdana" w:hAnsi="Verdana" w:cs="Arial"/>
              </w:rPr>
              <w:t>90</w:t>
            </w:r>
          </w:p>
        </w:tc>
        <w:tc>
          <w:tcPr>
            <w:tcW w:w="1943" w:type="dxa"/>
          </w:tcPr>
          <w:p w:rsidR="00683496" w:rsidRPr="006D2270" w:rsidRDefault="00683496" w:rsidP="00683496">
            <w:pPr>
              <w:jc w:val="center"/>
              <w:rPr>
                <w:rFonts w:ascii="Verdana" w:hAnsi="Verdana" w:cs="Arial"/>
              </w:rPr>
            </w:pPr>
            <w:r w:rsidRPr="006D2270">
              <w:rPr>
                <w:rFonts w:ascii="Verdana" w:hAnsi="Verdana" w:cs="Arial"/>
              </w:rPr>
              <w:t>100</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sidRPr="006D2270">
              <w:rPr>
                <w:rFonts w:ascii="Verdana" w:hAnsi="Verdana" w:cs="Arial"/>
              </w:rPr>
              <w:t>8</w:t>
            </w:r>
            <w:r>
              <w:rPr>
                <w:rFonts w:ascii="Verdana" w:hAnsi="Verdana" w:cs="Arial"/>
              </w:rPr>
              <w:t>,0</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sidRPr="006D2270">
              <w:rPr>
                <w:rFonts w:ascii="Verdana" w:hAnsi="Verdana" w:cs="Arial"/>
              </w:rPr>
              <w:t>60</w:t>
            </w:r>
          </w:p>
        </w:tc>
        <w:tc>
          <w:tcPr>
            <w:tcW w:w="1943" w:type="dxa"/>
          </w:tcPr>
          <w:p w:rsidR="00683496" w:rsidRPr="006D2270" w:rsidRDefault="00683496" w:rsidP="00683496">
            <w:pPr>
              <w:jc w:val="center"/>
              <w:rPr>
                <w:rFonts w:ascii="Verdana" w:hAnsi="Verdana" w:cs="Arial"/>
              </w:rPr>
            </w:pPr>
            <w:r w:rsidRPr="006D2270">
              <w:rPr>
                <w:rFonts w:ascii="Verdana" w:hAnsi="Verdana" w:cs="Arial"/>
              </w:rPr>
              <w:t>90</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sidRPr="006D2270">
              <w:rPr>
                <w:rFonts w:ascii="Verdana" w:hAnsi="Verdana" w:cs="Arial"/>
              </w:rPr>
              <w:t>5,6</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Pr>
                <w:rFonts w:ascii="Verdana" w:hAnsi="Verdana" w:cs="Arial"/>
              </w:rPr>
              <w:t>48</w:t>
            </w:r>
          </w:p>
        </w:tc>
        <w:tc>
          <w:tcPr>
            <w:tcW w:w="1943" w:type="dxa"/>
          </w:tcPr>
          <w:p w:rsidR="00683496" w:rsidRPr="006D2270" w:rsidRDefault="00683496" w:rsidP="00683496">
            <w:pPr>
              <w:jc w:val="center"/>
              <w:rPr>
                <w:rFonts w:ascii="Verdana" w:hAnsi="Verdana" w:cs="Arial"/>
              </w:rPr>
            </w:pPr>
            <w:r>
              <w:rPr>
                <w:rFonts w:ascii="Verdana" w:hAnsi="Verdana" w:cs="Arial"/>
              </w:rPr>
              <w:t>75</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Pr>
                <w:rFonts w:ascii="Verdana" w:hAnsi="Verdana" w:cs="Arial"/>
              </w:rPr>
              <w:t>4,0</w:t>
            </w:r>
          </w:p>
        </w:tc>
        <w:tc>
          <w:tcPr>
            <w:tcW w:w="1234" w:type="dxa"/>
          </w:tcPr>
          <w:p w:rsidR="00683496" w:rsidRPr="006D2270" w:rsidRDefault="00683496" w:rsidP="00683496">
            <w:pPr>
              <w:jc w:val="center"/>
              <w:rPr>
                <w:rFonts w:ascii="Verdana" w:hAnsi="Verdana" w:cs="Arial"/>
                <w:b/>
                <w:strike/>
              </w:rPr>
            </w:pPr>
          </w:p>
        </w:tc>
        <w:tc>
          <w:tcPr>
            <w:tcW w:w="1321" w:type="dxa"/>
          </w:tcPr>
          <w:p w:rsidR="00683496" w:rsidRPr="006D2270" w:rsidRDefault="00683496" w:rsidP="00683496">
            <w:pPr>
              <w:jc w:val="center"/>
              <w:rPr>
                <w:rFonts w:ascii="Verdana" w:hAnsi="Verdana" w:cs="Arial"/>
                <w:b/>
                <w:strike/>
              </w:rPr>
            </w:pPr>
          </w:p>
        </w:tc>
        <w:tc>
          <w:tcPr>
            <w:tcW w:w="1388" w:type="dxa"/>
          </w:tcPr>
          <w:p w:rsidR="00683496" w:rsidRPr="006D2270" w:rsidRDefault="00683496" w:rsidP="00683496">
            <w:pPr>
              <w:jc w:val="center"/>
              <w:rPr>
                <w:rFonts w:ascii="Verdana" w:hAnsi="Verdana" w:cs="Arial"/>
              </w:rPr>
            </w:pPr>
            <w:r>
              <w:rPr>
                <w:rFonts w:ascii="Verdana" w:hAnsi="Verdana" w:cs="Arial"/>
              </w:rPr>
              <w:t>42</w:t>
            </w:r>
          </w:p>
        </w:tc>
        <w:tc>
          <w:tcPr>
            <w:tcW w:w="1943" w:type="dxa"/>
          </w:tcPr>
          <w:p w:rsidR="00683496" w:rsidRPr="006D2270" w:rsidRDefault="00683496" w:rsidP="00683496">
            <w:pPr>
              <w:jc w:val="center"/>
              <w:rPr>
                <w:rFonts w:ascii="Verdana" w:hAnsi="Verdana" w:cs="Arial"/>
              </w:rPr>
            </w:pPr>
            <w:r>
              <w:rPr>
                <w:rFonts w:ascii="Verdana" w:hAnsi="Verdana" w:cs="Arial"/>
              </w:rPr>
              <w:t>60</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sidRPr="006D2270">
              <w:rPr>
                <w:rFonts w:ascii="Verdana" w:hAnsi="Verdana" w:cs="Arial"/>
              </w:rPr>
              <w:t>2</w:t>
            </w:r>
            <w:r>
              <w:rPr>
                <w:rFonts w:ascii="Verdana" w:hAnsi="Verdana" w:cs="Arial"/>
              </w:rPr>
              <w:t>,0</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sidRPr="006D2270">
              <w:rPr>
                <w:rFonts w:ascii="Verdana" w:hAnsi="Verdana" w:cs="Arial"/>
              </w:rPr>
              <w:t>35</w:t>
            </w:r>
          </w:p>
        </w:tc>
        <w:tc>
          <w:tcPr>
            <w:tcW w:w="1943" w:type="dxa"/>
          </w:tcPr>
          <w:p w:rsidR="00683496" w:rsidRPr="006D2270" w:rsidRDefault="00683496" w:rsidP="00683496">
            <w:pPr>
              <w:jc w:val="center"/>
              <w:rPr>
                <w:rFonts w:ascii="Verdana" w:hAnsi="Verdana" w:cs="Arial"/>
              </w:rPr>
            </w:pPr>
            <w:r w:rsidRPr="006D2270">
              <w:rPr>
                <w:rFonts w:ascii="Verdana" w:hAnsi="Verdana" w:cs="Arial"/>
              </w:rPr>
              <w:t>50</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sidRPr="006D2270">
              <w:rPr>
                <w:rFonts w:ascii="Verdana" w:hAnsi="Verdana" w:cs="Arial"/>
              </w:rPr>
              <w:t>0,125</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sidRPr="006D2270">
              <w:rPr>
                <w:rFonts w:ascii="Verdana" w:hAnsi="Verdana" w:cs="Arial"/>
              </w:rPr>
              <w:t>8</w:t>
            </w:r>
          </w:p>
        </w:tc>
        <w:tc>
          <w:tcPr>
            <w:tcW w:w="1943" w:type="dxa"/>
          </w:tcPr>
          <w:p w:rsidR="00683496" w:rsidRPr="006D2270" w:rsidRDefault="00683496" w:rsidP="00683496">
            <w:pPr>
              <w:jc w:val="center"/>
              <w:rPr>
                <w:rFonts w:ascii="Verdana" w:hAnsi="Verdana" w:cs="Arial"/>
              </w:rPr>
            </w:pPr>
            <w:r w:rsidRPr="006D2270">
              <w:rPr>
                <w:rFonts w:ascii="Verdana" w:hAnsi="Verdana" w:cs="Arial"/>
              </w:rPr>
              <w:t>20</w:t>
            </w:r>
          </w:p>
        </w:tc>
      </w:tr>
      <w:tr w:rsidR="00683496" w:rsidRPr="006D2270" w:rsidTr="00683496">
        <w:trPr>
          <w:trHeight w:val="201"/>
        </w:trPr>
        <w:tc>
          <w:tcPr>
            <w:tcW w:w="3100" w:type="dxa"/>
          </w:tcPr>
          <w:p w:rsidR="00683496" w:rsidRPr="006D2270" w:rsidRDefault="00683496" w:rsidP="00683496">
            <w:pPr>
              <w:jc w:val="center"/>
              <w:rPr>
                <w:rFonts w:ascii="Verdana" w:hAnsi="Verdana" w:cs="Arial"/>
              </w:rPr>
            </w:pPr>
            <w:r w:rsidRPr="006D2270">
              <w:rPr>
                <w:rFonts w:ascii="Verdana" w:hAnsi="Verdana" w:cs="Arial"/>
              </w:rPr>
              <w:t>0,063</w:t>
            </w:r>
          </w:p>
        </w:tc>
        <w:tc>
          <w:tcPr>
            <w:tcW w:w="1234"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21" w:type="dxa"/>
          </w:tcPr>
          <w:p w:rsidR="00683496" w:rsidRPr="006D2270" w:rsidRDefault="00683496" w:rsidP="00683496">
            <w:pPr>
              <w:jc w:val="center"/>
              <w:rPr>
                <w:rFonts w:ascii="Verdana" w:hAnsi="Verdana" w:cs="Arial"/>
                <w:b/>
                <w:strike/>
              </w:rPr>
            </w:pPr>
            <w:r w:rsidRPr="006D2270">
              <w:rPr>
                <w:rFonts w:ascii="Verdana" w:hAnsi="Verdana" w:cs="Arial"/>
                <w:b/>
                <w:strike/>
              </w:rPr>
              <w:t>-</w:t>
            </w:r>
          </w:p>
        </w:tc>
        <w:tc>
          <w:tcPr>
            <w:tcW w:w="1388" w:type="dxa"/>
          </w:tcPr>
          <w:p w:rsidR="00683496" w:rsidRPr="006D2270" w:rsidRDefault="00683496" w:rsidP="00683496">
            <w:pPr>
              <w:jc w:val="center"/>
              <w:rPr>
                <w:rFonts w:ascii="Verdana" w:hAnsi="Verdana" w:cs="Arial"/>
              </w:rPr>
            </w:pPr>
            <w:r w:rsidRPr="006D2270">
              <w:rPr>
                <w:rFonts w:ascii="Verdana" w:hAnsi="Verdana" w:cs="Arial"/>
              </w:rPr>
              <w:t>5,0</w:t>
            </w:r>
          </w:p>
        </w:tc>
        <w:tc>
          <w:tcPr>
            <w:tcW w:w="1943" w:type="dxa"/>
          </w:tcPr>
          <w:p w:rsidR="00683496" w:rsidRPr="006D2270" w:rsidRDefault="00683496" w:rsidP="00683496">
            <w:pPr>
              <w:jc w:val="center"/>
              <w:rPr>
                <w:rFonts w:ascii="Verdana" w:hAnsi="Verdana" w:cs="Arial"/>
              </w:rPr>
            </w:pPr>
            <w:r w:rsidRPr="006D2270">
              <w:rPr>
                <w:rFonts w:ascii="Verdana" w:hAnsi="Verdana" w:cs="Arial"/>
              </w:rPr>
              <w:t>11,0</w:t>
            </w:r>
          </w:p>
        </w:tc>
      </w:tr>
      <w:tr w:rsidR="00683496" w:rsidRPr="006D2270" w:rsidTr="00683496">
        <w:trPr>
          <w:trHeight w:val="501"/>
        </w:trPr>
        <w:tc>
          <w:tcPr>
            <w:tcW w:w="3100" w:type="dxa"/>
          </w:tcPr>
          <w:p w:rsidR="00683496" w:rsidRPr="006D2270" w:rsidRDefault="00683496" w:rsidP="00683496">
            <w:pPr>
              <w:spacing w:before="60" w:after="60"/>
              <w:rPr>
                <w:rFonts w:ascii="Verdana" w:hAnsi="Verdana" w:cs="Arial"/>
                <w:vertAlign w:val="superscript"/>
              </w:rPr>
            </w:pPr>
            <w:r w:rsidRPr="006D2270">
              <w:rPr>
                <w:rFonts w:ascii="Verdana" w:hAnsi="Verdana" w:cs="Arial"/>
              </w:rPr>
              <w:t>Zawartość lepiszcza, minimum</w:t>
            </w:r>
            <w:r w:rsidRPr="006D2270">
              <w:rPr>
                <w:rFonts w:ascii="Verdana" w:hAnsi="Verdana" w:cs="Arial"/>
                <w:vertAlign w:val="superscript"/>
              </w:rPr>
              <w:t>*)</w:t>
            </w:r>
          </w:p>
        </w:tc>
        <w:tc>
          <w:tcPr>
            <w:tcW w:w="2555" w:type="dxa"/>
            <w:gridSpan w:val="2"/>
          </w:tcPr>
          <w:p w:rsidR="00683496" w:rsidRPr="006D2270" w:rsidRDefault="00683496" w:rsidP="00683496">
            <w:pPr>
              <w:spacing w:before="60" w:after="60"/>
              <w:jc w:val="center"/>
              <w:rPr>
                <w:rFonts w:ascii="Verdana" w:hAnsi="Verdana" w:cs="Arial"/>
                <w:b/>
                <w:strike/>
              </w:rPr>
            </w:pPr>
            <w:r w:rsidRPr="006D2270">
              <w:rPr>
                <w:rFonts w:ascii="Verdana" w:hAnsi="Verdana" w:cs="Arial"/>
                <w:b/>
                <w:strike/>
              </w:rPr>
              <w:t>-</w:t>
            </w:r>
          </w:p>
        </w:tc>
        <w:tc>
          <w:tcPr>
            <w:tcW w:w="3330" w:type="dxa"/>
            <w:gridSpan w:val="2"/>
            <w:vAlign w:val="center"/>
          </w:tcPr>
          <w:p w:rsidR="00683496" w:rsidRPr="006D2270" w:rsidRDefault="00683496" w:rsidP="00683496">
            <w:pPr>
              <w:spacing w:before="60" w:after="60"/>
              <w:jc w:val="center"/>
              <w:rPr>
                <w:rFonts w:ascii="Verdana" w:hAnsi="Verdana" w:cs="Arial"/>
              </w:rPr>
            </w:pPr>
            <w:proofErr w:type="spellStart"/>
            <w:r w:rsidRPr="006D2270">
              <w:rPr>
                <w:rFonts w:ascii="Verdana" w:hAnsi="Verdana" w:cs="Arial"/>
              </w:rPr>
              <w:t>B</w:t>
            </w:r>
            <w:r w:rsidRPr="006D2270">
              <w:rPr>
                <w:rFonts w:ascii="Verdana" w:hAnsi="Verdana" w:cs="Arial"/>
                <w:vertAlign w:val="subscript"/>
              </w:rPr>
              <w:t>min</w:t>
            </w:r>
            <w:proofErr w:type="spellEnd"/>
            <w:r>
              <w:rPr>
                <w:rFonts w:ascii="Verdana" w:hAnsi="Verdana" w:cs="Arial"/>
                <w:vertAlign w:val="subscript"/>
              </w:rPr>
              <w:t xml:space="preserve"> </w:t>
            </w:r>
            <w:r w:rsidRPr="006D2270">
              <w:rPr>
                <w:rFonts w:ascii="Verdana" w:hAnsi="Verdana" w:cs="Arial"/>
                <w:vertAlign w:val="subscript"/>
              </w:rPr>
              <w:t>5,</w:t>
            </w:r>
            <w:r>
              <w:rPr>
                <w:rFonts w:ascii="Verdana" w:hAnsi="Verdana" w:cs="Arial"/>
                <w:vertAlign w:val="subscript"/>
              </w:rPr>
              <w:t>8</w:t>
            </w:r>
          </w:p>
        </w:tc>
      </w:tr>
      <w:tr w:rsidR="00683496" w:rsidRPr="006D2270" w:rsidTr="00683496">
        <w:trPr>
          <w:trHeight w:val="1650"/>
        </w:trPr>
        <w:tc>
          <w:tcPr>
            <w:tcW w:w="8985" w:type="dxa"/>
            <w:gridSpan w:val="5"/>
          </w:tcPr>
          <w:p w:rsidR="00683496" w:rsidRPr="006D2270" w:rsidRDefault="00683496" w:rsidP="00683496">
            <w:pPr>
              <w:rPr>
                <w:rFonts w:ascii="Verdana" w:hAnsi="Verdana" w:cs="Arial"/>
              </w:rPr>
            </w:pPr>
            <w:r w:rsidRPr="006D2270">
              <w:rPr>
                <w:rFonts w:ascii="Verdana" w:hAnsi="Verdana" w:cs="Arial"/>
                <w:vertAlign w:val="superscript"/>
              </w:rPr>
              <w:t>*)</w:t>
            </w:r>
            <w:r w:rsidRPr="006D2270">
              <w:rPr>
                <w:rFonts w:ascii="Verdana" w:hAnsi="Verdana" w:cs="Arial"/>
              </w:rPr>
              <w:t xml:space="preserve"> Minimalna zawartość lepiszcza jest określona przy założone</w:t>
            </w:r>
            <w:r>
              <w:rPr>
                <w:rFonts w:ascii="Verdana" w:hAnsi="Verdana" w:cs="Arial"/>
              </w:rPr>
              <w:t xml:space="preserve">j gęstości mieszanki mineralnej </w:t>
            </w:r>
            <w:r w:rsidRPr="006D2270">
              <w:rPr>
                <w:rFonts w:ascii="Verdana" w:hAnsi="Verdana" w:cs="Arial"/>
              </w:rPr>
              <w:t>2,650 Mg/m</w:t>
            </w:r>
            <w:r w:rsidRPr="006D2270">
              <w:rPr>
                <w:rFonts w:ascii="Verdana" w:hAnsi="Verdana" w:cs="Arial"/>
                <w:vertAlign w:val="superscript"/>
              </w:rPr>
              <w:t>3</w:t>
            </w:r>
            <w:r w:rsidRPr="006D2270">
              <w:rPr>
                <w:rFonts w:ascii="Verdana" w:hAnsi="Verdana" w:cs="Arial"/>
              </w:rPr>
              <w:t xml:space="preserve">. </w:t>
            </w:r>
          </w:p>
          <w:p w:rsidR="00683496" w:rsidRPr="006D2270" w:rsidRDefault="00683496" w:rsidP="00683496">
            <w:pPr>
              <w:rPr>
                <w:rFonts w:ascii="Verdana" w:hAnsi="Verdana" w:cs="Arial"/>
              </w:rPr>
            </w:pPr>
            <w:r w:rsidRPr="006D2270">
              <w:rPr>
                <w:rFonts w:ascii="Verdana" w:hAnsi="Verdana" w:cs="Arial"/>
              </w:rPr>
              <w:t>Jeżeli stosowana mieszanka mineralna ma inną gęstość (</w:t>
            </w:r>
            <w:proofErr w:type="spellStart"/>
            <w:r w:rsidRPr="006D2270">
              <w:rPr>
                <w:rFonts w:ascii="Verdana" w:hAnsi="Verdana" w:cs="Arial"/>
                <w:i/>
              </w:rPr>
              <w:t>ρ</w:t>
            </w:r>
            <w:r w:rsidRPr="006D2270">
              <w:rPr>
                <w:rFonts w:ascii="Verdana" w:hAnsi="Verdana" w:cs="Arial"/>
                <w:vertAlign w:val="subscript"/>
              </w:rPr>
              <w:t>d</w:t>
            </w:r>
            <w:proofErr w:type="spellEnd"/>
            <w:r w:rsidRPr="006D2270">
              <w:rPr>
                <w:rFonts w:ascii="Verdana" w:hAnsi="Verdana" w:cs="Arial"/>
              </w:rPr>
              <w:t xml:space="preserve">), to do wyznaczenia minimalnej zawartości lepiszcza podaną wartość należy pomnożyć przez współczynnik </w:t>
            </w:r>
            <w:r w:rsidR="00E07AC4">
              <w:rPr>
                <w:rFonts w:ascii="Verdana" w:hAnsi="Verdana" w:cs="Arial"/>
                <w:position w:val="-6"/>
              </w:rPr>
              <w:pict>
                <v:shape id="_x0000_i1031" type="#_x0000_t75" style="width:12pt;height:11.25pt">
                  <v:imagedata r:id="rId13" o:title=""/>
                </v:shape>
              </w:pict>
            </w:r>
            <w:r w:rsidRPr="006D2270">
              <w:rPr>
                <w:rFonts w:ascii="Verdana" w:hAnsi="Verdana" w:cs="Arial"/>
              </w:rPr>
              <w:t xml:space="preserve"> według równania: </w:t>
            </w:r>
            <w:r w:rsidR="00E07AC4">
              <w:rPr>
                <w:rFonts w:ascii="Verdana" w:hAnsi="Verdana" w:cs="Arial"/>
                <w:position w:val="-30"/>
              </w:rPr>
              <w:pict>
                <v:shape id="_x0000_i1032" type="#_x0000_t75" style="width:44.25pt;height:33.75pt">
                  <v:imagedata r:id="rId14" o:title=""/>
                </v:shape>
              </w:pict>
            </w:r>
          </w:p>
        </w:tc>
      </w:tr>
    </w:tbl>
    <w:p w:rsidR="00683496" w:rsidRPr="006D2270" w:rsidRDefault="00683496" w:rsidP="00683496">
      <w:pPr>
        <w:rPr>
          <w:rFonts w:ascii="Verdana" w:hAnsi="Verdana" w:cs="Arial"/>
        </w:rPr>
      </w:pPr>
    </w:p>
    <w:p w:rsidR="00683496" w:rsidRDefault="00683496" w:rsidP="00683496">
      <w:pPr>
        <w:rPr>
          <w:rFonts w:ascii="Verdana" w:hAnsi="Verdana" w:cs="Arial"/>
        </w:rPr>
      </w:pPr>
      <w:r w:rsidRPr="006D2270">
        <w:rPr>
          <w:rFonts w:ascii="Verdana" w:hAnsi="Verdana" w:cs="Arial"/>
        </w:rPr>
        <w:lastRenderedPageBreak/>
        <w:t>Wymagane właściwości mieszanki mineralno-asfaltowej podane są w tab</w:t>
      </w:r>
      <w:r>
        <w:rPr>
          <w:rFonts w:ascii="Verdana" w:hAnsi="Verdana" w:cs="Arial"/>
        </w:rPr>
        <w:t>eli</w:t>
      </w:r>
      <w:r w:rsidRPr="006D2270">
        <w:rPr>
          <w:rFonts w:ascii="Verdana" w:hAnsi="Verdana" w:cs="Arial"/>
        </w:rPr>
        <w:t xml:space="preserve"> </w:t>
      </w:r>
      <w:r>
        <w:rPr>
          <w:rFonts w:ascii="Verdana" w:hAnsi="Verdana" w:cs="Arial"/>
        </w:rPr>
        <w:t>8.</w:t>
      </w:r>
    </w:p>
    <w:p w:rsidR="00683496" w:rsidRPr="006D2270" w:rsidRDefault="00683496" w:rsidP="00683496">
      <w:pPr>
        <w:tabs>
          <w:tab w:val="left" w:pos="993"/>
          <w:tab w:val="left" w:pos="1134"/>
        </w:tabs>
        <w:spacing w:before="240" w:after="120"/>
        <w:ind w:left="993" w:hanging="993"/>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w:t>
      </w:r>
      <w:r>
        <w:rPr>
          <w:rFonts w:ascii="Verdana" w:hAnsi="Verdana" w:cs="Arial"/>
        </w:rPr>
        <w:t>8</w:t>
      </w:r>
      <w:r w:rsidRPr="006D2270">
        <w:rPr>
          <w:rFonts w:ascii="Verdana" w:hAnsi="Verdana" w:cs="Arial"/>
        </w:rPr>
        <w:t>. Wymagane właściwości mieszanki mineralno-asfaltowej do warstwy ścieralnej,                                         przy ruchu KR 3</w:t>
      </w:r>
      <w:r>
        <w:rPr>
          <w:rFonts w:ascii="Verdana" w:hAnsi="Verdana" w:cs="Arial"/>
        </w:rPr>
        <w:t>÷</w:t>
      </w:r>
      <w:r w:rsidRPr="006D2270">
        <w:rPr>
          <w:rFonts w:ascii="Verdana" w:hAnsi="Verdana" w:cs="Arial"/>
        </w:rPr>
        <w:t>4 [65]</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842"/>
        <w:gridCol w:w="3261"/>
        <w:gridCol w:w="2409"/>
      </w:tblGrid>
      <w:tr w:rsidR="00683496" w:rsidRPr="006D2270" w:rsidTr="00683496">
        <w:tc>
          <w:tcPr>
            <w:tcW w:w="1668" w:type="dxa"/>
            <w:vAlign w:val="center"/>
          </w:tcPr>
          <w:p w:rsidR="00683496" w:rsidRPr="006D2270" w:rsidRDefault="00683496" w:rsidP="00683496">
            <w:pPr>
              <w:jc w:val="center"/>
              <w:rPr>
                <w:rFonts w:ascii="Verdana" w:hAnsi="Verdana" w:cs="Arial"/>
              </w:rPr>
            </w:pPr>
            <w:r w:rsidRPr="006D2270">
              <w:rPr>
                <w:rFonts w:ascii="Verdana" w:hAnsi="Verdana" w:cs="Arial"/>
              </w:rPr>
              <w:t>Właściwość</w:t>
            </w:r>
          </w:p>
        </w:tc>
        <w:tc>
          <w:tcPr>
            <w:tcW w:w="1842" w:type="dxa"/>
          </w:tcPr>
          <w:p w:rsidR="00683496" w:rsidRPr="006D2270" w:rsidRDefault="00683496" w:rsidP="00683496">
            <w:pPr>
              <w:jc w:val="center"/>
              <w:rPr>
                <w:rFonts w:ascii="Verdana" w:hAnsi="Verdana" w:cs="Arial"/>
              </w:rPr>
            </w:pPr>
            <w:r w:rsidRPr="006D2270">
              <w:rPr>
                <w:rFonts w:ascii="Verdana" w:hAnsi="Verdana" w:cs="Arial"/>
              </w:rPr>
              <w:t xml:space="preserve">Warunki zagęszczania wg PN-EN </w:t>
            </w:r>
          </w:p>
          <w:p w:rsidR="00683496" w:rsidRPr="006D2270" w:rsidRDefault="00683496" w:rsidP="00683496">
            <w:pPr>
              <w:jc w:val="center"/>
              <w:rPr>
                <w:rFonts w:ascii="Verdana" w:hAnsi="Verdana" w:cs="Arial"/>
              </w:rPr>
            </w:pPr>
            <w:r w:rsidRPr="006D2270">
              <w:rPr>
                <w:rFonts w:ascii="Verdana" w:hAnsi="Verdana" w:cs="Arial"/>
              </w:rPr>
              <w:t>13108-20  [48]</w:t>
            </w:r>
          </w:p>
        </w:tc>
        <w:tc>
          <w:tcPr>
            <w:tcW w:w="3261" w:type="dxa"/>
            <w:vAlign w:val="center"/>
          </w:tcPr>
          <w:p w:rsidR="00683496" w:rsidRPr="006D2270" w:rsidRDefault="00683496" w:rsidP="00683496">
            <w:pPr>
              <w:jc w:val="center"/>
              <w:rPr>
                <w:rFonts w:ascii="Verdana" w:hAnsi="Verdana" w:cs="Arial"/>
              </w:rPr>
            </w:pPr>
            <w:r w:rsidRPr="006D2270">
              <w:rPr>
                <w:rFonts w:ascii="Verdana" w:hAnsi="Verdana" w:cs="Arial"/>
              </w:rPr>
              <w:t>Metoda i warunki badania</w:t>
            </w:r>
          </w:p>
        </w:tc>
        <w:tc>
          <w:tcPr>
            <w:tcW w:w="2409" w:type="dxa"/>
            <w:vAlign w:val="center"/>
          </w:tcPr>
          <w:p w:rsidR="00683496" w:rsidRPr="006D2270" w:rsidRDefault="00683496" w:rsidP="00683496">
            <w:pPr>
              <w:jc w:val="center"/>
              <w:rPr>
                <w:rFonts w:ascii="Verdana" w:hAnsi="Verdana" w:cs="Arial"/>
              </w:rPr>
            </w:pPr>
            <w:r w:rsidRPr="006D2270">
              <w:rPr>
                <w:rFonts w:ascii="Verdana" w:hAnsi="Verdana" w:cs="Arial"/>
              </w:rPr>
              <w:t>AC 11</w:t>
            </w:r>
            <w:r>
              <w:rPr>
                <w:rFonts w:ascii="Verdana" w:hAnsi="Verdana" w:cs="Arial"/>
              </w:rPr>
              <w:t xml:space="preserve"> </w:t>
            </w:r>
            <w:r w:rsidRPr="006D2270">
              <w:rPr>
                <w:rFonts w:ascii="Verdana" w:hAnsi="Verdana" w:cs="Arial"/>
              </w:rPr>
              <w:t>S</w:t>
            </w:r>
          </w:p>
        </w:tc>
      </w:tr>
      <w:tr w:rsidR="00683496" w:rsidRPr="006D2270" w:rsidTr="00683496">
        <w:trPr>
          <w:trHeight w:val="642"/>
        </w:trPr>
        <w:tc>
          <w:tcPr>
            <w:tcW w:w="1668" w:type="dxa"/>
            <w:vAlign w:val="center"/>
          </w:tcPr>
          <w:p w:rsidR="00683496" w:rsidRPr="006D2270" w:rsidRDefault="00683496" w:rsidP="00683496">
            <w:pPr>
              <w:rPr>
                <w:rFonts w:ascii="Verdana" w:hAnsi="Verdana" w:cs="Arial"/>
              </w:rPr>
            </w:pPr>
            <w:r w:rsidRPr="006D2270">
              <w:rPr>
                <w:rFonts w:ascii="Verdana" w:hAnsi="Verdana" w:cs="Arial"/>
              </w:rPr>
              <w:t>Zawartość wolnych przestrzeni</w:t>
            </w:r>
          </w:p>
        </w:tc>
        <w:tc>
          <w:tcPr>
            <w:tcW w:w="1842" w:type="dxa"/>
            <w:vAlign w:val="center"/>
          </w:tcPr>
          <w:p w:rsidR="00683496" w:rsidRPr="006D2270" w:rsidRDefault="00683496" w:rsidP="00683496">
            <w:pPr>
              <w:rPr>
                <w:rFonts w:ascii="Verdana" w:hAnsi="Verdana" w:cs="Arial"/>
              </w:rPr>
            </w:pPr>
            <w:r w:rsidRPr="006D2270">
              <w:rPr>
                <w:rFonts w:ascii="Verdana" w:hAnsi="Verdana" w:cs="Arial"/>
              </w:rPr>
              <w:t>C.1.3, ubijanie, 2×75 uderzeń</w:t>
            </w:r>
          </w:p>
        </w:tc>
        <w:tc>
          <w:tcPr>
            <w:tcW w:w="3261" w:type="dxa"/>
            <w:vAlign w:val="center"/>
          </w:tcPr>
          <w:p w:rsidR="00683496" w:rsidRPr="006D2270" w:rsidRDefault="00683496" w:rsidP="00683496">
            <w:pPr>
              <w:jc w:val="center"/>
              <w:rPr>
                <w:rFonts w:ascii="Verdana" w:hAnsi="Verdana" w:cs="Arial"/>
              </w:rPr>
            </w:pPr>
            <w:r w:rsidRPr="006D2270">
              <w:rPr>
                <w:rFonts w:ascii="Verdana" w:hAnsi="Verdana" w:cs="Arial"/>
              </w:rPr>
              <w:t>PN-EN 12697-8 [33], p. 4</w:t>
            </w:r>
          </w:p>
        </w:tc>
        <w:tc>
          <w:tcPr>
            <w:tcW w:w="2409" w:type="dxa"/>
            <w:vAlign w:val="center"/>
          </w:tcPr>
          <w:p w:rsidR="00683496" w:rsidRPr="006D2270" w:rsidRDefault="00683496" w:rsidP="00683496">
            <w:pPr>
              <w:jc w:val="center"/>
              <w:rPr>
                <w:rFonts w:ascii="Verdana" w:hAnsi="Verdana" w:cs="Arial"/>
              </w:rPr>
            </w:pPr>
            <w:r w:rsidRPr="006D2270">
              <w:rPr>
                <w:rFonts w:ascii="Verdana" w:hAnsi="Verdana" w:cs="Arial"/>
                <w:i/>
              </w:rPr>
              <w:t>V</w:t>
            </w:r>
            <w:r w:rsidRPr="006D2270">
              <w:rPr>
                <w:rFonts w:ascii="Verdana" w:hAnsi="Verdana" w:cs="Arial"/>
                <w:vertAlign w:val="subscript"/>
              </w:rPr>
              <w:t>min2,0</w:t>
            </w:r>
          </w:p>
          <w:p w:rsidR="00683496" w:rsidRPr="006D2270" w:rsidRDefault="00683496" w:rsidP="00683496">
            <w:pPr>
              <w:jc w:val="center"/>
              <w:rPr>
                <w:rFonts w:ascii="Verdana" w:hAnsi="Verdana" w:cs="Arial"/>
              </w:rPr>
            </w:pPr>
            <w:r w:rsidRPr="006D2270">
              <w:rPr>
                <w:rFonts w:ascii="Verdana" w:hAnsi="Verdana" w:cs="Arial"/>
                <w:i/>
              </w:rPr>
              <w:t>V</w:t>
            </w:r>
            <w:r w:rsidRPr="006D2270">
              <w:rPr>
                <w:rFonts w:ascii="Verdana" w:hAnsi="Verdana" w:cs="Arial"/>
                <w:vertAlign w:val="subscript"/>
              </w:rPr>
              <w:t>max4,0</w:t>
            </w:r>
          </w:p>
        </w:tc>
      </w:tr>
      <w:tr w:rsidR="00683496" w:rsidRPr="006D2270" w:rsidTr="00683496">
        <w:trPr>
          <w:trHeight w:val="959"/>
        </w:trPr>
        <w:tc>
          <w:tcPr>
            <w:tcW w:w="1668" w:type="dxa"/>
            <w:vAlign w:val="center"/>
          </w:tcPr>
          <w:p w:rsidR="00683496" w:rsidRPr="006D2270" w:rsidRDefault="00683496" w:rsidP="00683496">
            <w:pPr>
              <w:rPr>
                <w:rFonts w:ascii="Verdana" w:hAnsi="Verdana" w:cs="Arial"/>
                <w:vertAlign w:val="superscript"/>
              </w:rPr>
            </w:pPr>
            <w:r w:rsidRPr="006D2270">
              <w:rPr>
                <w:rFonts w:ascii="Verdana" w:hAnsi="Verdana" w:cs="Arial"/>
              </w:rPr>
              <w:t xml:space="preserve">Odporność na deformacje </w:t>
            </w:r>
            <w:proofErr w:type="spellStart"/>
            <w:r w:rsidRPr="006D2270">
              <w:rPr>
                <w:rFonts w:ascii="Verdana" w:hAnsi="Verdana" w:cs="Arial"/>
              </w:rPr>
              <w:t>trwałe</w:t>
            </w:r>
            <w:r w:rsidRPr="006D2270">
              <w:rPr>
                <w:rFonts w:ascii="Verdana" w:hAnsi="Verdana" w:cs="Arial"/>
                <w:vertAlign w:val="superscript"/>
              </w:rPr>
              <w:t>a</w:t>
            </w:r>
            <w:proofErr w:type="spellEnd"/>
            <w:r w:rsidRPr="006D2270">
              <w:rPr>
                <w:rFonts w:ascii="Verdana" w:hAnsi="Verdana" w:cs="Arial"/>
                <w:vertAlign w:val="superscript"/>
              </w:rPr>
              <w:t>)</w:t>
            </w:r>
            <w:r>
              <w:rPr>
                <w:rFonts w:ascii="Verdana" w:hAnsi="Verdana" w:cs="Arial"/>
                <w:vertAlign w:val="superscript"/>
              </w:rPr>
              <w:t>,c)</w:t>
            </w:r>
          </w:p>
        </w:tc>
        <w:tc>
          <w:tcPr>
            <w:tcW w:w="1842" w:type="dxa"/>
            <w:vAlign w:val="center"/>
          </w:tcPr>
          <w:p w:rsidR="00683496" w:rsidRPr="006D2270" w:rsidRDefault="00683496" w:rsidP="00683496">
            <w:pPr>
              <w:rPr>
                <w:rFonts w:ascii="Verdana" w:hAnsi="Verdana" w:cs="Arial"/>
              </w:rPr>
            </w:pPr>
            <w:r w:rsidRPr="006D2270">
              <w:rPr>
                <w:rFonts w:ascii="Verdana" w:hAnsi="Verdana" w:cs="Arial"/>
              </w:rPr>
              <w:t>C.1.20, wałowanie,</w:t>
            </w:r>
          </w:p>
          <w:p w:rsidR="00683496" w:rsidRPr="006D2270" w:rsidRDefault="00683496" w:rsidP="00683496">
            <w:pPr>
              <w:rPr>
                <w:rFonts w:ascii="Verdana" w:hAnsi="Verdana" w:cs="Arial"/>
              </w:rPr>
            </w:pPr>
            <w:r w:rsidRPr="006D2270">
              <w:rPr>
                <w:rFonts w:ascii="Verdana" w:hAnsi="Verdana" w:cs="Arial"/>
              </w:rPr>
              <w:t>P</w:t>
            </w:r>
            <w:r w:rsidRPr="006D2270">
              <w:rPr>
                <w:rFonts w:ascii="Verdana" w:hAnsi="Verdana" w:cs="Arial"/>
                <w:vertAlign w:val="subscript"/>
              </w:rPr>
              <w:t>98</w:t>
            </w:r>
            <w:r w:rsidRPr="006D2270">
              <w:rPr>
                <w:rFonts w:ascii="Verdana" w:hAnsi="Verdana" w:cs="Arial"/>
              </w:rPr>
              <w:t>-P</w:t>
            </w:r>
            <w:r w:rsidRPr="006D2270">
              <w:rPr>
                <w:rFonts w:ascii="Verdana" w:hAnsi="Verdana" w:cs="Arial"/>
                <w:vertAlign w:val="subscript"/>
              </w:rPr>
              <w:t>100</w:t>
            </w:r>
          </w:p>
        </w:tc>
        <w:tc>
          <w:tcPr>
            <w:tcW w:w="3261" w:type="dxa"/>
            <w:vAlign w:val="center"/>
          </w:tcPr>
          <w:p w:rsidR="00683496" w:rsidRPr="006D2270" w:rsidRDefault="00683496" w:rsidP="00683496">
            <w:pPr>
              <w:jc w:val="center"/>
              <w:rPr>
                <w:rFonts w:ascii="Verdana" w:hAnsi="Verdana" w:cs="Arial"/>
              </w:rPr>
            </w:pPr>
            <w:r w:rsidRPr="006D2270">
              <w:rPr>
                <w:rFonts w:ascii="Verdana" w:hAnsi="Verdana" w:cs="Arial"/>
              </w:rPr>
              <w:t xml:space="preserve">PN-EN 12697-22, metoda B </w:t>
            </w:r>
            <w:r>
              <w:rPr>
                <w:rFonts w:ascii="Verdana" w:hAnsi="Verdana" w:cs="Arial"/>
              </w:rPr>
              <w:t xml:space="preserve">w powietrzu, PN-EN 13108-20, D.1.6, 60°C, </w:t>
            </w:r>
            <w:r w:rsidRPr="006D2270">
              <w:rPr>
                <w:rFonts w:ascii="Verdana" w:hAnsi="Verdana" w:cs="Arial"/>
              </w:rPr>
              <w:t>10 000 cykli [38]</w:t>
            </w:r>
          </w:p>
        </w:tc>
        <w:tc>
          <w:tcPr>
            <w:tcW w:w="2409" w:type="dxa"/>
            <w:vAlign w:val="center"/>
          </w:tcPr>
          <w:p w:rsidR="00683496" w:rsidRPr="006D2270" w:rsidRDefault="00683496" w:rsidP="00683496">
            <w:pPr>
              <w:jc w:val="center"/>
              <w:rPr>
                <w:rFonts w:ascii="Verdana" w:hAnsi="Verdana" w:cs="Arial"/>
                <w:vertAlign w:val="subscript"/>
              </w:rPr>
            </w:pPr>
            <w:r w:rsidRPr="006D2270">
              <w:rPr>
                <w:rFonts w:ascii="Verdana" w:hAnsi="Verdana" w:cs="Arial"/>
                <w:i/>
              </w:rPr>
              <w:t>WTS</w:t>
            </w:r>
            <w:r w:rsidRPr="006D2270">
              <w:rPr>
                <w:rFonts w:ascii="Verdana" w:hAnsi="Verdana" w:cs="Arial"/>
                <w:vertAlign w:val="subscript"/>
              </w:rPr>
              <w:t>AIR 0,15</w:t>
            </w:r>
          </w:p>
          <w:p w:rsidR="00683496" w:rsidRPr="006D2270" w:rsidRDefault="00683496" w:rsidP="00683496">
            <w:pPr>
              <w:jc w:val="center"/>
              <w:rPr>
                <w:rFonts w:ascii="Verdana" w:hAnsi="Verdana" w:cs="Arial"/>
                <w:vertAlign w:val="subscript"/>
              </w:rPr>
            </w:pPr>
            <w:r w:rsidRPr="006D2270">
              <w:rPr>
                <w:rFonts w:ascii="Verdana" w:hAnsi="Verdana" w:cs="Arial"/>
                <w:i/>
              </w:rPr>
              <w:t>PRD</w:t>
            </w:r>
            <w:r w:rsidRPr="006D2270">
              <w:rPr>
                <w:rFonts w:ascii="Verdana" w:hAnsi="Verdana" w:cs="Arial"/>
                <w:vertAlign w:val="subscript"/>
              </w:rPr>
              <w:t xml:space="preserve">AIR </w:t>
            </w:r>
            <w:r>
              <w:rPr>
                <w:rFonts w:ascii="Verdana" w:hAnsi="Verdana" w:cs="Arial"/>
                <w:vertAlign w:val="subscript"/>
              </w:rPr>
              <w:t>9,0</w:t>
            </w:r>
          </w:p>
        </w:tc>
      </w:tr>
      <w:tr w:rsidR="00683496" w:rsidRPr="006D2270" w:rsidTr="00683496">
        <w:trPr>
          <w:trHeight w:val="988"/>
        </w:trPr>
        <w:tc>
          <w:tcPr>
            <w:tcW w:w="1668" w:type="dxa"/>
            <w:vAlign w:val="center"/>
          </w:tcPr>
          <w:p w:rsidR="00683496" w:rsidRPr="006D2270" w:rsidRDefault="00683496" w:rsidP="00683496">
            <w:pPr>
              <w:rPr>
                <w:rFonts w:ascii="Verdana" w:hAnsi="Verdana" w:cs="Arial"/>
              </w:rPr>
            </w:pPr>
            <w:r w:rsidRPr="006D2270">
              <w:rPr>
                <w:rFonts w:ascii="Verdana" w:hAnsi="Verdana" w:cs="Arial"/>
              </w:rPr>
              <w:t>Odporność na działanie wody</w:t>
            </w:r>
          </w:p>
        </w:tc>
        <w:tc>
          <w:tcPr>
            <w:tcW w:w="1842" w:type="dxa"/>
            <w:vAlign w:val="center"/>
          </w:tcPr>
          <w:p w:rsidR="00683496" w:rsidRPr="006D2270" w:rsidRDefault="00683496" w:rsidP="00683496">
            <w:pPr>
              <w:rPr>
                <w:rFonts w:ascii="Verdana" w:hAnsi="Verdana" w:cs="Arial"/>
              </w:rPr>
            </w:pPr>
            <w:r w:rsidRPr="006D2270">
              <w:rPr>
                <w:rFonts w:ascii="Verdana" w:hAnsi="Verdana" w:cs="Arial"/>
              </w:rPr>
              <w:t>C.1.1, ubijanie, 2×35 uderzeń</w:t>
            </w:r>
          </w:p>
        </w:tc>
        <w:tc>
          <w:tcPr>
            <w:tcW w:w="3261" w:type="dxa"/>
            <w:vAlign w:val="center"/>
          </w:tcPr>
          <w:p w:rsidR="00683496" w:rsidRPr="006D2270" w:rsidRDefault="00683496" w:rsidP="00683496">
            <w:pPr>
              <w:jc w:val="center"/>
              <w:rPr>
                <w:rFonts w:ascii="Verdana" w:hAnsi="Verdana" w:cs="Arial"/>
              </w:rPr>
            </w:pPr>
            <w:r w:rsidRPr="006D2270">
              <w:rPr>
                <w:rFonts w:ascii="Verdana" w:hAnsi="Verdana" w:cs="Arial"/>
              </w:rPr>
              <w:t xml:space="preserve">PN-EN 12697-12 [35], przechowywanie w 40°C z jednym cyklem </w:t>
            </w:r>
            <w:proofErr w:type="spellStart"/>
            <w:r w:rsidRPr="006D2270">
              <w:rPr>
                <w:rFonts w:ascii="Verdana" w:hAnsi="Verdana" w:cs="Arial"/>
              </w:rPr>
              <w:t>zamrażania</w:t>
            </w:r>
            <w:r w:rsidRPr="006D2270">
              <w:rPr>
                <w:rFonts w:ascii="Verdana" w:hAnsi="Verdana" w:cs="Arial"/>
                <w:vertAlign w:val="superscript"/>
              </w:rPr>
              <w:t>b</w:t>
            </w:r>
            <w:proofErr w:type="spellEnd"/>
            <w:r w:rsidRPr="006D2270">
              <w:rPr>
                <w:rFonts w:ascii="Verdana" w:hAnsi="Verdana" w:cs="Arial"/>
                <w:vertAlign w:val="superscript"/>
              </w:rPr>
              <w:t>)</w:t>
            </w:r>
            <w:r w:rsidRPr="006D2270">
              <w:rPr>
                <w:rFonts w:ascii="Verdana" w:hAnsi="Verdana" w:cs="Arial"/>
              </w:rPr>
              <w:t xml:space="preserve">, </w:t>
            </w:r>
          </w:p>
          <w:p w:rsidR="00683496" w:rsidRPr="006D2270" w:rsidRDefault="00683496" w:rsidP="00683496">
            <w:pPr>
              <w:jc w:val="center"/>
              <w:rPr>
                <w:rFonts w:ascii="Verdana" w:hAnsi="Verdana" w:cs="Arial"/>
              </w:rPr>
            </w:pPr>
            <w:r w:rsidRPr="006D2270">
              <w:rPr>
                <w:rFonts w:ascii="Verdana" w:hAnsi="Verdana" w:cs="Arial"/>
              </w:rPr>
              <w:t>badanie w 25°C</w:t>
            </w:r>
          </w:p>
        </w:tc>
        <w:tc>
          <w:tcPr>
            <w:tcW w:w="2409" w:type="dxa"/>
            <w:vAlign w:val="center"/>
          </w:tcPr>
          <w:p w:rsidR="00683496" w:rsidRPr="006D2270" w:rsidRDefault="00683496" w:rsidP="00683496">
            <w:pPr>
              <w:jc w:val="center"/>
              <w:rPr>
                <w:rFonts w:ascii="Verdana" w:hAnsi="Verdana" w:cs="Arial"/>
              </w:rPr>
            </w:pPr>
            <w:r w:rsidRPr="006D2270">
              <w:rPr>
                <w:rFonts w:ascii="Verdana" w:hAnsi="Verdana" w:cs="Arial"/>
                <w:i/>
              </w:rPr>
              <w:t>ITSR</w:t>
            </w:r>
            <w:r w:rsidRPr="006D2270">
              <w:rPr>
                <w:rFonts w:ascii="Verdana" w:hAnsi="Verdana" w:cs="Arial"/>
                <w:vertAlign w:val="subscript"/>
              </w:rPr>
              <w:t>90</w:t>
            </w:r>
          </w:p>
        </w:tc>
      </w:tr>
      <w:tr w:rsidR="00683496" w:rsidRPr="006D2270" w:rsidTr="00683496">
        <w:trPr>
          <w:trHeight w:val="523"/>
        </w:trPr>
        <w:tc>
          <w:tcPr>
            <w:tcW w:w="1668" w:type="dxa"/>
            <w:vAlign w:val="center"/>
          </w:tcPr>
          <w:p w:rsidR="00683496" w:rsidRPr="006D2270" w:rsidRDefault="00683496" w:rsidP="00683496">
            <w:pPr>
              <w:rPr>
                <w:rFonts w:ascii="Verdana" w:hAnsi="Verdana" w:cs="Arial"/>
              </w:rPr>
            </w:pPr>
            <w:r>
              <w:rPr>
                <w:rFonts w:ascii="Verdana" w:hAnsi="Verdana" w:cs="Arial"/>
              </w:rPr>
              <w:t>Współczynnik luminancji</w:t>
            </w:r>
          </w:p>
        </w:tc>
        <w:tc>
          <w:tcPr>
            <w:tcW w:w="1842" w:type="dxa"/>
            <w:vAlign w:val="center"/>
          </w:tcPr>
          <w:p w:rsidR="00683496" w:rsidRPr="006D2270" w:rsidRDefault="00683496" w:rsidP="00683496">
            <w:pPr>
              <w:jc w:val="center"/>
              <w:rPr>
                <w:rFonts w:ascii="Verdana" w:hAnsi="Verdana" w:cs="Arial"/>
              </w:rPr>
            </w:pPr>
            <w:r>
              <w:rPr>
                <w:rFonts w:ascii="Verdana" w:hAnsi="Verdana" w:cs="Arial"/>
              </w:rPr>
              <w:t>-</w:t>
            </w:r>
          </w:p>
        </w:tc>
        <w:tc>
          <w:tcPr>
            <w:tcW w:w="3261" w:type="dxa"/>
            <w:vAlign w:val="center"/>
          </w:tcPr>
          <w:p w:rsidR="00683496" w:rsidRPr="006D2270" w:rsidRDefault="00683496" w:rsidP="00683496">
            <w:pPr>
              <w:jc w:val="center"/>
              <w:rPr>
                <w:rFonts w:ascii="Verdana" w:hAnsi="Verdana" w:cs="Arial"/>
              </w:rPr>
            </w:pPr>
            <w:r>
              <w:rPr>
                <w:rFonts w:ascii="Verdana" w:hAnsi="Verdana" w:cs="Arial"/>
              </w:rPr>
              <w:t>Zgodnie z załącznikiem 4      WT-2:2014-cześć I</w:t>
            </w:r>
          </w:p>
        </w:tc>
        <w:tc>
          <w:tcPr>
            <w:tcW w:w="2409" w:type="dxa"/>
            <w:vAlign w:val="center"/>
          </w:tcPr>
          <w:p w:rsidR="00683496" w:rsidRPr="006D2270" w:rsidRDefault="00683496" w:rsidP="00683496">
            <w:pPr>
              <w:jc w:val="center"/>
              <w:rPr>
                <w:rFonts w:ascii="Verdana" w:hAnsi="Verdana" w:cs="Arial"/>
                <w:i/>
              </w:rPr>
            </w:pPr>
            <w:proofErr w:type="spellStart"/>
            <w:r w:rsidRPr="003B6F48">
              <w:rPr>
                <w:rFonts w:ascii="Verdana" w:hAnsi="Verdana" w:cs="Arial"/>
                <w:i/>
              </w:rPr>
              <w:t>Q</w:t>
            </w:r>
            <w:r w:rsidRPr="003B6F48">
              <w:rPr>
                <w:rFonts w:ascii="Verdana" w:hAnsi="Verdana" w:cs="Arial"/>
                <w:i/>
                <w:vertAlign w:val="subscript"/>
              </w:rPr>
              <w:t>d</w:t>
            </w:r>
            <w:proofErr w:type="spellEnd"/>
            <w:r>
              <w:rPr>
                <w:rFonts w:ascii="Verdana" w:hAnsi="Verdana" w:cs="Arial"/>
                <w:i/>
              </w:rPr>
              <w:t xml:space="preserve"> - p</w:t>
            </w:r>
            <w:r w:rsidRPr="003B6F48">
              <w:rPr>
                <w:rFonts w:ascii="Verdana" w:hAnsi="Verdana" w:cs="Arial"/>
                <w:i/>
              </w:rPr>
              <w:t>odać</w:t>
            </w:r>
            <w:r>
              <w:rPr>
                <w:rFonts w:ascii="Verdana" w:hAnsi="Verdana" w:cs="Arial"/>
                <w:i/>
              </w:rPr>
              <w:t xml:space="preserve"> wartość</w:t>
            </w:r>
          </w:p>
        </w:tc>
      </w:tr>
      <w:tr w:rsidR="00683496" w:rsidRPr="006D2270" w:rsidTr="00683496">
        <w:trPr>
          <w:trHeight w:val="831"/>
        </w:trPr>
        <w:tc>
          <w:tcPr>
            <w:tcW w:w="9180" w:type="dxa"/>
            <w:gridSpan w:val="4"/>
            <w:vAlign w:val="center"/>
          </w:tcPr>
          <w:p w:rsidR="00683496" w:rsidRPr="006D2270" w:rsidRDefault="00683496" w:rsidP="00683496">
            <w:pPr>
              <w:jc w:val="both"/>
              <w:rPr>
                <w:rFonts w:ascii="Verdana" w:hAnsi="Verdana" w:cs="Arial"/>
              </w:rPr>
            </w:pPr>
            <w:r w:rsidRPr="006D2270">
              <w:rPr>
                <w:rFonts w:ascii="Verdana" w:hAnsi="Verdana" w:cs="Arial"/>
                <w:vertAlign w:val="superscript"/>
              </w:rPr>
              <w:t>a)</w:t>
            </w:r>
            <w:r w:rsidRPr="006D2270">
              <w:rPr>
                <w:rFonts w:ascii="Verdana" w:hAnsi="Verdana" w:cs="Arial"/>
              </w:rPr>
              <w:t xml:space="preserve"> </w:t>
            </w:r>
            <w:r>
              <w:rPr>
                <w:rFonts w:ascii="Verdana" w:hAnsi="Verdana" w:cs="Arial"/>
              </w:rPr>
              <w:t xml:space="preserve"> </w:t>
            </w:r>
            <w:r w:rsidRPr="006D2270">
              <w:rPr>
                <w:rFonts w:ascii="Verdana" w:hAnsi="Verdana" w:cs="Arial"/>
              </w:rPr>
              <w:t>grubość płyty: AC 11 – 40 mm</w:t>
            </w:r>
            <w:r>
              <w:rPr>
                <w:rFonts w:ascii="Verdana" w:hAnsi="Verdana" w:cs="Arial"/>
              </w:rPr>
              <w:t>,</w:t>
            </w:r>
          </w:p>
          <w:p w:rsidR="00683496" w:rsidRDefault="00683496" w:rsidP="00683496">
            <w:pPr>
              <w:ind w:left="284" w:hanging="284"/>
              <w:jc w:val="both"/>
              <w:rPr>
                <w:rFonts w:ascii="Verdana" w:hAnsi="Verdana" w:cs="Arial"/>
              </w:rPr>
            </w:pPr>
            <w:r w:rsidRPr="006D2270">
              <w:rPr>
                <w:rFonts w:ascii="Verdana" w:hAnsi="Verdana" w:cs="Arial"/>
                <w:vertAlign w:val="superscript"/>
              </w:rPr>
              <w:t>b)</w:t>
            </w:r>
            <w:r w:rsidRPr="006D2270">
              <w:rPr>
                <w:rFonts w:ascii="Verdana" w:hAnsi="Verdana" w:cs="Arial"/>
              </w:rPr>
              <w:t xml:space="preserve"> ujednoliconą procedurę badania </w:t>
            </w:r>
            <w:r>
              <w:rPr>
                <w:rFonts w:ascii="Verdana" w:hAnsi="Verdana" w:cs="Arial"/>
              </w:rPr>
              <w:t xml:space="preserve">wrażliwości </w:t>
            </w:r>
            <w:r w:rsidRPr="006D2270">
              <w:rPr>
                <w:rFonts w:ascii="Verdana" w:hAnsi="Verdana" w:cs="Arial"/>
              </w:rPr>
              <w:t>na działanie wody z jednym cyklem zamraż</w:t>
            </w:r>
            <w:r>
              <w:rPr>
                <w:rFonts w:ascii="Verdana" w:hAnsi="Verdana" w:cs="Arial"/>
              </w:rPr>
              <w:t xml:space="preserve">ania podano w załączniku 1 WT-2 </w:t>
            </w:r>
            <w:r w:rsidRPr="006D2270">
              <w:rPr>
                <w:rFonts w:ascii="Verdana" w:hAnsi="Verdana" w:cs="Arial"/>
              </w:rPr>
              <w:t>201</w:t>
            </w:r>
            <w:r>
              <w:rPr>
                <w:rFonts w:ascii="Verdana" w:hAnsi="Verdana" w:cs="Arial"/>
              </w:rPr>
              <w:t>4-część I,</w:t>
            </w:r>
          </w:p>
          <w:p w:rsidR="00683496" w:rsidRPr="00FA4FD0" w:rsidRDefault="00683496" w:rsidP="00683496">
            <w:pPr>
              <w:ind w:left="284" w:hanging="284"/>
              <w:jc w:val="both"/>
              <w:rPr>
                <w:rFonts w:ascii="Verdana" w:hAnsi="Verdana" w:cs="Arial"/>
                <w:i/>
              </w:rPr>
            </w:pPr>
            <w:r>
              <w:rPr>
                <w:rFonts w:ascii="Verdana" w:hAnsi="Verdana" w:cs="Arial"/>
                <w:vertAlign w:val="superscript"/>
              </w:rPr>
              <w:t>c)</w:t>
            </w:r>
            <w:r>
              <w:rPr>
                <w:rFonts w:ascii="Verdana" w:hAnsi="Verdana" w:cs="Arial"/>
              </w:rPr>
              <w:t xml:space="preserve">  procedurę kondycjonowania krótkoterminowego MMA przed zagęszczeniem próbek do badań podano w załączniku 2 WT-2 2014-część I </w:t>
            </w:r>
          </w:p>
        </w:tc>
      </w:tr>
    </w:tbl>
    <w:p w:rsidR="00683496" w:rsidRPr="006D2270" w:rsidRDefault="00683496" w:rsidP="00683496">
      <w:pPr>
        <w:keepNext/>
        <w:spacing w:before="240"/>
        <w:outlineLvl w:val="1"/>
        <w:rPr>
          <w:rFonts w:ascii="Verdana" w:hAnsi="Verdana" w:cs="Arial"/>
          <w:b/>
          <w:bCs/>
          <w:iCs/>
        </w:rPr>
      </w:pPr>
      <w:bookmarkStart w:id="361" w:name="_Toc316558743"/>
      <w:r w:rsidRPr="006D2270">
        <w:rPr>
          <w:rFonts w:ascii="Verdana" w:hAnsi="Verdana" w:cs="Arial"/>
          <w:b/>
          <w:bCs/>
          <w:iCs/>
        </w:rPr>
        <w:t>5.3. Wytwarzanie mieszanki mineralno-asfaltowej</w:t>
      </w:r>
      <w:bookmarkEnd w:id="361"/>
    </w:p>
    <w:p w:rsidR="00683496" w:rsidRPr="006D2270" w:rsidRDefault="00683496" w:rsidP="00683496">
      <w:pPr>
        <w:jc w:val="both"/>
        <w:rPr>
          <w:rFonts w:ascii="Verdana" w:hAnsi="Verdana" w:cs="Arial"/>
        </w:rPr>
      </w:pPr>
      <w:r w:rsidRPr="006D2270">
        <w:rPr>
          <w:rFonts w:ascii="Verdana" w:hAnsi="Verdana" w:cs="Arial"/>
        </w:rPr>
        <w:t>Mieszankę mineralno-asfaltową należy wytwarzać na gorąco w otaczarce (zespole maszyn i urządzeń dozowania, podgrzewania i mieszania składników oraz przechowywania gotowej mieszanki).</w:t>
      </w:r>
    </w:p>
    <w:p w:rsidR="00683496" w:rsidRPr="006D2270" w:rsidRDefault="00683496" w:rsidP="00683496">
      <w:pPr>
        <w:jc w:val="both"/>
        <w:rPr>
          <w:rFonts w:ascii="Verdana" w:hAnsi="Verdana" w:cs="Arial"/>
        </w:rPr>
      </w:pPr>
      <w:r w:rsidRPr="006D2270">
        <w:rPr>
          <w:rFonts w:ascii="Verdana" w:hAnsi="Verdana" w:cs="Aria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683496" w:rsidRPr="006D2270" w:rsidRDefault="00683496" w:rsidP="00683496">
      <w:pPr>
        <w:jc w:val="both"/>
        <w:rPr>
          <w:rFonts w:ascii="Verdana" w:hAnsi="Verdana" w:cs="Arial"/>
        </w:rPr>
      </w:pPr>
      <w:r w:rsidRPr="006D2270">
        <w:rPr>
          <w:rFonts w:ascii="Verdana" w:hAnsi="Verdana" w:cs="Arial"/>
        </w:rPr>
        <w:t>Lepiszcze asfaltowe należy przechowywać w zbiorniku z pośrednim systemem ogrzewania, z układem termostatowania zapewniającym utrzymanie żądanej temperatury z dokładnością ± 5°C. Temperatura lepiszcza asfaltowego w zbiorniku magazynowym (roboczym)</w:t>
      </w:r>
      <w:r>
        <w:rPr>
          <w:rFonts w:ascii="Verdana" w:hAnsi="Verdana" w:cs="Arial"/>
        </w:rPr>
        <w:t xml:space="preserve"> nie</w:t>
      </w:r>
      <w:r w:rsidRPr="006D2270">
        <w:rPr>
          <w:rFonts w:ascii="Verdana" w:hAnsi="Verdana" w:cs="Arial"/>
        </w:rPr>
        <w:t xml:space="preserve"> </w:t>
      </w:r>
      <w:r>
        <w:rPr>
          <w:rFonts w:ascii="Verdana" w:hAnsi="Verdana" w:cs="Arial"/>
        </w:rPr>
        <w:t>powinna przekraczać</w:t>
      </w:r>
      <w:r w:rsidRPr="006D2270">
        <w:rPr>
          <w:rFonts w:ascii="Verdana" w:hAnsi="Verdana" w:cs="Arial"/>
        </w:rPr>
        <w:t xml:space="preserve"> 180°C dla asfaltu modyfikowanego polimerami.</w:t>
      </w:r>
    </w:p>
    <w:p w:rsidR="00683496" w:rsidRPr="006D2270" w:rsidRDefault="00683496" w:rsidP="00683496">
      <w:pPr>
        <w:jc w:val="both"/>
        <w:rPr>
          <w:rFonts w:ascii="Verdana" w:hAnsi="Verdana" w:cs="Arial"/>
        </w:rPr>
      </w:pPr>
      <w:r w:rsidRPr="006D2270">
        <w:rPr>
          <w:rFonts w:ascii="Verdana" w:hAnsi="Verdana" w:cs="Arial"/>
        </w:rPr>
        <w:t>Kruszywo (ewentualnie z wypełniaczem) powinno być wysuszone i podgrzane tak, aby mieszanka mineralna uzyskała temperaturę właściwą do otoczenia lepiszczem asfaltowym. Temperatura mieszanki mineralnej nie powinna być wyższa o więcej niż 30</w:t>
      </w:r>
      <w:r w:rsidRPr="006D2270">
        <w:rPr>
          <w:rFonts w:ascii="Verdana" w:hAnsi="Verdana" w:cs="Arial"/>
          <w:vertAlign w:val="superscript"/>
        </w:rPr>
        <w:t>o</w:t>
      </w:r>
      <w:r w:rsidRPr="006D2270">
        <w:rPr>
          <w:rFonts w:ascii="Verdana" w:hAnsi="Verdana" w:cs="Arial"/>
        </w:rPr>
        <w:t>C od najwyższej temperatury mieszanki mineralno-asfaltowej podanej w tab</w:t>
      </w:r>
      <w:r>
        <w:rPr>
          <w:rFonts w:ascii="Verdana" w:hAnsi="Verdana" w:cs="Arial"/>
        </w:rPr>
        <w:t>eli</w:t>
      </w:r>
      <w:r w:rsidRPr="006D2270">
        <w:rPr>
          <w:rFonts w:ascii="Verdana" w:hAnsi="Verdana" w:cs="Arial"/>
        </w:rPr>
        <w:t xml:space="preserve"> </w:t>
      </w:r>
      <w:r>
        <w:rPr>
          <w:rFonts w:ascii="Verdana" w:hAnsi="Verdana" w:cs="Arial"/>
        </w:rPr>
        <w:t>9</w:t>
      </w:r>
      <w:r w:rsidRPr="006D2270">
        <w:rPr>
          <w:rFonts w:ascii="Verdana" w:hAnsi="Verdana" w:cs="Arial"/>
        </w:rPr>
        <w:t>. W tej tab</w:t>
      </w:r>
      <w:r>
        <w:rPr>
          <w:rFonts w:ascii="Verdana" w:hAnsi="Verdana" w:cs="Arial"/>
        </w:rPr>
        <w:t>eli</w:t>
      </w:r>
      <w:r w:rsidRPr="006D2270">
        <w:rPr>
          <w:rFonts w:ascii="Verdana" w:hAnsi="Verdana" w:cs="Arial"/>
        </w:rPr>
        <w:t xml:space="preserve"> najniższa temperatura dotyczy mieszanki mineralno-asfaltowej dostarczonej na miejsce wbudowania, a najwyższa temperatura dotyczy mieszanki mineralno-asfaltowej bezpośrednio po wytworzeniu  w wytwórni. </w:t>
      </w:r>
    </w:p>
    <w:p w:rsidR="00683496" w:rsidRDefault="00683496" w:rsidP="00683496">
      <w:pPr>
        <w:jc w:val="both"/>
        <w:rPr>
          <w:rFonts w:ascii="Verdana" w:hAnsi="Verdana" w:cs="Arial"/>
        </w:rPr>
      </w:pPr>
      <w:r w:rsidRPr="006D2270">
        <w:rPr>
          <w:rFonts w:ascii="Verdana" w:hAnsi="Verdana" w:cs="Arial"/>
        </w:rPr>
        <w:t>Mieszanka mineralno-asfaltowa</w:t>
      </w:r>
      <w:r>
        <w:rPr>
          <w:rFonts w:ascii="Verdana" w:hAnsi="Verdana" w:cs="Arial"/>
        </w:rPr>
        <w:t xml:space="preserve"> </w:t>
      </w:r>
      <w:r w:rsidRPr="006D2270">
        <w:rPr>
          <w:rFonts w:ascii="Verdana" w:hAnsi="Verdana" w:cs="Arial"/>
        </w:rPr>
        <w:t>(z oznakami niebieskiego dymu) w czasie wytwarzania oraz na miejscu wbudowania lub temperaturze niższej od wymaganej w tab</w:t>
      </w:r>
      <w:r>
        <w:rPr>
          <w:rFonts w:ascii="Verdana" w:hAnsi="Verdana" w:cs="Arial"/>
        </w:rPr>
        <w:t>eli</w:t>
      </w:r>
      <w:r w:rsidRPr="006D2270">
        <w:rPr>
          <w:rFonts w:ascii="Verdana" w:hAnsi="Verdana" w:cs="Arial"/>
        </w:rPr>
        <w:t xml:space="preserve"> </w:t>
      </w:r>
      <w:r>
        <w:rPr>
          <w:rFonts w:ascii="Verdana" w:hAnsi="Verdana" w:cs="Arial"/>
        </w:rPr>
        <w:t>9,</w:t>
      </w:r>
      <w:r w:rsidRPr="006D2270">
        <w:rPr>
          <w:rFonts w:ascii="Verdana" w:hAnsi="Verdana" w:cs="Arial"/>
        </w:rPr>
        <w:t xml:space="preserve"> powinna być potraktowana jako odpad produkcyjny. Wykonawca jest zobowiązany prowadzić monitoring temperatury mieszanki mineralno-asfaltowej, ze skrzyni załadowanego pojazdu bezpośrednio po dotarciu na teren budowy. Otrzymane zapisy należy przekazać dla Przedstawiciela Zamawiającego/Inspektora Nadzoru.</w:t>
      </w:r>
    </w:p>
    <w:p w:rsidR="00683496" w:rsidRDefault="00683496" w:rsidP="00683496">
      <w:pPr>
        <w:jc w:val="both"/>
        <w:rPr>
          <w:rFonts w:ascii="Verdana" w:hAnsi="Verdana" w:cs="Arial"/>
        </w:rPr>
      </w:pPr>
      <w:r>
        <w:rPr>
          <w:rFonts w:ascii="Verdana" w:hAnsi="Verdana" w:cs="Arial"/>
        </w:rPr>
        <w:t>Dopuszcza się produkcję i dostawy mieszanek mineralno-asfaltowych z kilku wytwórni na podstawie jednego badania typu MMA (recepty).</w:t>
      </w:r>
    </w:p>
    <w:p w:rsidR="00683496" w:rsidRPr="006D2270" w:rsidRDefault="00683496" w:rsidP="00683496">
      <w:pPr>
        <w:jc w:val="both"/>
        <w:rPr>
          <w:rFonts w:ascii="Verdana" w:hAnsi="Verdana" w:cs="Arial"/>
        </w:rPr>
      </w:pPr>
      <w:r>
        <w:rPr>
          <w:rFonts w:ascii="Verdana" w:hAnsi="Verdana" w:cs="Arial"/>
        </w:rPr>
        <w:t>Mieszankę mineralno-asfaltową zaleca się wbudowywać bezpośrednio po wyprodukowaniu bez magazynowania na zapas. Przechowywanie wyprodukowanej MMA w silosie może mieć miejsce tylko w sytuacjach awaryjnych.</w:t>
      </w:r>
    </w:p>
    <w:p w:rsidR="00683496" w:rsidRPr="006D2270" w:rsidRDefault="00683496" w:rsidP="00683496">
      <w:pPr>
        <w:spacing w:before="120" w:after="120"/>
        <w:rPr>
          <w:rFonts w:ascii="Verdana" w:hAnsi="Verdana" w:cs="Arial"/>
        </w:rPr>
      </w:pPr>
      <w:r w:rsidRPr="006D2270">
        <w:rPr>
          <w:rFonts w:ascii="Verdana" w:hAnsi="Verdana" w:cs="Arial"/>
        </w:rPr>
        <w:lastRenderedPageBreak/>
        <w:t>Tab</w:t>
      </w:r>
      <w:r>
        <w:rPr>
          <w:rFonts w:ascii="Verdana" w:hAnsi="Verdana" w:cs="Arial"/>
        </w:rPr>
        <w:t>ela</w:t>
      </w:r>
      <w:r w:rsidRPr="006D2270">
        <w:rPr>
          <w:rFonts w:ascii="Verdana" w:hAnsi="Verdana" w:cs="Arial"/>
        </w:rPr>
        <w:t xml:space="preserve"> </w:t>
      </w:r>
      <w:r>
        <w:rPr>
          <w:rFonts w:ascii="Verdana" w:hAnsi="Verdana" w:cs="Arial"/>
        </w:rPr>
        <w:t>9</w:t>
      </w:r>
      <w:r w:rsidRPr="006D2270">
        <w:rPr>
          <w:rFonts w:ascii="Verdana" w:hAnsi="Verdana" w:cs="Arial"/>
        </w:rPr>
        <w:t>.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683496" w:rsidRPr="006D2270" w:rsidTr="00683496">
        <w:tc>
          <w:tcPr>
            <w:tcW w:w="2371" w:type="dxa"/>
            <w:vAlign w:val="center"/>
          </w:tcPr>
          <w:p w:rsidR="00683496" w:rsidRPr="006D2270" w:rsidRDefault="00683496" w:rsidP="00683496">
            <w:pPr>
              <w:spacing w:before="60" w:after="60"/>
              <w:jc w:val="center"/>
              <w:rPr>
                <w:rFonts w:ascii="Verdana" w:hAnsi="Verdana" w:cs="Arial"/>
              </w:rPr>
            </w:pPr>
            <w:r w:rsidRPr="006D2270">
              <w:rPr>
                <w:rFonts w:ascii="Verdana" w:hAnsi="Verdana" w:cs="Arial"/>
              </w:rPr>
              <w:t>Lepiszcza asfaltowe</w:t>
            </w:r>
          </w:p>
        </w:tc>
        <w:tc>
          <w:tcPr>
            <w:tcW w:w="2590" w:type="dxa"/>
            <w:vAlign w:val="center"/>
          </w:tcPr>
          <w:p w:rsidR="00683496" w:rsidRPr="006D2270" w:rsidRDefault="00683496" w:rsidP="00683496">
            <w:pPr>
              <w:spacing w:before="60" w:after="60"/>
              <w:jc w:val="center"/>
              <w:rPr>
                <w:rFonts w:ascii="Verdana" w:hAnsi="Verdana" w:cs="Arial"/>
              </w:rPr>
            </w:pPr>
            <w:r w:rsidRPr="006D2270">
              <w:rPr>
                <w:rFonts w:ascii="Verdana" w:hAnsi="Verdana" w:cs="Arial"/>
              </w:rPr>
              <w:t>Temperatura mieszanki [°C]</w:t>
            </w:r>
          </w:p>
        </w:tc>
      </w:tr>
      <w:tr w:rsidR="00683496" w:rsidRPr="006D2270" w:rsidTr="00683496">
        <w:tc>
          <w:tcPr>
            <w:tcW w:w="2371" w:type="dxa"/>
            <w:vAlign w:val="center"/>
          </w:tcPr>
          <w:p w:rsidR="00683496" w:rsidRPr="006D2270" w:rsidRDefault="00683496" w:rsidP="00683496">
            <w:pPr>
              <w:spacing w:before="60"/>
              <w:jc w:val="center"/>
              <w:rPr>
                <w:rFonts w:ascii="Verdana" w:hAnsi="Verdana" w:cs="Arial"/>
              </w:rPr>
            </w:pPr>
            <w:r w:rsidRPr="006D2270">
              <w:rPr>
                <w:rFonts w:ascii="Verdana" w:hAnsi="Verdana" w:cs="Arial"/>
              </w:rPr>
              <w:t>PMB 45/80-55</w:t>
            </w:r>
          </w:p>
          <w:p w:rsidR="00683496" w:rsidRPr="006D2270" w:rsidRDefault="00683496" w:rsidP="00683496">
            <w:pPr>
              <w:spacing w:before="60"/>
              <w:jc w:val="center"/>
              <w:rPr>
                <w:rFonts w:ascii="Verdana" w:hAnsi="Verdana" w:cs="Arial"/>
              </w:rPr>
            </w:pPr>
            <w:r w:rsidRPr="006D2270">
              <w:rPr>
                <w:rFonts w:ascii="Verdana" w:hAnsi="Verdana" w:cs="Arial"/>
              </w:rPr>
              <w:t>PMB 45/80-65</w:t>
            </w:r>
          </w:p>
        </w:tc>
        <w:tc>
          <w:tcPr>
            <w:tcW w:w="2590" w:type="dxa"/>
            <w:vAlign w:val="center"/>
          </w:tcPr>
          <w:p w:rsidR="00683496" w:rsidRPr="006D2270" w:rsidRDefault="00683496" w:rsidP="00683496">
            <w:pPr>
              <w:spacing w:before="60"/>
              <w:jc w:val="center"/>
              <w:rPr>
                <w:rFonts w:ascii="Verdana" w:hAnsi="Verdana" w:cs="Arial"/>
              </w:rPr>
            </w:pPr>
            <w:r w:rsidRPr="006D2270">
              <w:rPr>
                <w:rFonts w:ascii="Verdana" w:hAnsi="Verdana" w:cs="Arial"/>
              </w:rPr>
              <w:t>od 1</w:t>
            </w:r>
            <w:r>
              <w:rPr>
                <w:rFonts w:ascii="Verdana" w:hAnsi="Verdana" w:cs="Arial"/>
              </w:rPr>
              <w:t>6</w:t>
            </w:r>
            <w:r w:rsidRPr="006D2270">
              <w:rPr>
                <w:rFonts w:ascii="Verdana" w:hAnsi="Verdana" w:cs="Arial"/>
              </w:rPr>
              <w:t>0 do 1</w:t>
            </w:r>
            <w:r>
              <w:rPr>
                <w:rFonts w:ascii="Verdana" w:hAnsi="Verdana" w:cs="Arial"/>
              </w:rPr>
              <w:t>80</w:t>
            </w:r>
          </w:p>
          <w:p w:rsidR="00683496" w:rsidRPr="006D2270" w:rsidRDefault="00683496" w:rsidP="00683496">
            <w:pPr>
              <w:spacing w:before="60"/>
              <w:jc w:val="center"/>
              <w:rPr>
                <w:rFonts w:ascii="Verdana" w:hAnsi="Verdana" w:cs="Arial"/>
              </w:rPr>
            </w:pPr>
            <w:r w:rsidRPr="006D2270">
              <w:rPr>
                <w:rFonts w:ascii="Verdana" w:hAnsi="Verdana" w:cs="Arial"/>
              </w:rPr>
              <w:t>od 1</w:t>
            </w:r>
            <w:r>
              <w:rPr>
                <w:rFonts w:ascii="Verdana" w:hAnsi="Verdana" w:cs="Arial"/>
              </w:rPr>
              <w:t>6</w:t>
            </w:r>
            <w:r w:rsidRPr="006D2270">
              <w:rPr>
                <w:rFonts w:ascii="Verdana" w:hAnsi="Verdana" w:cs="Arial"/>
              </w:rPr>
              <w:t>0 do 180</w:t>
            </w:r>
          </w:p>
        </w:tc>
      </w:tr>
    </w:tbl>
    <w:p w:rsidR="00683496" w:rsidRPr="006D2270" w:rsidRDefault="00683496" w:rsidP="00683496">
      <w:pPr>
        <w:rPr>
          <w:rFonts w:ascii="Verdana" w:hAnsi="Verdana" w:cs="Arial"/>
        </w:rPr>
      </w:pPr>
      <w:r w:rsidRPr="006D2270">
        <w:rPr>
          <w:rFonts w:ascii="Verdana" w:hAnsi="Verdana" w:cs="Arial"/>
        </w:rPr>
        <w:tab/>
      </w:r>
    </w:p>
    <w:p w:rsidR="00683496" w:rsidRPr="006D2270" w:rsidRDefault="00683496" w:rsidP="00683496">
      <w:pPr>
        <w:jc w:val="both"/>
        <w:rPr>
          <w:rFonts w:ascii="Verdana" w:hAnsi="Verdana" w:cs="Arial"/>
        </w:rPr>
      </w:pPr>
      <w:r w:rsidRPr="006D2270">
        <w:rPr>
          <w:rFonts w:ascii="Verdana" w:hAnsi="Verdana" w:cs="Arial"/>
        </w:rPr>
        <w:t>Sposób i czas mieszania składników mieszanki mineralno-asfaltowej powinny zapewnić równomierne otoczenie kruszywa lepiszczem asfaltowym.</w:t>
      </w:r>
    </w:p>
    <w:p w:rsidR="00683496" w:rsidRPr="006D2270" w:rsidRDefault="00683496" w:rsidP="00683496">
      <w:pPr>
        <w:keepNext/>
        <w:spacing w:before="240"/>
        <w:outlineLvl w:val="1"/>
        <w:rPr>
          <w:rFonts w:ascii="Verdana" w:hAnsi="Verdana" w:cs="Arial"/>
          <w:b/>
          <w:bCs/>
          <w:iCs/>
        </w:rPr>
      </w:pPr>
      <w:bookmarkStart w:id="362" w:name="_Toc316558744"/>
      <w:r w:rsidRPr="006D2270">
        <w:rPr>
          <w:rFonts w:ascii="Verdana" w:hAnsi="Verdana" w:cs="Arial"/>
          <w:b/>
          <w:bCs/>
          <w:iCs/>
        </w:rPr>
        <w:t>5.4. Przygotowanie podłoża</w:t>
      </w:r>
      <w:bookmarkEnd w:id="362"/>
    </w:p>
    <w:p w:rsidR="00683496" w:rsidRPr="006D2270" w:rsidRDefault="00683496" w:rsidP="00683496">
      <w:pPr>
        <w:jc w:val="both"/>
        <w:rPr>
          <w:rFonts w:ascii="Verdana" w:hAnsi="Verdana" w:cs="Arial"/>
        </w:rPr>
      </w:pPr>
      <w:r w:rsidRPr="006D2270">
        <w:rPr>
          <w:rFonts w:ascii="Verdana" w:hAnsi="Verdana" w:cs="Arial"/>
        </w:rPr>
        <w:t>Podłoże (warst</w:t>
      </w:r>
      <w:r>
        <w:rPr>
          <w:rFonts w:ascii="Verdana" w:hAnsi="Verdana" w:cs="Arial"/>
        </w:rPr>
        <w:t>wa wyrównawcza, warstwa wiążąca</w:t>
      </w:r>
      <w:r w:rsidRPr="006D2270">
        <w:rPr>
          <w:rFonts w:ascii="Verdana" w:hAnsi="Verdana" w:cs="Arial"/>
        </w:rPr>
        <w:t>) pod warstwę ścieralną z betonu asfaltowego powinno być na całej powierzchni:</w:t>
      </w:r>
    </w:p>
    <w:p w:rsidR="00683496" w:rsidRPr="006D2270" w:rsidRDefault="00683496" w:rsidP="002122BD">
      <w:pPr>
        <w:numPr>
          <w:ilvl w:val="0"/>
          <w:numId w:val="33"/>
        </w:numPr>
        <w:overflowPunct w:val="0"/>
        <w:autoSpaceDE w:val="0"/>
        <w:autoSpaceDN w:val="0"/>
        <w:adjustRightInd w:val="0"/>
        <w:jc w:val="both"/>
        <w:textAlignment w:val="baseline"/>
        <w:rPr>
          <w:rFonts w:ascii="Verdana" w:hAnsi="Verdana" w:cs="Arial"/>
        </w:rPr>
      </w:pPr>
      <w:r w:rsidRPr="006D2270">
        <w:rPr>
          <w:rFonts w:ascii="Verdana" w:hAnsi="Verdana" w:cs="Arial"/>
        </w:rPr>
        <w:t>ustabilizowane i nośne,</w:t>
      </w:r>
    </w:p>
    <w:p w:rsidR="00683496" w:rsidRPr="006D2270" w:rsidRDefault="00683496" w:rsidP="002122BD">
      <w:pPr>
        <w:numPr>
          <w:ilvl w:val="0"/>
          <w:numId w:val="33"/>
        </w:numPr>
        <w:overflowPunct w:val="0"/>
        <w:autoSpaceDE w:val="0"/>
        <w:autoSpaceDN w:val="0"/>
        <w:adjustRightInd w:val="0"/>
        <w:jc w:val="both"/>
        <w:textAlignment w:val="baseline"/>
        <w:rPr>
          <w:rFonts w:ascii="Verdana" w:hAnsi="Verdana" w:cs="Arial"/>
        </w:rPr>
      </w:pPr>
      <w:r w:rsidRPr="006D2270">
        <w:rPr>
          <w:rFonts w:ascii="Verdana" w:hAnsi="Verdana" w:cs="Arial"/>
        </w:rPr>
        <w:t>czyste, bez zanieczyszczenia lub pozostałości luźnego kruszywa,</w:t>
      </w:r>
    </w:p>
    <w:p w:rsidR="00683496" w:rsidRPr="006D2270" w:rsidRDefault="00683496" w:rsidP="002122BD">
      <w:pPr>
        <w:numPr>
          <w:ilvl w:val="0"/>
          <w:numId w:val="33"/>
        </w:numPr>
        <w:overflowPunct w:val="0"/>
        <w:autoSpaceDE w:val="0"/>
        <w:autoSpaceDN w:val="0"/>
        <w:adjustRightInd w:val="0"/>
        <w:jc w:val="both"/>
        <w:textAlignment w:val="baseline"/>
        <w:rPr>
          <w:rFonts w:ascii="Verdana" w:hAnsi="Verdana" w:cs="Arial"/>
        </w:rPr>
      </w:pPr>
      <w:r w:rsidRPr="006D2270">
        <w:rPr>
          <w:rFonts w:ascii="Verdana" w:hAnsi="Verdana" w:cs="Arial"/>
        </w:rPr>
        <w:t>wyprofilowane, równe i bez kolein.</w:t>
      </w:r>
    </w:p>
    <w:p w:rsidR="00683496" w:rsidRPr="006D2270" w:rsidRDefault="00683496" w:rsidP="00683496">
      <w:pPr>
        <w:jc w:val="both"/>
        <w:rPr>
          <w:rFonts w:ascii="Verdana" w:hAnsi="Verdana" w:cs="Arial"/>
        </w:rPr>
      </w:pPr>
      <w:r w:rsidRPr="006D2270">
        <w:rPr>
          <w:rFonts w:ascii="Verdana" w:hAnsi="Verdana" w:cs="Arial"/>
        </w:rPr>
        <w:t>W wypadku podłoża z nowo wykonanej warstwy nawierzchni, do oceny nierówności należy przyjąć dane z pomiaru równości tej warstwy. Wymagana równość podłużna i porzeczna jest określona w rozporządzeniu dotyczącym warunków technicznych, jakim powinny odpowiadać drogi publiczne [67]. W wypadku podłoża z warstwy starej nawierzchni, nierówności nie powinny przekraczać wartości podanych w tab</w:t>
      </w:r>
      <w:r>
        <w:rPr>
          <w:rFonts w:ascii="Verdana" w:hAnsi="Verdana" w:cs="Arial"/>
        </w:rPr>
        <w:t>eli</w:t>
      </w:r>
      <w:r w:rsidRPr="006D2270">
        <w:rPr>
          <w:rFonts w:ascii="Verdana" w:hAnsi="Verdana" w:cs="Arial"/>
        </w:rPr>
        <w:t xml:space="preserve"> 1</w:t>
      </w:r>
      <w:r>
        <w:rPr>
          <w:rFonts w:ascii="Verdana" w:hAnsi="Verdana" w:cs="Arial"/>
        </w:rPr>
        <w:t>0</w:t>
      </w:r>
      <w:r w:rsidRPr="006D2270">
        <w:rPr>
          <w:rFonts w:ascii="Verdana" w:hAnsi="Verdana" w:cs="Arial"/>
        </w:rPr>
        <w:t>.</w:t>
      </w:r>
    </w:p>
    <w:p w:rsidR="00683496" w:rsidRPr="006D2270" w:rsidRDefault="00683496" w:rsidP="00683496">
      <w:pPr>
        <w:ind w:left="397"/>
        <w:jc w:val="both"/>
        <w:rPr>
          <w:rFonts w:ascii="Verdana" w:hAnsi="Verdana" w:cs="Arial"/>
        </w:rPr>
      </w:pPr>
    </w:p>
    <w:p w:rsidR="00683496" w:rsidRPr="006D2270" w:rsidRDefault="00683496" w:rsidP="00683496">
      <w:pPr>
        <w:ind w:left="1276" w:hanging="1276"/>
        <w:jc w:val="both"/>
        <w:rPr>
          <w:rFonts w:ascii="Verdana" w:hAnsi="Verdana" w:cs="Arial"/>
        </w:rPr>
      </w:pPr>
      <w:r w:rsidRPr="006D2270">
        <w:rPr>
          <w:rFonts w:ascii="Verdana" w:hAnsi="Verdana" w:cs="Arial"/>
        </w:rPr>
        <w:t>Tab</w:t>
      </w:r>
      <w:r>
        <w:rPr>
          <w:rFonts w:ascii="Verdana" w:hAnsi="Verdana" w:cs="Arial"/>
        </w:rPr>
        <w:t xml:space="preserve">ela </w:t>
      </w:r>
      <w:r w:rsidRPr="006D2270">
        <w:rPr>
          <w:rFonts w:ascii="Verdana" w:hAnsi="Verdana" w:cs="Arial"/>
        </w:rPr>
        <w:t>1</w:t>
      </w:r>
      <w:r>
        <w:rPr>
          <w:rFonts w:ascii="Verdana" w:hAnsi="Verdana" w:cs="Arial"/>
        </w:rPr>
        <w:t xml:space="preserve">0. </w:t>
      </w:r>
      <w:r w:rsidRPr="006D2270">
        <w:rPr>
          <w:rFonts w:ascii="Verdana" w:hAnsi="Verdana" w:cs="Arial"/>
        </w:rPr>
        <w:t>Maksymalne nierówności podłoża z warstwy starej nawierzchni pod warstwy AC</w:t>
      </w:r>
      <w:r>
        <w:rPr>
          <w:rFonts w:ascii="Verdana" w:hAnsi="Verdana" w:cs="Arial"/>
        </w:rPr>
        <w:t xml:space="preserve"> </w:t>
      </w:r>
      <w:r w:rsidRPr="006D2270">
        <w:rPr>
          <w:rFonts w:ascii="Verdana" w:hAnsi="Verdana" w:cs="Arial"/>
        </w:rPr>
        <w:t>(pomiar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5902"/>
        <w:gridCol w:w="2189"/>
      </w:tblGrid>
      <w:tr w:rsidR="00683496" w:rsidRPr="006D2270" w:rsidTr="00683496">
        <w:tc>
          <w:tcPr>
            <w:tcW w:w="1223" w:type="dxa"/>
          </w:tcPr>
          <w:p w:rsidR="00683496" w:rsidRPr="006D2270" w:rsidRDefault="00683496" w:rsidP="00683496">
            <w:pPr>
              <w:jc w:val="center"/>
              <w:rPr>
                <w:rFonts w:ascii="Verdana" w:hAnsi="Verdana" w:cs="Arial"/>
              </w:rPr>
            </w:pPr>
          </w:p>
          <w:p w:rsidR="00683496" w:rsidRPr="006D2270" w:rsidRDefault="00683496" w:rsidP="00683496">
            <w:pPr>
              <w:jc w:val="center"/>
              <w:rPr>
                <w:rFonts w:ascii="Verdana" w:hAnsi="Verdana" w:cs="Arial"/>
              </w:rPr>
            </w:pPr>
            <w:r w:rsidRPr="006D2270">
              <w:rPr>
                <w:rFonts w:ascii="Verdana" w:hAnsi="Verdana" w:cs="Arial"/>
              </w:rPr>
              <w:t>Klasa drogi</w:t>
            </w:r>
          </w:p>
        </w:tc>
        <w:tc>
          <w:tcPr>
            <w:tcW w:w="6369" w:type="dxa"/>
          </w:tcPr>
          <w:p w:rsidR="00683496" w:rsidRPr="006D2270" w:rsidRDefault="00683496" w:rsidP="00683496">
            <w:pPr>
              <w:jc w:val="center"/>
              <w:rPr>
                <w:rFonts w:ascii="Verdana" w:hAnsi="Verdana" w:cs="Arial"/>
              </w:rPr>
            </w:pPr>
          </w:p>
          <w:p w:rsidR="00683496" w:rsidRPr="006D2270" w:rsidRDefault="00683496" w:rsidP="00683496">
            <w:pPr>
              <w:jc w:val="center"/>
              <w:rPr>
                <w:rFonts w:ascii="Verdana" w:hAnsi="Verdana" w:cs="Arial"/>
              </w:rPr>
            </w:pPr>
            <w:r w:rsidRPr="006D2270">
              <w:rPr>
                <w:rFonts w:ascii="Verdana" w:hAnsi="Verdana" w:cs="Arial"/>
              </w:rPr>
              <w:t>Element nawierzchni</w:t>
            </w:r>
          </w:p>
        </w:tc>
        <w:tc>
          <w:tcPr>
            <w:tcW w:w="2265" w:type="dxa"/>
          </w:tcPr>
          <w:p w:rsidR="00683496" w:rsidRPr="006D2270" w:rsidRDefault="00683496" w:rsidP="00683496">
            <w:pPr>
              <w:jc w:val="center"/>
              <w:rPr>
                <w:rFonts w:ascii="Verdana" w:hAnsi="Verdana" w:cs="Arial"/>
              </w:rPr>
            </w:pPr>
            <w:r w:rsidRPr="006D2270">
              <w:rPr>
                <w:rFonts w:ascii="Verdana" w:hAnsi="Verdana" w:cs="Arial"/>
              </w:rPr>
              <w:t>Maksymalna nierówność podłoża pod warstwę ścieralną [mm]</w:t>
            </w:r>
          </w:p>
        </w:tc>
      </w:tr>
      <w:tr w:rsidR="00683496" w:rsidRPr="006D2270" w:rsidTr="00683496">
        <w:tc>
          <w:tcPr>
            <w:tcW w:w="1223" w:type="dxa"/>
            <w:vAlign w:val="center"/>
          </w:tcPr>
          <w:p w:rsidR="00683496" w:rsidRPr="006D2270" w:rsidRDefault="00683496" w:rsidP="00683496">
            <w:pPr>
              <w:jc w:val="center"/>
              <w:rPr>
                <w:rFonts w:ascii="Verdana" w:hAnsi="Verdana" w:cs="Arial"/>
              </w:rPr>
            </w:pPr>
            <w:r w:rsidRPr="006D2270">
              <w:rPr>
                <w:rFonts w:ascii="Verdana" w:hAnsi="Verdana" w:cs="Arial"/>
              </w:rPr>
              <w:t>G</w:t>
            </w:r>
          </w:p>
        </w:tc>
        <w:tc>
          <w:tcPr>
            <w:tcW w:w="6369" w:type="dxa"/>
            <w:vAlign w:val="center"/>
          </w:tcPr>
          <w:p w:rsidR="00683496" w:rsidRPr="006D2270" w:rsidRDefault="00683496" w:rsidP="00683496">
            <w:pPr>
              <w:rPr>
                <w:rFonts w:ascii="Verdana" w:hAnsi="Verdana" w:cs="Arial"/>
              </w:rPr>
            </w:pPr>
            <w:r w:rsidRPr="006D2270">
              <w:rPr>
                <w:rFonts w:ascii="Verdana" w:hAnsi="Verdana" w:cs="Arial"/>
              </w:rPr>
              <w:t>Pasy: ruchu, dodatkowe, włączania i wyłączania, postojowe, utwardzone pobocza</w:t>
            </w:r>
          </w:p>
        </w:tc>
        <w:tc>
          <w:tcPr>
            <w:tcW w:w="2265" w:type="dxa"/>
            <w:vAlign w:val="center"/>
          </w:tcPr>
          <w:p w:rsidR="00683496" w:rsidRPr="006D2270" w:rsidRDefault="00683496" w:rsidP="00683496">
            <w:pPr>
              <w:jc w:val="center"/>
              <w:rPr>
                <w:rFonts w:ascii="Verdana" w:hAnsi="Verdana" w:cs="Arial"/>
              </w:rPr>
            </w:pPr>
            <w:r w:rsidRPr="006D2270">
              <w:rPr>
                <w:rFonts w:ascii="Verdana" w:hAnsi="Verdana" w:cs="Arial"/>
              </w:rPr>
              <w:t>8</w:t>
            </w:r>
          </w:p>
        </w:tc>
      </w:tr>
    </w:tbl>
    <w:p w:rsidR="00683496" w:rsidRPr="006D2270" w:rsidRDefault="00683496" w:rsidP="00683496">
      <w:pPr>
        <w:spacing w:before="120"/>
        <w:jc w:val="both"/>
        <w:rPr>
          <w:rFonts w:ascii="Verdana" w:hAnsi="Verdana" w:cs="Arial"/>
        </w:rPr>
      </w:pPr>
      <w:bookmarkStart w:id="363" w:name="_Toc316558745"/>
      <w:r w:rsidRPr="006D2270">
        <w:rPr>
          <w:rFonts w:ascii="Verdana" w:hAnsi="Verdana" w:cs="Arial"/>
        </w:rPr>
        <w:t>Jeżeli nierówności  są większe niż dopuszczalne, to należy wyrównać podłoże.</w:t>
      </w:r>
    </w:p>
    <w:p w:rsidR="00683496" w:rsidRPr="006D2270" w:rsidRDefault="00683496" w:rsidP="00683496">
      <w:pPr>
        <w:jc w:val="both"/>
        <w:rPr>
          <w:rFonts w:ascii="Verdana" w:hAnsi="Verdana" w:cs="Arial"/>
        </w:rPr>
      </w:pPr>
      <w:r w:rsidRPr="006D2270">
        <w:rPr>
          <w:rFonts w:ascii="Verdana" w:hAnsi="Verdana" w:cs="Arial"/>
        </w:rPr>
        <w:t>Rzędne wysokościowe podłoża oraz urządzeń usytuowanych w nawierzchni lub ją ograniczających powinny być zgodne z dokumentacją projektową. Z podłoża powinien być zapewniony odpływ wody.</w:t>
      </w:r>
    </w:p>
    <w:p w:rsidR="00683496" w:rsidRPr="006D2270" w:rsidRDefault="00683496" w:rsidP="00683496">
      <w:pPr>
        <w:jc w:val="both"/>
        <w:rPr>
          <w:rFonts w:ascii="Verdana" w:hAnsi="Verdana" w:cs="Arial"/>
        </w:rPr>
      </w:pPr>
      <w:r w:rsidRPr="006D2270">
        <w:rPr>
          <w:rFonts w:ascii="Verdana" w:hAnsi="Verdana" w:cs="Arial"/>
        </w:rPr>
        <w:t>Oznakowanie poziome na warstwie podłoża należy usunąć. Dopuszcza się pozostawienie oznakowania poziomego z materiałów termoplastyc</w:t>
      </w:r>
      <w:r>
        <w:rPr>
          <w:rFonts w:ascii="Verdana" w:hAnsi="Verdana" w:cs="Arial"/>
        </w:rPr>
        <w:t xml:space="preserve">znych przy spełnieniu warunku </w:t>
      </w:r>
      <w:proofErr w:type="spellStart"/>
      <w:r>
        <w:rPr>
          <w:rFonts w:ascii="Verdana" w:hAnsi="Verdana" w:cs="Arial"/>
        </w:rPr>
        <w:t>s</w:t>
      </w:r>
      <w:r w:rsidRPr="006D2270">
        <w:rPr>
          <w:rFonts w:ascii="Verdana" w:hAnsi="Verdana" w:cs="Arial"/>
        </w:rPr>
        <w:t>czepności</w:t>
      </w:r>
      <w:proofErr w:type="spellEnd"/>
      <w:r w:rsidRPr="006D2270">
        <w:rPr>
          <w:rFonts w:ascii="Verdana" w:hAnsi="Verdana" w:cs="Arial"/>
        </w:rPr>
        <w:t xml:space="preserve"> warstw wg punktu 5.6.</w:t>
      </w:r>
    </w:p>
    <w:p w:rsidR="00683496" w:rsidRPr="006D2270" w:rsidRDefault="00683496" w:rsidP="00683496">
      <w:pPr>
        <w:jc w:val="both"/>
        <w:rPr>
          <w:rFonts w:ascii="Verdana" w:hAnsi="Verdana" w:cs="Arial"/>
        </w:rPr>
      </w:pPr>
      <w:r w:rsidRPr="006D2270">
        <w:rPr>
          <w:rFonts w:ascii="Verdana" w:hAnsi="Verdana" w:cs="Arial"/>
        </w:rPr>
        <w:t>Nierówności podłoża (w tym powierzchnię istniejącej warstwy ścieralnej) należy wyrównać poprzez frezowanie lub wykonanie warstwy wyrównawczej.</w:t>
      </w:r>
    </w:p>
    <w:p w:rsidR="00683496" w:rsidRPr="006D2270" w:rsidRDefault="00683496" w:rsidP="00683496">
      <w:pPr>
        <w:jc w:val="both"/>
        <w:rPr>
          <w:rFonts w:ascii="Verdana" w:hAnsi="Verdana" w:cs="Arial"/>
        </w:rPr>
      </w:pPr>
      <w:r w:rsidRPr="006D2270">
        <w:rPr>
          <w:rFonts w:ascii="Verdana" w:hAnsi="Verdana" w:cs="Aria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683496" w:rsidRPr="006D2270" w:rsidRDefault="00683496" w:rsidP="00683496">
      <w:pPr>
        <w:jc w:val="both"/>
        <w:rPr>
          <w:rFonts w:ascii="Verdana" w:hAnsi="Verdana" w:cs="Arial"/>
        </w:rPr>
      </w:pPr>
      <w:r w:rsidRPr="006D2270">
        <w:rPr>
          <w:rFonts w:ascii="Verdana" w:hAnsi="Verdana" w:cs="Arial"/>
        </w:rPr>
        <w:t>W celu polepszenia połączenia między warstwami technologicznymi nawierzchni powierzchnia podłoża powinna być w ocenie wizualnej chropowata.</w:t>
      </w:r>
    </w:p>
    <w:p w:rsidR="00683496" w:rsidRPr="006D2270" w:rsidRDefault="00683496" w:rsidP="00683496">
      <w:pPr>
        <w:jc w:val="both"/>
        <w:rPr>
          <w:rFonts w:ascii="Verdana" w:hAnsi="Verdana" w:cs="Arial"/>
        </w:rPr>
      </w:pPr>
      <w:r w:rsidRPr="006D2270">
        <w:rPr>
          <w:rFonts w:ascii="Verdana" w:hAnsi="Verdana" w:cs="Arial"/>
        </w:rPr>
        <w:t>Jeżeli podłoże jest nieodpowiednie, to należy ustalić, jakie specjalne środki należy podjąć przed wykonaniem warstwy asfaltowej.</w:t>
      </w:r>
    </w:p>
    <w:p w:rsidR="00683496" w:rsidRPr="006D2270" w:rsidRDefault="00683496" w:rsidP="00683496">
      <w:pPr>
        <w:jc w:val="both"/>
        <w:rPr>
          <w:rFonts w:ascii="Verdana" w:hAnsi="Verdana" w:cs="Arial"/>
        </w:rPr>
      </w:pPr>
      <w:r w:rsidRPr="006D2270">
        <w:rPr>
          <w:rFonts w:ascii="Verdana" w:hAnsi="Verdana" w:cs="Arial"/>
        </w:rPr>
        <w:t>Szerokie szczeliny w podłożu należy wypełnić odpowiednim materiałem, np. zalewami drogowymi według PN-EN 14188-1 [60] lub PN-EN 14188-2 [61] albo innymi materiałami według norm lub aprobat technicznych.</w:t>
      </w:r>
    </w:p>
    <w:p w:rsidR="00683496" w:rsidRDefault="00683496" w:rsidP="00683496">
      <w:pPr>
        <w:jc w:val="both"/>
        <w:rPr>
          <w:rFonts w:ascii="Verdana" w:hAnsi="Verdana" w:cs="Arial"/>
        </w:rPr>
      </w:pPr>
      <w:r w:rsidRPr="006D2270">
        <w:rPr>
          <w:rFonts w:ascii="Verdana" w:hAnsi="Verdana" w:cs="Arial"/>
        </w:rPr>
        <w:t xml:space="preserve">Na podłożu wykazującym zniszczenia w postaci siatki spękań zmęczeniowych lub spękań poprzecznych zaleca się stosowanie membrany </w:t>
      </w:r>
      <w:proofErr w:type="spellStart"/>
      <w:r w:rsidRPr="006D2270">
        <w:rPr>
          <w:rFonts w:ascii="Verdana" w:hAnsi="Verdana" w:cs="Arial"/>
        </w:rPr>
        <w:t>przeciwspękaniowej</w:t>
      </w:r>
      <w:proofErr w:type="spellEnd"/>
      <w:r w:rsidRPr="006D2270">
        <w:rPr>
          <w:rFonts w:ascii="Verdana" w:hAnsi="Verdana" w:cs="Arial"/>
        </w:rPr>
        <w:t xml:space="preserve">, np. mieszanki mineralno-asfaltowej, warstwy SAMI lub z </w:t>
      </w:r>
      <w:proofErr w:type="spellStart"/>
      <w:r w:rsidRPr="006D2270">
        <w:rPr>
          <w:rFonts w:ascii="Verdana" w:hAnsi="Verdana" w:cs="Arial"/>
        </w:rPr>
        <w:t>geosyntetyków</w:t>
      </w:r>
      <w:proofErr w:type="spellEnd"/>
      <w:r w:rsidRPr="006D2270">
        <w:rPr>
          <w:rFonts w:ascii="Verdana" w:hAnsi="Verdana" w:cs="Arial"/>
        </w:rPr>
        <w:t xml:space="preserve"> według norm lub aprobat technicznych.</w:t>
      </w:r>
    </w:p>
    <w:p w:rsidR="00683496" w:rsidRDefault="00683496" w:rsidP="00683496">
      <w:pPr>
        <w:jc w:val="both"/>
        <w:rPr>
          <w:rFonts w:ascii="Verdana" w:hAnsi="Verdana" w:cs="Arial"/>
          <w:b/>
          <w:bCs/>
          <w:iCs/>
        </w:rPr>
      </w:pPr>
    </w:p>
    <w:p w:rsidR="00683496" w:rsidRDefault="00683496" w:rsidP="00683496">
      <w:pPr>
        <w:jc w:val="both"/>
        <w:rPr>
          <w:rFonts w:ascii="Verdana" w:hAnsi="Verdana" w:cs="Arial"/>
        </w:rPr>
      </w:pPr>
      <w:r w:rsidRPr="006D2270">
        <w:rPr>
          <w:rFonts w:ascii="Verdana" w:hAnsi="Verdana" w:cs="Arial"/>
          <w:b/>
          <w:bCs/>
          <w:iCs/>
        </w:rPr>
        <w:t>5.5. Próba technologiczna</w:t>
      </w:r>
      <w:bookmarkEnd w:id="363"/>
      <w:r w:rsidRPr="006D2270">
        <w:rPr>
          <w:rFonts w:ascii="Verdana" w:hAnsi="Verdana" w:cs="Arial"/>
          <w:b/>
          <w:bCs/>
          <w:iCs/>
        </w:rPr>
        <w:t xml:space="preserve">  </w:t>
      </w:r>
    </w:p>
    <w:p w:rsidR="00683496" w:rsidRDefault="00683496" w:rsidP="00683496">
      <w:pPr>
        <w:jc w:val="both"/>
        <w:rPr>
          <w:rFonts w:ascii="Verdana" w:hAnsi="Verdana" w:cs="Arial"/>
        </w:rPr>
      </w:pPr>
      <w:r w:rsidRPr="006D2270">
        <w:rPr>
          <w:rFonts w:ascii="Verdana" w:hAnsi="Verdana" w:cs="Arial"/>
        </w:rPr>
        <w:t xml:space="preserve">Wykonawca przed przystąpieniem do produkcji mieszanki jest zobowiązany na żądanie Przedstawiciela Zamawiającego/Inspektora Nadzoru  do przeprowadzenia w jego obecności  </w:t>
      </w:r>
      <w:r w:rsidRPr="006D2270">
        <w:rPr>
          <w:rFonts w:ascii="Verdana" w:hAnsi="Verdana" w:cs="Arial"/>
        </w:rPr>
        <w:lastRenderedPageBreak/>
        <w:t>próby technologicznej, która ma na celu sprawdzenie zgodności właściwości wyprodukowanej mieszanki z receptą. Inspektor Nadzoru podejmuje decyzję o ewentualnym wykonaniu próby technologicznej na podstawie doświadczenia Wykonawcy w wykonywaniu robót z wykorzystaniem danej recepty na drogach krajowych województwa warmińsko-mazurskiego. W tym celu należy zaprogramować otaczarkę zgodnie z receptą roboczą i w cyklu automatycznym produkować mieszankę. Do badań należy pobrać mieszankę wyprodukowaną po ustabilizowaniu się pracy otaczarki.</w:t>
      </w:r>
    </w:p>
    <w:p w:rsidR="00683496" w:rsidRPr="006D2270" w:rsidRDefault="00683496" w:rsidP="00683496">
      <w:pPr>
        <w:jc w:val="both"/>
        <w:rPr>
          <w:rFonts w:ascii="Verdana" w:hAnsi="Verdana" w:cs="Arial"/>
        </w:rPr>
      </w:pPr>
      <w:r w:rsidRPr="006D2270">
        <w:rPr>
          <w:rFonts w:ascii="Verdana" w:hAnsi="Verdana" w:cs="Arial"/>
        </w:rPr>
        <w:t xml:space="preserve">Nie dopuszcza się oceniania dokładności pracy otaczarki oraz prawidłowości składu mieszanki mineralnej na podstawie tzw. suchego </w:t>
      </w:r>
      <w:proofErr w:type="spellStart"/>
      <w:r w:rsidRPr="006D2270">
        <w:rPr>
          <w:rFonts w:ascii="Verdana" w:hAnsi="Verdana" w:cs="Arial"/>
        </w:rPr>
        <w:t>zarobu</w:t>
      </w:r>
      <w:proofErr w:type="spellEnd"/>
      <w:r w:rsidRPr="006D2270">
        <w:rPr>
          <w:rFonts w:ascii="Verdana" w:hAnsi="Verdana" w:cs="Arial"/>
        </w:rPr>
        <w:t>, z uwagi na możliwą segregację kruszywa.</w:t>
      </w:r>
    </w:p>
    <w:p w:rsidR="00683496" w:rsidRPr="006D2270" w:rsidRDefault="00683496" w:rsidP="00683496">
      <w:pPr>
        <w:jc w:val="both"/>
        <w:rPr>
          <w:rFonts w:ascii="Verdana" w:hAnsi="Verdana" w:cs="Arial"/>
        </w:rPr>
      </w:pPr>
      <w:r w:rsidRPr="006D2270">
        <w:rPr>
          <w:rFonts w:ascii="Verdana" w:hAnsi="Verdana" w:cs="Arial"/>
        </w:rPr>
        <w:t xml:space="preserve">Mieszankę wyprodukowaną po ustabilizowaniu się pracy otaczarki należy zgromadzić w silosie lub załadować na samochód. Próbki do badań należy pobierać ze skrzyni samochodu zgodnie z metodą określoną  w PN-EN 12697-27 [39]. </w:t>
      </w:r>
    </w:p>
    <w:p w:rsidR="00683496" w:rsidRPr="00A36ABD" w:rsidRDefault="00683496" w:rsidP="00683496">
      <w:pPr>
        <w:rPr>
          <w:rFonts w:ascii="Verdana" w:hAnsi="Verdana"/>
        </w:rPr>
      </w:pPr>
      <w:r w:rsidRPr="00A36ABD">
        <w:rPr>
          <w:rFonts w:ascii="Verdana" w:hAnsi="Verdana"/>
        </w:rPr>
        <w:t xml:space="preserve">Wykonawca wykona następujące badania w ramach próby technologicznej: </w:t>
      </w:r>
    </w:p>
    <w:p w:rsidR="00683496" w:rsidRPr="00A36ABD" w:rsidRDefault="00683496" w:rsidP="002122BD">
      <w:pPr>
        <w:numPr>
          <w:ilvl w:val="0"/>
          <w:numId w:val="43"/>
        </w:numPr>
        <w:ind w:firstLine="284"/>
        <w:jc w:val="both"/>
        <w:rPr>
          <w:rFonts w:ascii="Verdana" w:hAnsi="Verdana"/>
        </w:rPr>
      </w:pPr>
      <w:r w:rsidRPr="00A36ABD">
        <w:rPr>
          <w:rFonts w:ascii="Verdana" w:hAnsi="Verdana"/>
        </w:rPr>
        <w:t xml:space="preserve">zawartość lepiszcza rozpuszczalnego, uziarnienie, </w:t>
      </w:r>
    </w:p>
    <w:p w:rsidR="00683496" w:rsidRPr="00A36ABD" w:rsidRDefault="00683496" w:rsidP="002122BD">
      <w:pPr>
        <w:numPr>
          <w:ilvl w:val="0"/>
          <w:numId w:val="43"/>
        </w:numPr>
        <w:ind w:firstLine="284"/>
        <w:jc w:val="both"/>
        <w:rPr>
          <w:rFonts w:ascii="Verdana" w:hAnsi="Verdana"/>
        </w:rPr>
      </w:pPr>
      <w:r w:rsidRPr="00A36ABD">
        <w:rPr>
          <w:rFonts w:ascii="Verdana" w:hAnsi="Verdana"/>
        </w:rPr>
        <w:t>zawartość wolnych przestrzeni w</w:t>
      </w:r>
      <w:r>
        <w:rPr>
          <w:rFonts w:ascii="Verdana" w:hAnsi="Verdana"/>
        </w:rPr>
        <w:t xml:space="preserve"> mieszance</w:t>
      </w:r>
      <w:r w:rsidRPr="00A36ABD">
        <w:rPr>
          <w:rFonts w:ascii="Verdana" w:hAnsi="Verdana"/>
        </w:rPr>
        <w:t xml:space="preserve"> </w:t>
      </w:r>
      <w:r>
        <w:rPr>
          <w:rFonts w:ascii="Verdana" w:hAnsi="Verdana"/>
        </w:rPr>
        <w:t>M</w:t>
      </w:r>
      <w:r w:rsidRPr="00A36ABD">
        <w:rPr>
          <w:rFonts w:ascii="Verdana" w:hAnsi="Verdana"/>
        </w:rPr>
        <w:t xml:space="preserve">MA, </w:t>
      </w:r>
    </w:p>
    <w:p w:rsidR="00683496" w:rsidRPr="00896569" w:rsidRDefault="00683496" w:rsidP="002122BD">
      <w:pPr>
        <w:numPr>
          <w:ilvl w:val="0"/>
          <w:numId w:val="43"/>
        </w:numPr>
        <w:ind w:firstLine="284"/>
        <w:jc w:val="both"/>
        <w:rPr>
          <w:rFonts w:ascii="Verdana" w:hAnsi="Verdana"/>
        </w:rPr>
      </w:pPr>
      <w:r w:rsidRPr="00A36ABD">
        <w:rPr>
          <w:rFonts w:ascii="Verdana" w:hAnsi="Verdana"/>
        </w:rPr>
        <w:t>odporności na działanie wody i mrozu (</w:t>
      </w:r>
      <w:r w:rsidRPr="00A36ABD">
        <w:rPr>
          <w:rFonts w:ascii="Verdana" w:hAnsi="Verdana"/>
          <w:i/>
        </w:rPr>
        <w:t>ITSR</w:t>
      </w:r>
      <w:r w:rsidRPr="00A36ABD">
        <w:rPr>
          <w:rFonts w:ascii="Verdana" w:hAnsi="Verdana"/>
        </w:rPr>
        <w:t xml:space="preserve">). </w:t>
      </w:r>
    </w:p>
    <w:p w:rsidR="00683496" w:rsidRDefault="00683496" w:rsidP="00683496">
      <w:pPr>
        <w:jc w:val="both"/>
        <w:rPr>
          <w:rFonts w:ascii="Verdana" w:hAnsi="Verdana" w:cs="Arial"/>
        </w:rPr>
      </w:pPr>
      <w:r w:rsidRPr="006D2270">
        <w:rPr>
          <w:rFonts w:ascii="Verdana" w:hAnsi="Verdana" w:cs="Arial"/>
        </w:rPr>
        <w:t xml:space="preserve">Na podstawie uzyskanych wyników badań Wykonawcy z próby technologicznej Przedstawiciel Zamawiającego/Inspektor Nadzoru decyduje o przeprowadzeniu badań kontrolnych oraz podejmuje decyzję o wykonaniu odcinka próbnego w miejscu przez niego wskazanym. </w:t>
      </w:r>
    </w:p>
    <w:p w:rsidR="00683496" w:rsidRDefault="00683496" w:rsidP="00683496">
      <w:pPr>
        <w:jc w:val="both"/>
        <w:rPr>
          <w:rFonts w:ascii="Verdana" w:hAnsi="Verdana" w:cs="Arial"/>
        </w:rPr>
      </w:pPr>
      <w:r>
        <w:rPr>
          <w:rFonts w:ascii="Verdana" w:hAnsi="Verdana" w:cs="Arial"/>
        </w:rPr>
        <w:t xml:space="preserve">Tolerancje zawartości składu MMA względem składu zaprojektowanego powinny być zgodne z wymaganiami podanymi w pkt. 6.4 niniejszej SST. </w:t>
      </w:r>
    </w:p>
    <w:p w:rsidR="00683496" w:rsidRPr="006D2270" w:rsidRDefault="00683496" w:rsidP="00683496">
      <w:pPr>
        <w:jc w:val="both"/>
        <w:rPr>
          <w:rFonts w:ascii="Verdana" w:hAnsi="Verdana" w:cs="Arial"/>
        </w:rPr>
      </w:pPr>
      <w:r w:rsidRPr="006D2270">
        <w:rPr>
          <w:rFonts w:ascii="Verdana" w:hAnsi="Verdana" w:cs="Arial"/>
        </w:rPr>
        <w:t xml:space="preserve">Ewentualne wykonanie </w:t>
      </w:r>
      <w:proofErr w:type="spellStart"/>
      <w:r w:rsidRPr="006D2270">
        <w:rPr>
          <w:rFonts w:ascii="Verdana" w:hAnsi="Verdana" w:cs="Arial"/>
        </w:rPr>
        <w:t>zarobu</w:t>
      </w:r>
      <w:proofErr w:type="spellEnd"/>
      <w:r w:rsidRPr="006D2270">
        <w:rPr>
          <w:rFonts w:ascii="Verdana" w:hAnsi="Verdana" w:cs="Arial"/>
        </w:rPr>
        <w:t xml:space="preserve"> próbnego i odcinka próbnego Wykonawca jest zobowiązany uwzględnić w cenie kontraktowej.</w:t>
      </w:r>
    </w:p>
    <w:p w:rsidR="00683496" w:rsidRPr="006D2270" w:rsidRDefault="00683496" w:rsidP="00683496">
      <w:pPr>
        <w:jc w:val="both"/>
        <w:rPr>
          <w:rFonts w:ascii="Verdana" w:hAnsi="Verdana" w:cs="Arial"/>
        </w:rPr>
      </w:pPr>
    </w:p>
    <w:p w:rsidR="00683496" w:rsidRPr="006D2270" w:rsidRDefault="00683496" w:rsidP="00683496">
      <w:pPr>
        <w:keepNext/>
        <w:outlineLvl w:val="1"/>
        <w:rPr>
          <w:rFonts w:ascii="Verdana" w:hAnsi="Verdana" w:cs="Arial"/>
          <w:b/>
          <w:bCs/>
          <w:iCs/>
        </w:rPr>
      </w:pPr>
      <w:bookmarkStart w:id="364" w:name="_Toc316558746"/>
      <w:r w:rsidRPr="006D2270">
        <w:rPr>
          <w:rFonts w:ascii="Verdana" w:hAnsi="Verdana" w:cs="Arial"/>
          <w:b/>
          <w:bCs/>
          <w:iCs/>
        </w:rPr>
        <w:t xml:space="preserve">5.6. Połączenie </w:t>
      </w:r>
      <w:proofErr w:type="spellStart"/>
      <w:r w:rsidRPr="006D2270">
        <w:rPr>
          <w:rFonts w:ascii="Verdana" w:hAnsi="Verdana" w:cs="Arial"/>
          <w:b/>
          <w:bCs/>
          <w:iCs/>
        </w:rPr>
        <w:t>międzywarstwowe</w:t>
      </w:r>
      <w:bookmarkEnd w:id="364"/>
      <w:proofErr w:type="spellEnd"/>
      <w:r w:rsidRPr="006D2270">
        <w:rPr>
          <w:rFonts w:ascii="Verdana" w:hAnsi="Verdana" w:cs="Arial"/>
          <w:b/>
          <w:bCs/>
          <w:iCs/>
        </w:rPr>
        <w:t xml:space="preserve">                                                                                                                                      </w:t>
      </w:r>
      <w:r w:rsidRPr="006D2270">
        <w:rPr>
          <w:rFonts w:ascii="Verdana" w:hAnsi="Verdana" w:cs="Arial"/>
        </w:rPr>
        <w:t>Uzyskanie wymaganej trwałości nawierzchni jest uzależnione od zapewnienia połączenia między warstwami i ich współpracy w przenoszeniu obciążenia nawierzchni ruchem.</w:t>
      </w:r>
      <w:r w:rsidRPr="006D2270">
        <w:rPr>
          <w:rFonts w:ascii="Verdana" w:hAnsi="Verdana" w:cs="Arial"/>
          <w:b/>
          <w:bCs/>
          <w:iCs/>
        </w:rPr>
        <w:t xml:space="preserve">                                                                                                                </w:t>
      </w:r>
      <w:r w:rsidRPr="006D2270">
        <w:rPr>
          <w:rFonts w:ascii="Verdana" w:hAnsi="Verdana" w:cs="Arial"/>
        </w:rPr>
        <w:t>Podłoże powinno być skropione lepiszczem. Ma to na celu zwiększenie połączenia między warstwami konstrukcyjnymi oraz zabezpieczenie przed wnikaniem i zaleganiem wody między warstwami.</w:t>
      </w:r>
      <w:r w:rsidRPr="006D2270">
        <w:rPr>
          <w:rFonts w:ascii="Verdana" w:hAnsi="Verdana" w:cs="Arial"/>
          <w:b/>
          <w:bCs/>
          <w:iCs/>
        </w:rPr>
        <w:t xml:space="preserve"> </w:t>
      </w:r>
      <w:r w:rsidRPr="006D2270">
        <w:rPr>
          <w:rFonts w:ascii="Verdana" w:hAnsi="Verdana" w:cs="Arial"/>
        </w:rPr>
        <w:t>Skropienie lepiszczem podłoża (np. z warstwy wiążącej asfaltowej), przed ułożeniem warstwy ścieralnej z betonu asfaltowego powinno być wykonane w ilości podanej w przeliczeniu na pozostałe lepiszcze, tj.  0,1 ÷ 0,3 kg/m</w:t>
      </w:r>
      <w:r w:rsidRPr="006D2270">
        <w:rPr>
          <w:rFonts w:ascii="Verdana" w:hAnsi="Verdana" w:cs="Arial"/>
          <w:vertAlign w:val="superscript"/>
        </w:rPr>
        <w:t>2</w:t>
      </w:r>
      <w:r w:rsidRPr="006D2270">
        <w:rPr>
          <w:rFonts w:ascii="Verdana" w:hAnsi="Verdana" w:cs="Arial"/>
        </w:rPr>
        <w:t>, przy czym:</w:t>
      </w:r>
    </w:p>
    <w:p w:rsidR="00683496" w:rsidRPr="006D2270" w:rsidRDefault="00683496" w:rsidP="002122BD">
      <w:pPr>
        <w:numPr>
          <w:ilvl w:val="0"/>
          <w:numId w:val="34"/>
        </w:numPr>
        <w:overflowPunct w:val="0"/>
        <w:autoSpaceDE w:val="0"/>
        <w:autoSpaceDN w:val="0"/>
        <w:adjustRightInd w:val="0"/>
        <w:jc w:val="both"/>
        <w:textAlignment w:val="baseline"/>
        <w:rPr>
          <w:rFonts w:ascii="Verdana" w:hAnsi="Verdana" w:cs="Arial"/>
        </w:rPr>
      </w:pPr>
      <w:r w:rsidRPr="006D2270">
        <w:rPr>
          <w:rFonts w:ascii="Verdana" w:hAnsi="Verdana" w:cs="Arial"/>
        </w:rPr>
        <w:t>zaleca się stosować emulsję modyfikowaną polimerami,</w:t>
      </w:r>
    </w:p>
    <w:p w:rsidR="00683496" w:rsidRPr="006D2270" w:rsidRDefault="00683496" w:rsidP="002122BD">
      <w:pPr>
        <w:numPr>
          <w:ilvl w:val="0"/>
          <w:numId w:val="34"/>
        </w:numPr>
        <w:overflowPunct w:val="0"/>
        <w:autoSpaceDE w:val="0"/>
        <w:autoSpaceDN w:val="0"/>
        <w:adjustRightInd w:val="0"/>
        <w:jc w:val="both"/>
        <w:textAlignment w:val="baseline"/>
        <w:rPr>
          <w:rFonts w:ascii="Verdana" w:hAnsi="Verdana" w:cs="Arial"/>
        </w:rPr>
      </w:pPr>
      <w:r w:rsidRPr="006D2270">
        <w:rPr>
          <w:rFonts w:ascii="Verdana" w:hAnsi="Verdana" w:cs="Aria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683496" w:rsidRPr="006D2270" w:rsidRDefault="00683496" w:rsidP="002122BD">
      <w:pPr>
        <w:numPr>
          <w:ilvl w:val="0"/>
          <w:numId w:val="34"/>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dobrana ilość lepiszcza musi zapewnić wymaganą </w:t>
      </w:r>
      <w:proofErr w:type="spellStart"/>
      <w:r w:rsidRPr="006D2270">
        <w:rPr>
          <w:rFonts w:ascii="Verdana" w:hAnsi="Verdana" w:cs="Arial"/>
        </w:rPr>
        <w:t>sczepność</w:t>
      </w:r>
      <w:proofErr w:type="spellEnd"/>
      <w:r w:rsidRPr="006D2270">
        <w:rPr>
          <w:rFonts w:ascii="Verdana" w:hAnsi="Verdana" w:cs="Arial"/>
        </w:rPr>
        <w:t xml:space="preserve"> </w:t>
      </w:r>
      <w:proofErr w:type="spellStart"/>
      <w:r w:rsidRPr="006D2270">
        <w:rPr>
          <w:rFonts w:ascii="Verdana" w:hAnsi="Verdana" w:cs="Arial"/>
        </w:rPr>
        <w:t>międzywarstwową</w:t>
      </w:r>
      <w:proofErr w:type="spellEnd"/>
    </w:p>
    <w:p w:rsidR="00683496" w:rsidRPr="006D2270" w:rsidRDefault="00683496" w:rsidP="00683496">
      <w:pPr>
        <w:jc w:val="both"/>
        <w:rPr>
          <w:rFonts w:ascii="Verdana" w:hAnsi="Verdana" w:cs="Arial"/>
        </w:rPr>
      </w:pPr>
      <w:r w:rsidRPr="006D2270">
        <w:rPr>
          <w:rFonts w:ascii="Verdana" w:hAnsi="Verdana" w:cs="Arial"/>
        </w:rPr>
        <w:t>Skrapianie podłoża należy wykonywać równomiernie stosując rampy do skrapiania, np. skrapiarki do emulsji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683496" w:rsidRPr="006D2270" w:rsidRDefault="00683496" w:rsidP="00683496">
      <w:pPr>
        <w:jc w:val="both"/>
        <w:rPr>
          <w:rFonts w:ascii="Verdana" w:hAnsi="Verdana" w:cs="Arial"/>
        </w:rPr>
      </w:pPr>
      <w:r w:rsidRPr="006D2270">
        <w:rPr>
          <w:rFonts w:ascii="Verdana" w:hAnsi="Verdana" w:cs="Arial"/>
        </w:rPr>
        <w:t>W wypadku stosowania emulsji asfaltowej podłoże powinno być skropione 0,5 h przed układaniem warstwy asfaltowej w celu odparowania wody.</w:t>
      </w:r>
    </w:p>
    <w:p w:rsidR="00683496" w:rsidRPr="006D2270" w:rsidRDefault="00683496" w:rsidP="00683496">
      <w:pPr>
        <w:jc w:val="both"/>
        <w:rPr>
          <w:rFonts w:ascii="Verdana" w:hAnsi="Verdana" w:cs="Arial"/>
        </w:rPr>
      </w:pPr>
      <w:r w:rsidRPr="006D2270">
        <w:rPr>
          <w:rFonts w:ascii="Verdana" w:hAnsi="Verdana" w:cs="Arial"/>
        </w:rPr>
        <w:t>Czas ten nie dotyczy skrapiania rampą zamontowaną na rozkładarce.</w:t>
      </w:r>
    </w:p>
    <w:p w:rsidR="00683496" w:rsidRPr="006D2270" w:rsidRDefault="00683496" w:rsidP="00683496">
      <w:pPr>
        <w:jc w:val="both"/>
        <w:rPr>
          <w:rFonts w:ascii="Verdana" w:hAnsi="Verdana" w:cs="Arial"/>
        </w:rPr>
      </w:pPr>
      <w:r w:rsidRPr="006D2270">
        <w:rPr>
          <w:rFonts w:ascii="Verdana" w:hAnsi="Verdana" w:cs="Arial"/>
        </w:rPr>
        <w:t>Wykonawca jest zobowiązany prowadzić badania wydatku skropienia i przedstawić je na żądanie Przedstawiciela Zamawiającego/Inspektor</w:t>
      </w:r>
      <w:r>
        <w:rPr>
          <w:rFonts w:ascii="Verdana" w:hAnsi="Verdana" w:cs="Arial"/>
        </w:rPr>
        <w:t>a</w:t>
      </w:r>
      <w:r w:rsidRPr="006D2270">
        <w:rPr>
          <w:rFonts w:ascii="Verdana" w:hAnsi="Verdana" w:cs="Arial"/>
        </w:rPr>
        <w:t xml:space="preserve"> Nadzoru.</w:t>
      </w:r>
    </w:p>
    <w:p w:rsidR="00683496" w:rsidRDefault="00683496" w:rsidP="00683496">
      <w:pPr>
        <w:jc w:val="both"/>
        <w:rPr>
          <w:rFonts w:ascii="Verdana" w:hAnsi="Verdana" w:cs="Arial"/>
        </w:rPr>
      </w:pPr>
      <w:r>
        <w:rPr>
          <w:rFonts w:ascii="Verdana" w:hAnsi="Verdana" w:cs="Arial"/>
        </w:rPr>
        <w:t xml:space="preserve">Badanie </w:t>
      </w:r>
      <w:proofErr w:type="spellStart"/>
      <w:r>
        <w:rPr>
          <w:rFonts w:ascii="Verdana" w:hAnsi="Verdana" w:cs="Arial"/>
        </w:rPr>
        <w:t>sczepności</w:t>
      </w:r>
      <w:proofErr w:type="spellEnd"/>
      <w:r>
        <w:rPr>
          <w:rFonts w:ascii="Verdana" w:hAnsi="Verdana" w:cs="Arial"/>
        </w:rPr>
        <w:t xml:space="preserve"> </w:t>
      </w:r>
      <w:proofErr w:type="spellStart"/>
      <w:r>
        <w:rPr>
          <w:rFonts w:ascii="Verdana" w:hAnsi="Verdana" w:cs="Arial"/>
        </w:rPr>
        <w:t>międzywarstwowej</w:t>
      </w:r>
      <w:proofErr w:type="spellEnd"/>
      <w:r>
        <w:rPr>
          <w:rFonts w:ascii="Verdana" w:hAnsi="Verdana" w:cs="Arial"/>
        </w:rPr>
        <w:t xml:space="preserve"> należy wykonać wg metody </w:t>
      </w:r>
      <w:proofErr w:type="spellStart"/>
      <w:r>
        <w:rPr>
          <w:rFonts w:ascii="Verdana" w:hAnsi="Verdana" w:cs="Arial"/>
        </w:rPr>
        <w:t>Leutnera</w:t>
      </w:r>
      <w:proofErr w:type="spellEnd"/>
      <w:r>
        <w:rPr>
          <w:rFonts w:ascii="Verdana" w:hAnsi="Verdana" w:cs="Arial"/>
        </w:rPr>
        <w:t xml:space="preserve"> na próbkach cylindrycznych ø 150 mm lub za zgodą </w:t>
      </w:r>
      <w:r w:rsidRPr="006D2270">
        <w:rPr>
          <w:rFonts w:ascii="Verdana" w:hAnsi="Verdana" w:cs="Arial"/>
        </w:rPr>
        <w:t>Przedstawiciela Zamawiającego/Inspektor</w:t>
      </w:r>
      <w:r>
        <w:rPr>
          <w:rFonts w:ascii="Verdana" w:hAnsi="Verdana" w:cs="Arial"/>
        </w:rPr>
        <w:t>a Nadzoru na próbkach cylindrycznych</w:t>
      </w:r>
      <w:r w:rsidRPr="00295815">
        <w:rPr>
          <w:rFonts w:ascii="Verdana" w:hAnsi="Verdana" w:cs="Arial"/>
        </w:rPr>
        <w:t xml:space="preserve"> </w:t>
      </w:r>
      <w:r>
        <w:rPr>
          <w:rFonts w:ascii="Verdana" w:hAnsi="Verdana" w:cs="Arial"/>
        </w:rPr>
        <w:t xml:space="preserve">ø 100 mm, zgodnie z „Instrukcją laboratoryjnego badania </w:t>
      </w:r>
      <w:proofErr w:type="spellStart"/>
      <w:r>
        <w:rPr>
          <w:rFonts w:ascii="Verdana" w:hAnsi="Verdana" w:cs="Arial"/>
        </w:rPr>
        <w:t>sczepności</w:t>
      </w:r>
      <w:proofErr w:type="spellEnd"/>
      <w:r>
        <w:rPr>
          <w:rFonts w:ascii="Verdana" w:hAnsi="Verdana" w:cs="Arial"/>
        </w:rPr>
        <w:t xml:space="preserve"> </w:t>
      </w:r>
      <w:proofErr w:type="spellStart"/>
      <w:r>
        <w:rPr>
          <w:rFonts w:ascii="Verdana" w:hAnsi="Verdana" w:cs="Arial"/>
        </w:rPr>
        <w:t>międzywarstwowej</w:t>
      </w:r>
      <w:proofErr w:type="spellEnd"/>
      <w:r>
        <w:rPr>
          <w:rFonts w:ascii="Verdana" w:hAnsi="Verdana" w:cs="Arial"/>
        </w:rPr>
        <w:t xml:space="preserve"> warstw asfaltowych wg metody </w:t>
      </w:r>
      <w:proofErr w:type="spellStart"/>
      <w:r>
        <w:rPr>
          <w:rFonts w:ascii="Verdana" w:hAnsi="Verdana" w:cs="Arial"/>
        </w:rPr>
        <w:t>Leutnera</w:t>
      </w:r>
      <w:proofErr w:type="spellEnd"/>
      <w:r>
        <w:rPr>
          <w:rFonts w:ascii="Verdana" w:hAnsi="Verdana" w:cs="Arial"/>
        </w:rPr>
        <w:t xml:space="preserve"> i Wymagania techniczne </w:t>
      </w:r>
      <w:proofErr w:type="spellStart"/>
      <w:r>
        <w:rPr>
          <w:rFonts w:ascii="Verdana" w:hAnsi="Verdana" w:cs="Arial"/>
        </w:rPr>
        <w:t>sczepności</w:t>
      </w:r>
      <w:proofErr w:type="spellEnd"/>
      <w:r>
        <w:rPr>
          <w:rFonts w:ascii="Verdana" w:hAnsi="Verdana" w:cs="Arial"/>
        </w:rPr>
        <w:t xml:space="preserve">, Politechnika Gdańska 2014 [68]. </w:t>
      </w:r>
    </w:p>
    <w:p w:rsidR="00683496" w:rsidRPr="006D2270" w:rsidRDefault="00683496" w:rsidP="00683496">
      <w:pPr>
        <w:rPr>
          <w:rFonts w:ascii="Verdana" w:hAnsi="Verdana" w:cs="Arial"/>
        </w:rPr>
      </w:pPr>
      <w:r>
        <w:rPr>
          <w:rFonts w:ascii="Verdana" w:hAnsi="Verdana" w:cs="Arial"/>
        </w:rPr>
        <w:t xml:space="preserve">Wymagana wytrzymałość na ścinanie połączenia pomiędzy: </w:t>
      </w:r>
      <w:r w:rsidRPr="006D2270">
        <w:rPr>
          <w:rFonts w:ascii="Verdana" w:hAnsi="Verdana" w:cs="Arial"/>
        </w:rPr>
        <w:br/>
        <w:t xml:space="preserve">- wiążąca lub wyrównawcza/ścieralna </w:t>
      </w:r>
      <w:r w:rsidRPr="006D2270">
        <w:rPr>
          <w:rFonts w:ascii="Verdana" w:hAnsi="Verdana" w:cs="Arial"/>
          <w:b/>
        </w:rPr>
        <w:t xml:space="preserve">≥ 1,0 </w:t>
      </w:r>
      <w:proofErr w:type="spellStart"/>
      <w:r w:rsidRPr="006D2270">
        <w:rPr>
          <w:rFonts w:ascii="Verdana" w:hAnsi="Verdana" w:cs="Arial"/>
          <w:b/>
        </w:rPr>
        <w:t>MPa</w:t>
      </w:r>
      <w:bookmarkStart w:id="365" w:name="_Toc316558747"/>
      <w:proofErr w:type="spellEnd"/>
    </w:p>
    <w:p w:rsidR="00683496" w:rsidRDefault="00683496" w:rsidP="00683496">
      <w:pPr>
        <w:jc w:val="both"/>
        <w:rPr>
          <w:rFonts w:ascii="Verdana" w:hAnsi="Verdana" w:cs="Arial"/>
          <w:b/>
          <w:bCs/>
          <w:iCs/>
        </w:rPr>
      </w:pPr>
    </w:p>
    <w:p w:rsidR="00683496" w:rsidRPr="006D2270" w:rsidRDefault="00683496" w:rsidP="00683496">
      <w:pPr>
        <w:jc w:val="both"/>
        <w:rPr>
          <w:rFonts w:ascii="Verdana" w:hAnsi="Verdana" w:cs="Arial"/>
          <w:b/>
          <w:bCs/>
          <w:iCs/>
        </w:rPr>
      </w:pPr>
      <w:r w:rsidRPr="006D2270">
        <w:rPr>
          <w:rFonts w:ascii="Verdana" w:hAnsi="Verdana" w:cs="Arial"/>
          <w:b/>
          <w:bCs/>
          <w:iCs/>
        </w:rPr>
        <w:t>5.7. Wbudowanie mieszanki mineralno-asfaltowej</w:t>
      </w:r>
      <w:bookmarkEnd w:id="365"/>
      <w:r w:rsidRPr="006D2270">
        <w:rPr>
          <w:rFonts w:ascii="Verdana" w:hAnsi="Verdana" w:cs="Arial"/>
          <w:b/>
          <w:bCs/>
          <w:iCs/>
        </w:rPr>
        <w:t xml:space="preserve">  </w:t>
      </w:r>
    </w:p>
    <w:p w:rsidR="00683496" w:rsidRPr="006D2270" w:rsidRDefault="00683496" w:rsidP="00683496">
      <w:pPr>
        <w:jc w:val="both"/>
        <w:rPr>
          <w:rFonts w:ascii="Verdana" w:hAnsi="Verdana" w:cs="Arial"/>
        </w:rPr>
      </w:pPr>
      <w:r w:rsidRPr="006D2270">
        <w:rPr>
          <w:rFonts w:ascii="Verdana" w:hAnsi="Verdana" w:cs="Arial"/>
        </w:rPr>
        <w:t xml:space="preserve">Mieszankę mineralno-asfaltową można wbudowywać na podłożu przygotowanym zgodnie z zapisami w punktach 5.4 i 5.6. Transport mieszanki mineralno-asfaltowej asfaltowej powinien </w:t>
      </w:r>
      <w:r w:rsidRPr="006D2270">
        <w:rPr>
          <w:rFonts w:ascii="Verdana" w:hAnsi="Verdana" w:cs="Arial"/>
        </w:rPr>
        <w:lastRenderedPageBreak/>
        <w:t>być zgodny z zaleceniami podanymi w punkcie 4.2. Mieszankę mineralno-asfaltową należy wbudowywać w odpowiednich warunkach atmosferycznych. Temperatura otoczenia w ciągu doby nie powinna być niższa od temperatury podanej w tab</w:t>
      </w:r>
      <w:r>
        <w:rPr>
          <w:rFonts w:ascii="Verdana" w:hAnsi="Verdana" w:cs="Arial"/>
        </w:rPr>
        <w:t>eli</w:t>
      </w:r>
      <w:r w:rsidRPr="006D2270">
        <w:rPr>
          <w:rFonts w:ascii="Verdana" w:hAnsi="Verdana" w:cs="Arial"/>
        </w:rPr>
        <w:t xml:space="preserve"> 1</w:t>
      </w:r>
      <w:r>
        <w:rPr>
          <w:rFonts w:ascii="Verdana" w:hAnsi="Verdana" w:cs="Arial"/>
        </w:rPr>
        <w:t>1</w:t>
      </w:r>
      <w:r w:rsidRPr="006D2270">
        <w:rPr>
          <w:rFonts w:ascii="Verdana" w:hAnsi="Verdana" w:cs="Arial"/>
        </w:rPr>
        <w:t>. Temperatura otoczenia może być niższa w wypadku stosowania ogrzewania podłoża. Nie dopuszcza się układania mieszanki mineralno-asfaltowej asfaltowej podczas silnego wiatru (V &gt; 16 m/s)</w:t>
      </w:r>
      <w:r w:rsidRPr="006D2270">
        <w:rPr>
          <w:rFonts w:ascii="Verdana" w:hAnsi="Verdana" w:cs="Arial"/>
          <w:bCs/>
          <w:iCs/>
        </w:rPr>
        <w:t xml:space="preserve">. </w:t>
      </w:r>
      <w:r w:rsidRPr="006D2270">
        <w:rPr>
          <w:rFonts w:ascii="Verdana" w:hAnsi="Verdana" w:cs="Arial"/>
        </w:rPr>
        <w:t>W wypadku stosowania mieszanek mineralno-asfaltowych z dodatkiem obniżającym temperaturę mieszania i wbudowania należy indywidualnie określić wymagane warunki otoczenia.</w:t>
      </w:r>
    </w:p>
    <w:p w:rsidR="00683496" w:rsidRPr="006D2270" w:rsidRDefault="00683496" w:rsidP="00683496">
      <w:pPr>
        <w:spacing w:before="120" w:after="120"/>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1</w:t>
      </w:r>
      <w:r>
        <w:rPr>
          <w:rFonts w:ascii="Verdana" w:hAnsi="Verdana" w:cs="Arial"/>
        </w:rPr>
        <w:t>1</w:t>
      </w:r>
      <w:r w:rsidRPr="006D2270">
        <w:rPr>
          <w:rFonts w:ascii="Verdana" w:hAnsi="Verdana" w:cs="Arial"/>
        </w:rPr>
        <w:t>. Minimalna temperatura otoczenia podczas wykonywania warstwy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683496" w:rsidRPr="006D2270" w:rsidTr="00683496">
        <w:trPr>
          <w:trHeight w:val="340"/>
        </w:trPr>
        <w:tc>
          <w:tcPr>
            <w:tcW w:w="3227" w:type="dxa"/>
            <w:vMerge w:val="restart"/>
            <w:vAlign w:val="center"/>
          </w:tcPr>
          <w:p w:rsidR="00683496" w:rsidRPr="006D2270" w:rsidRDefault="00683496" w:rsidP="00683496">
            <w:pPr>
              <w:jc w:val="center"/>
              <w:rPr>
                <w:rFonts w:ascii="Verdana" w:hAnsi="Verdana" w:cs="Arial"/>
              </w:rPr>
            </w:pPr>
            <w:r w:rsidRPr="006D2270">
              <w:rPr>
                <w:rFonts w:ascii="Verdana" w:hAnsi="Verdana" w:cs="Arial"/>
              </w:rPr>
              <w:t>Rodzaj robót</w:t>
            </w:r>
          </w:p>
        </w:tc>
        <w:tc>
          <w:tcPr>
            <w:tcW w:w="4284" w:type="dxa"/>
            <w:gridSpan w:val="2"/>
            <w:vAlign w:val="center"/>
          </w:tcPr>
          <w:p w:rsidR="00683496" w:rsidRPr="006D2270" w:rsidRDefault="00683496" w:rsidP="00683496">
            <w:pPr>
              <w:jc w:val="center"/>
              <w:rPr>
                <w:rFonts w:ascii="Verdana" w:hAnsi="Verdana" w:cs="Arial"/>
              </w:rPr>
            </w:pPr>
            <w:r w:rsidRPr="006D2270">
              <w:rPr>
                <w:rFonts w:ascii="Verdana" w:hAnsi="Verdana" w:cs="Arial"/>
              </w:rPr>
              <w:t>Minimalna temperatura otoczenia  [°C]</w:t>
            </w:r>
          </w:p>
        </w:tc>
      </w:tr>
      <w:tr w:rsidR="00683496" w:rsidRPr="006D2270" w:rsidTr="00683496">
        <w:trPr>
          <w:trHeight w:val="340"/>
        </w:trPr>
        <w:tc>
          <w:tcPr>
            <w:tcW w:w="3227" w:type="dxa"/>
            <w:vMerge/>
            <w:vAlign w:val="center"/>
          </w:tcPr>
          <w:p w:rsidR="00683496" w:rsidRPr="006D2270" w:rsidRDefault="00683496" w:rsidP="00683496">
            <w:pPr>
              <w:jc w:val="center"/>
              <w:rPr>
                <w:rFonts w:ascii="Verdana" w:hAnsi="Verdana" w:cs="Arial"/>
              </w:rPr>
            </w:pPr>
          </w:p>
        </w:tc>
        <w:tc>
          <w:tcPr>
            <w:tcW w:w="2693" w:type="dxa"/>
            <w:vAlign w:val="center"/>
          </w:tcPr>
          <w:p w:rsidR="00683496" w:rsidRPr="006D2270" w:rsidRDefault="00683496" w:rsidP="00683496">
            <w:pPr>
              <w:jc w:val="center"/>
              <w:rPr>
                <w:rFonts w:ascii="Verdana" w:hAnsi="Verdana" w:cs="Arial"/>
              </w:rPr>
            </w:pPr>
            <w:r w:rsidRPr="006D2270">
              <w:rPr>
                <w:rFonts w:ascii="Verdana" w:hAnsi="Verdana" w:cs="Arial"/>
              </w:rPr>
              <w:t>przed przystąpieniem do robót</w:t>
            </w:r>
          </w:p>
        </w:tc>
        <w:tc>
          <w:tcPr>
            <w:tcW w:w="1591" w:type="dxa"/>
            <w:vAlign w:val="center"/>
          </w:tcPr>
          <w:p w:rsidR="00683496" w:rsidRPr="006D2270" w:rsidRDefault="00683496" w:rsidP="00683496">
            <w:pPr>
              <w:jc w:val="center"/>
              <w:rPr>
                <w:rFonts w:ascii="Verdana" w:hAnsi="Verdana" w:cs="Arial"/>
              </w:rPr>
            </w:pPr>
            <w:r w:rsidRPr="006D2270">
              <w:rPr>
                <w:rFonts w:ascii="Verdana" w:hAnsi="Verdana" w:cs="Arial"/>
              </w:rPr>
              <w:t>w czasie robót</w:t>
            </w:r>
          </w:p>
        </w:tc>
      </w:tr>
      <w:tr w:rsidR="00683496" w:rsidRPr="006D2270" w:rsidTr="00683496">
        <w:trPr>
          <w:trHeight w:val="340"/>
        </w:trPr>
        <w:tc>
          <w:tcPr>
            <w:tcW w:w="3227" w:type="dxa"/>
            <w:vAlign w:val="center"/>
          </w:tcPr>
          <w:p w:rsidR="00683496" w:rsidRPr="006D2270" w:rsidRDefault="00683496" w:rsidP="00683496">
            <w:pPr>
              <w:jc w:val="center"/>
              <w:rPr>
                <w:rFonts w:ascii="Verdana" w:hAnsi="Verdana" w:cs="Arial"/>
              </w:rPr>
            </w:pPr>
            <w:r w:rsidRPr="006D2270">
              <w:rPr>
                <w:rFonts w:ascii="Verdana" w:hAnsi="Verdana" w:cs="Arial"/>
              </w:rPr>
              <w:t>Warstwa ścieralna o grubości                     ≥ 30 mm</w:t>
            </w:r>
          </w:p>
        </w:tc>
        <w:tc>
          <w:tcPr>
            <w:tcW w:w="2693" w:type="dxa"/>
            <w:vAlign w:val="center"/>
          </w:tcPr>
          <w:p w:rsidR="00683496" w:rsidRPr="006D2270" w:rsidRDefault="00683496" w:rsidP="00683496">
            <w:pPr>
              <w:jc w:val="center"/>
              <w:rPr>
                <w:rFonts w:ascii="Verdana" w:hAnsi="Verdana" w:cs="Arial"/>
              </w:rPr>
            </w:pPr>
            <w:r w:rsidRPr="006D2270">
              <w:rPr>
                <w:rFonts w:ascii="Verdana" w:hAnsi="Verdana" w:cs="Arial"/>
              </w:rPr>
              <w:t>+5</w:t>
            </w:r>
          </w:p>
        </w:tc>
        <w:tc>
          <w:tcPr>
            <w:tcW w:w="1591" w:type="dxa"/>
            <w:vAlign w:val="center"/>
          </w:tcPr>
          <w:p w:rsidR="00683496" w:rsidRPr="006D2270" w:rsidRDefault="00683496" w:rsidP="00683496">
            <w:pPr>
              <w:jc w:val="center"/>
              <w:rPr>
                <w:rFonts w:ascii="Verdana" w:hAnsi="Verdana" w:cs="Arial"/>
              </w:rPr>
            </w:pPr>
            <w:r w:rsidRPr="006D2270">
              <w:rPr>
                <w:rFonts w:ascii="Verdana" w:hAnsi="Verdana" w:cs="Arial"/>
              </w:rPr>
              <w:t>&gt;+5</w:t>
            </w:r>
          </w:p>
        </w:tc>
      </w:tr>
      <w:tr w:rsidR="00683496" w:rsidRPr="006D2270" w:rsidTr="00683496">
        <w:trPr>
          <w:trHeight w:val="340"/>
        </w:trPr>
        <w:tc>
          <w:tcPr>
            <w:tcW w:w="3227"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jc w:val="center"/>
              <w:rPr>
                <w:rFonts w:ascii="Verdana" w:hAnsi="Verdana" w:cs="Arial"/>
              </w:rPr>
            </w:pPr>
            <w:r w:rsidRPr="006D2270">
              <w:rPr>
                <w:rFonts w:ascii="Verdana" w:hAnsi="Verdana" w:cs="Arial"/>
              </w:rPr>
              <w:t>Warstwa ścieralna o grubości                     &lt; 30 mm</w:t>
            </w:r>
          </w:p>
        </w:tc>
        <w:tc>
          <w:tcPr>
            <w:tcW w:w="2693"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jc w:val="center"/>
              <w:rPr>
                <w:rFonts w:ascii="Verdana" w:hAnsi="Verdana" w:cs="Arial"/>
              </w:rPr>
            </w:pPr>
            <w:r w:rsidRPr="006D2270">
              <w:rPr>
                <w:rFonts w:ascii="Verdana" w:hAnsi="Verdana" w:cs="Arial"/>
              </w:rPr>
              <w:t>+5</w:t>
            </w:r>
          </w:p>
        </w:tc>
        <w:tc>
          <w:tcPr>
            <w:tcW w:w="1591" w:type="dxa"/>
            <w:tcBorders>
              <w:top w:val="single" w:sz="4" w:space="0" w:color="auto"/>
              <w:left w:val="single" w:sz="4" w:space="0" w:color="auto"/>
              <w:bottom w:val="single" w:sz="4" w:space="0" w:color="auto"/>
              <w:right w:val="single" w:sz="4" w:space="0" w:color="auto"/>
            </w:tcBorders>
            <w:vAlign w:val="center"/>
          </w:tcPr>
          <w:p w:rsidR="00683496" w:rsidRPr="006D2270" w:rsidRDefault="00683496" w:rsidP="00683496">
            <w:pPr>
              <w:jc w:val="center"/>
              <w:rPr>
                <w:rFonts w:ascii="Verdana" w:hAnsi="Verdana" w:cs="Arial"/>
              </w:rPr>
            </w:pPr>
            <w:r w:rsidRPr="006D2270">
              <w:rPr>
                <w:rFonts w:ascii="Verdana" w:hAnsi="Verdana" w:cs="Arial"/>
              </w:rPr>
              <w:t>&gt;+10</w:t>
            </w:r>
          </w:p>
        </w:tc>
      </w:tr>
    </w:tbl>
    <w:p w:rsidR="00683496" w:rsidRPr="006D2270" w:rsidRDefault="00683496" w:rsidP="00683496">
      <w:pPr>
        <w:spacing w:before="120"/>
        <w:rPr>
          <w:rFonts w:ascii="Verdana" w:hAnsi="Verdana" w:cs="Arial"/>
        </w:rPr>
      </w:pPr>
      <w:r w:rsidRPr="006D2270">
        <w:rPr>
          <w:rFonts w:ascii="Verdana" w:hAnsi="Verdana" w:cs="Arial"/>
        </w:rPr>
        <w:t>Właściwości wykonanej warstwy powinny spełniać warunki podane w tab</w:t>
      </w:r>
      <w:r>
        <w:rPr>
          <w:rFonts w:ascii="Verdana" w:hAnsi="Verdana" w:cs="Arial"/>
        </w:rPr>
        <w:t>eli</w:t>
      </w:r>
      <w:r w:rsidRPr="006D2270">
        <w:rPr>
          <w:rFonts w:ascii="Verdana" w:hAnsi="Verdana" w:cs="Arial"/>
        </w:rPr>
        <w:t xml:space="preserve"> 1</w:t>
      </w:r>
      <w:r>
        <w:rPr>
          <w:rFonts w:ascii="Verdana" w:hAnsi="Verdana" w:cs="Arial"/>
        </w:rPr>
        <w:t>2.</w:t>
      </w:r>
    </w:p>
    <w:p w:rsidR="00683496" w:rsidRPr="006D2270" w:rsidRDefault="00683496" w:rsidP="00683496">
      <w:pPr>
        <w:spacing w:before="120" w:after="120"/>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1</w:t>
      </w:r>
      <w:r>
        <w:rPr>
          <w:rFonts w:ascii="Verdana" w:hAnsi="Verdana" w:cs="Arial"/>
        </w:rPr>
        <w:t>2</w:t>
      </w:r>
      <w:r w:rsidRPr="006D2270">
        <w:rPr>
          <w:rFonts w:ascii="Verdana" w:hAnsi="Verdana" w:cs="Arial"/>
        </w:rPr>
        <w:t xml:space="preserve">. Właściwości warstwy AC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698"/>
        <w:gridCol w:w="1843"/>
        <w:gridCol w:w="2551"/>
      </w:tblGrid>
      <w:tr w:rsidR="00683496" w:rsidRPr="006D2270" w:rsidTr="00683496">
        <w:trPr>
          <w:trHeight w:val="340"/>
        </w:trPr>
        <w:tc>
          <w:tcPr>
            <w:tcW w:w="2088" w:type="dxa"/>
            <w:vAlign w:val="center"/>
          </w:tcPr>
          <w:p w:rsidR="00683496" w:rsidRPr="006D2270" w:rsidRDefault="00683496" w:rsidP="00683496">
            <w:pPr>
              <w:jc w:val="center"/>
              <w:rPr>
                <w:rFonts w:ascii="Verdana" w:hAnsi="Verdana" w:cs="Arial"/>
              </w:rPr>
            </w:pPr>
            <w:r w:rsidRPr="006D2270">
              <w:rPr>
                <w:rFonts w:ascii="Verdana" w:hAnsi="Verdana" w:cs="Arial"/>
              </w:rPr>
              <w:t>Typ i wymiar mieszanki</w:t>
            </w:r>
          </w:p>
        </w:tc>
        <w:tc>
          <w:tcPr>
            <w:tcW w:w="2698" w:type="dxa"/>
            <w:vAlign w:val="center"/>
          </w:tcPr>
          <w:p w:rsidR="00683496" w:rsidRPr="006D2270" w:rsidRDefault="00683496" w:rsidP="00683496">
            <w:pPr>
              <w:jc w:val="center"/>
              <w:rPr>
                <w:rFonts w:ascii="Verdana" w:hAnsi="Verdana" w:cs="Arial"/>
              </w:rPr>
            </w:pPr>
            <w:r w:rsidRPr="006D2270">
              <w:rPr>
                <w:rFonts w:ascii="Verdana" w:hAnsi="Verdana" w:cs="Arial"/>
              </w:rPr>
              <w:t>Projektowana grubość warstwy</w:t>
            </w:r>
          </w:p>
          <w:p w:rsidR="00683496" w:rsidRPr="006D2270" w:rsidRDefault="00683496" w:rsidP="00683496">
            <w:pPr>
              <w:jc w:val="center"/>
              <w:rPr>
                <w:rFonts w:ascii="Verdana" w:hAnsi="Verdana" w:cs="Arial"/>
              </w:rPr>
            </w:pPr>
            <w:r w:rsidRPr="006D2270">
              <w:rPr>
                <w:rFonts w:ascii="Verdana" w:hAnsi="Verdana" w:cs="Arial"/>
              </w:rPr>
              <w:t>technologicznej [mm]</w:t>
            </w:r>
          </w:p>
        </w:tc>
        <w:tc>
          <w:tcPr>
            <w:tcW w:w="1843" w:type="dxa"/>
            <w:vAlign w:val="center"/>
          </w:tcPr>
          <w:p w:rsidR="00683496" w:rsidRPr="006D2270" w:rsidRDefault="00683496" w:rsidP="00683496">
            <w:pPr>
              <w:spacing w:before="120"/>
              <w:jc w:val="center"/>
              <w:rPr>
                <w:rFonts w:ascii="Verdana" w:hAnsi="Verdana" w:cs="Arial"/>
              </w:rPr>
            </w:pPr>
            <w:r w:rsidRPr="006D2270">
              <w:rPr>
                <w:rFonts w:ascii="Verdana" w:hAnsi="Verdana" w:cs="Arial"/>
              </w:rPr>
              <w:t>Wskaźnik zagęszczenia</w:t>
            </w:r>
          </w:p>
          <w:p w:rsidR="00683496" w:rsidRPr="006D2270" w:rsidRDefault="00683496" w:rsidP="00683496">
            <w:pPr>
              <w:jc w:val="center"/>
              <w:rPr>
                <w:rFonts w:ascii="Verdana" w:hAnsi="Verdana" w:cs="Arial"/>
              </w:rPr>
            </w:pPr>
            <w:r w:rsidRPr="006D2270">
              <w:rPr>
                <w:rFonts w:ascii="Verdana" w:hAnsi="Verdana" w:cs="Arial"/>
              </w:rPr>
              <w:t>[%]</w:t>
            </w:r>
          </w:p>
        </w:tc>
        <w:tc>
          <w:tcPr>
            <w:tcW w:w="2551" w:type="dxa"/>
            <w:vAlign w:val="center"/>
          </w:tcPr>
          <w:p w:rsidR="00683496" w:rsidRPr="006D2270" w:rsidRDefault="00683496" w:rsidP="00683496">
            <w:pPr>
              <w:jc w:val="center"/>
              <w:rPr>
                <w:rFonts w:ascii="Verdana" w:hAnsi="Verdana" w:cs="Arial"/>
              </w:rPr>
            </w:pPr>
            <w:r w:rsidRPr="006D2270">
              <w:rPr>
                <w:rFonts w:ascii="Verdana" w:hAnsi="Verdana" w:cs="Arial"/>
              </w:rPr>
              <w:t>Zawartość wolnych przestrzeni</w:t>
            </w:r>
          </w:p>
          <w:p w:rsidR="00683496" w:rsidRPr="006D2270" w:rsidRDefault="00683496" w:rsidP="00683496">
            <w:pPr>
              <w:jc w:val="center"/>
              <w:rPr>
                <w:rFonts w:ascii="Verdana" w:hAnsi="Verdana" w:cs="Arial"/>
              </w:rPr>
            </w:pPr>
            <w:r w:rsidRPr="006D2270">
              <w:rPr>
                <w:rFonts w:ascii="Verdana" w:hAnsi="Verdana" w:cs="Arial"/>
              </w:rPr>
              <w:t>w warstwie</w:t>
            </w:r>
          </w:p>
          <w:p w:rsidR="00683496" w:rsidRPr="006D2270" w:rsidRDefault="00683496" w:rsidP="00683496">
            <w:pPr>
              <w:jc w:val="center"/>
              <w:rPr>
                <w:rFonts w:ascii="Verdana" w:hAnsi="Verdana" w:cs="Arial"/>
              </w:rPr>
            </w:pPr>
            <w:r w:rsidRPr="006D2270">
              <w:rPr>
                <w:rFonts w:ascii="Verdana" w:hAnsi="Verdana" w:cs="Arial"/>
              </w:rPr>
              <w:t>[%(v/v)]</w:t>
            </w:r>
          </w:p>
        </w:tc>
      </w:tr>
      <w:tr w:rsidR="00683496" w:rsidRPr="006D2270" w:rsidTr="00683496">
        <w:trPr>
          <w:trHeight w:val="340"/>
        </w:trPr>
        <w:tc>
          <w:tcPr>
            <w:tcW w:w="2088"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AC 11</w:t>
            </w:r>
            <w:r>
              <w:rPr>
                <w:rFonts w:ascii="Verdana" w:hAnsi="Verdana" w:cs="Arial"/>
              </w:rPr>
              <w:t xml:space="preserve"> </w:t>
            </w:r>
            <w:r w:rsidRPr="006D2270">
              <w:rPr>
                <w:rFonts w:ascii="Verdana" w:hAnsi="Verdana" w:cs="Arial"/>
              </w:rPr>
              <w:t>S,   KR 3</w:t>
            </w:r>
            <w:r>
              <w:rPr>
                <w:rFonts w:ascii="Verdana" w:hAnsi="Verdana" w:cs="Arial"/>
              </w:rPr>
              <w:t>÷</w:t>
            </w:r>
            <w:r w:rsidRPr="006D2270">
              <w:rPr>
                <w:rFonts w:ascii="Verdana" w:hAnsi="Verdana" w:cs="Arial"/>
              </w:rPr>
              <w:t>4</w:t>
            </w:r>
          </w:p>
        </w:tc>
        <w:tc>
          <w:tcPr>
            <w:tcW w:w="2698"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30 ÷ 50</w:t>
            </w:r>
          </w:p>
        </w:tc>
        <w:tc>
          <w:tcPr>
            <w:tcW w:w="1843"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 98,0</w:t>
            </w:r>
          </w:p>
        </w:tc>
        <w:tc>
          <w:tcPr>
            <w:tcW w:w="2551"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2,0 ÷ 5,0</w:t>
            </w:r>
          </w:p>
        </w:tc>
      </w:tr>
    </w:tbl>
    <w:p w:rsidR="00683496" w:rsidRPr="006D2270" w:rsidRDefault="00683496" w:rsidP="00683496">
      <w:pPr>
        <w:rPr>
          <w:rFonts w:ascii="Verdana" w:hAnsi="Verdana" w:cs="Arial"/>
        </w:rPr>
      </w:pPr>
    </w:p>
    <w:p w:rsidR="00683496" w:rsidRPr="006D2270" w:rsidRDefault="00683496" w:rsidP="00683496">
      <w:pPr>
        <w:jc w:val="both"/>
        <w:rPr>
          <w:rFonts w:ascii="Verdana" w:hAnsi="Verdana" w:cs="Arial"/>
        </w:rPr>
      </w:pPr>
      <w:r w:rsidRPr="006D2270">
        <w:rPr>
          <w:rFonts w:ascii="Verdana" w:hAnsi="Verdana" w:cs="Arial"/>
        </w:rPr>
        <w:t xml:space="preserve">Mieszanka mineralno-asfaltowa powinna być wbudowywana rozkładarką wyposażoną w układ automatycznego sterowania grubości warstwy i utrzymywania niwelety zgodnie </w:t>
      </w:r>
      <w:r>
        <w:rPr>
          <w:rFonts w:ascii="Verdana" w:hAnsi="Verdana" w:cs="Arial"/>
        </w:rPr>
        <w:br/>
      </w:r>
      <w:r w:rsidRPr="006D2270">
        <w:rPr>
          <w:rFonts w:ascii="Verdana" w:hAnsi="Verdana" w:cs="Arial"/>
        </w:rPr>
        <w:t>z dokumentacją projektową. W miejscach niedostępnych dla sprzętu dopuszcza się wbudowywanie ręczne.</w:t>
      </w:r>
    </w:p>
    <w:p w:rsidR="00683496" w:rsidRPr="006D2270" w:rsidRDefault="00683496" w:rsidP="00683496">
      <w:pPr>
        <w:jc w:val="both"/>
        <w:rPr>
          <w:rFonts w:ascii="Verdana" w:hAnsi="Verdana" w:cs="Arial"/>
        </w:rPr>
      </w:pPr>
      <w:r w:rsidRPr="006D2270">
        <w:rPr>
          <w:rFonts w:ascii="Verdana" w:hAnsi="Verdana" w:cs="Arial"/>
        </w:rPr>
        <w:t>Grubość wykonywanej warstwy powinna być sprawdzana co 25 m, w co najmniej trzech miejscach (w osi i przy brzegach warstwy).</w:t>
      </w:r>
    </w:p>
    <w:p w:rsidR="00683496" w:rsidRPr="006D2270" w:rsidRDefault="00683496" w:rsidP="00683496">
      <w:pPr>
        <w:jc w:val="both"/>
        <w:rPr>
          <w:rFonts w:ascii="Verdana" w:hAnsi="Verdana" w:cs="Arial"/>
        </w:rPr>
      </w:pPr>
      <w:r w:rsidRPr="006D2270">
        <w:rPr>
          <w:rFonts w:ascii="Verdana" w:hAnsi="Verdana" w:cs="Arial"/>
        </w:rPr>
        <w:t xml:space="preserve">Warstwy wałowane powinny być równomiernie zagęszczone walcami drogowymi. Do warstw z betonu asfaltowego należy stosować walce drogowe stalowe gładkie </w:t>
      </w:r>
      <w:r>
        <w:rPr>
          <w:rFonts w:ascii="Verdana" w:hAnsi="Verdana" w:cs="Arial"/>
        </w:rPr>
        <w:br/>
      </w:r>
      <w:r w:rsidRPr="006D2270">
        <w:rPr>
          <w:rFonts w:ascii="Verdana" w:hAnsi="Verdana" w:cs="Arial"/>
        </w:rPr>
        <w:t xml:space="preserve">z możliwością wibracji, oscylacji lub walce ogumione. </w:t>
      </w:r>
    </w:p>
    <w:p w:rsidR="00683496" w:rsidRPr="006D2270" w:rsidRDefault="00683496" w:rsidP="00683496">
      <w:pPr>
        <w:keepNext/>
        <w:spacing w:line="276" w:lineRule="auto"/>
        <w:jc w:val="both"/>
        <w:outlineLvl w:val="1"/>
        <w:rPr>
          <w:rFonts w:ascii="Verdana" w:hAnsi="Verdana" w:cs="Arial"/>
        </w:rPr>
      </w:pPr>
      <w:bookmarkStart w:id="366" w:name="_Toc316558748"/>
    </w:p>
    <w:p w:rsidR="00683496" w:rsidRPr="006D2270" w:rsidRDefault="00683496" w:rsidP="00683496">
      <w:pPr>
        <w:keepNext/>
        <w:jc w:val="both"/>
        <w:outlineLvl w:val="1"/>
        <w:rPr>
          <w:rFonts w:ascii="Verdana" w:hAnsi="Verdana" w:cs="Arial"/>
          <w:b/>
          <w:bCs/>
          <w:iCs/>
        </w:rPr>
      </w:pPr>
      <w:r w:rsidRPr="006D2270">
        <w:rPr>
          <w:rFonts w:ascii="Verdana" w:hAnsi="Verdana" w:cs="Arial"/>
          <w:b/>
          <w:bCs/>
          <w:iCs/>
        </w:rPr>
        <w:t>5.8. Połączenia technologiczne</w:t>
      </w:r>
      <w:bookmarkEnd w:id="366"/>
    </w:p>
    <w:p w:rsidR="00683496" w:rsidRPr="006D2270" w:rsidRDefault="00683496" w:rsidP="00683496">
      <w:pPr>
        <w:jc w:val="both"/>
        <w:rPr>
          <w:rFonts w:ascii="Verdana" w:hAnsi="Verdana" w:cs="Arial"/>
        </w:rPr>
      </w:pPr>
      <w:r w:rsidRPr="006D2270">
        <w:rPr>
          <w:rFonts w:ascii="Verdana" w:hAnsi="Verdana" w:cs="Arial"/>
        </w:rPr>
        <w:t xml:space="preserve">Połączenia technologiczne należy wykonać  wg  pkt. 2.5 niniejszej SST. </w:t>
      </w:r>
    </w:p>
    <w:p w:rsidR="00683496" w:rsidRPr="006D2270" w:rsidRDefault="00683496" w:rsidP="00683496">
      <w:pPr>
        <w:jc w:val="both"/>
        <w:rPr>
          <w:rFonts w:ascii="Verdana" w:hAnsi="Verdana" w:cs="Arial"/>
        </w:rPr>
      </w:pPr>
    </w:p>
    <w:p w:rsidR="00683496" w:rsidRPr="006D2270" w:rsidRDefault="00683496" w:rsidP="00683496">
      <w:pPr>
        <w:pStyle w:val="Bullet"/>
        <w:spacing w:after="20"/>
        <w:rPr>
          <w:rFonts w:ascii="Verdana" w:hAnsi="Verdana" w:cs="Arial"/>
          <w:color w:val="auto"/>
          <w:sz w:val="20"/>
        </w:rPr>
      </w:pPr>
      <w:r w:rsidRPr="006D2270">
        <w:rPr>
          <w:rFonts w:ascii="Verdana" w:hAnsi="Verdana" w:cs="Arial"/>
          <w:color w:val="auto"/>
          <w:sz w:val="20"/>
        </w:rPr>
        <w:t>5.9. Odcinek próbny</w:t>
      </w:r>
    </w:p>
    <w:p w:rsidR="00683496" w:rsidRPr="006D2270" w:rsidRDefault="00683496" w:rsidP="00683496">
      <w:pPr>
        <w:shd w:val="clear" w:color="auto" w:fill="FFFFFF"/>
        <w:spacing w:after="20"/>
        <w:jc w:val="both"/>
        <w:rPr>
          <w:rFonts w:ascii="Verdana" w:hAnsi="Verdana" w:cs="Arial"/>
        </w:rPr>
      </w:pPr>
      <w:r w:rsidRPr="006D2270">
        <w:rPr>
          <w:rFonts w:ascii="Verdana" w:hAnsi="Verdana" w:cs="Arial"/>
        </w:rPr>
        <w:t>Na co najmniej 5 dni roboczych przed przystąpieniem do wykonywania warstwy ścieralnej, przewiduje się wykonanie odcinka próbnego. O wykonaniu odcinka próbnego decyduje Inspektor Nadzoru na podstawie wyników uzyskanych z próby technologicznej oraz doświadczenia w stosowaniu danej recepty na drogach krajowych województwa warmińsko-mazurskiego.</w:t>
      </w:r>
    </w:p>
    <w:p w:rsidR="00683496" w:rsidRPr="006D2270" w:rsidRDefault="00683496" w:rsidP="00683496">
      <w:pPr>
        <w:shd w:val="clear" w:color="auto" w:fill="FFFFFF"/>
        <w:spacing w:after="20"/>
        <w:jc w:val="both"/>
        <w:rPr>
          <w:rFonts w:ascii="Verdana" w:hAnsi="Verdana" w:cs="Arial"/>
        </w:rPr>
      </w:pPr>
      <w:r w:rsidRPr="006D2270">
        <w:rPr>
          <w:rFonts w:ascii="Verdana" w:hAnsi="Verdana" w:cs="Arial"/>
        </w:rPr>
        <w:t>Odcinek próbny powinien być zlokalizowany w miejscu zatwierdzonym przez Przedstawiciela Zamawiającego/Inspektora Nadzoru. Powierzchnia odcinka próbnego powinna wynosić co najmniej 150 m</w:t>
      </w:r>
      <w:r w:rsidRPr="006D2270">
        <w:rPr>
          <w:rFonts w:ascii="Verdana" w:hAnsi="Verdana" w:cs="Arial"/>
          <w:vertAlign w:val="superscript"/>
        </w:rPr>
        <w:t>2</w:t>
      </w:r>
      <w:r w:rsidRPr="006D2270">
        <w:rPr>
          <w:rFonts w:ascii="Verdana" w:hAnsi="Verdana" w:cs="Arial"/>
        </w:rPr>
        <w:t>, a długość co najmniej 50 m.</w:t>
      </w:r>
    </w:p>
    <w:p w:rsidR="00683496" w:rsidRPr="006D2270" w:rsidRDefault="00683496" w:rsidP="00683496">
      <w:pPr>
        <w:shd w:val="clear" w:color="auto" w:fill="FFFFFF"/>
        <w:spacing w:after="20"/>
        <w:jc w:val="both"/>
        <w:rPr>
          <w:rFonts w:ascii="Verdana" w:hAnsi="Verdana" w:cs="Arial"/>
          <w:u w:val="single"/>
        </w:rPr>
      </w:pPr>
      <w:r w:rsidRPr="006D2270">
        <w:rPr>
          <w:rFonts w:ascii="Verdana" w:hAnsi="Verdana" w:cs="Arial"/>
          <w:u w:val="single"/>
        </w:rPr>
        <w:t xml:space="preserve">Wartość wykonania odcinka próbnego należy wkalkulować w cenę jednostki obmiarowej. </w:t>
      </w:r>
    </w:p>
    <w:p w:rsidR="00683496" w:rsidRPr="006D2270" w:rsidRDefault="00683496" w:rsidP="00683496">
      <w:pPr>
        <w:shd w:val="clear" w:color="auto" w:fill="FFFFFF"/>
        <w:spacing w:after="20"/>
        <w:jc w:val="both"/>
        <w:rPr>
          <w:rFonts w:ascii="Verdana" w:hAnsi="Verdana" w:cs="Arial"/>
        </w:rPr>
      </w:pPr>
      <w:r w:rsidRPr="006D2270">
        <w:rPr>
          <w:rFonts w:ascii="Verdana" w:hAnsi="Verdana" w:cs="Arial"/>
        </w:rPr>
        <w:t>Każdorazowo odcinek próbny należy wykonać:</w:t>
      </w:r>
    </w:p>
    <w:p w:rsidR="00683496" w:rsidRPr="006D2270"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6D2270">
        <w:rPr>
          <w:rFonts w:ascii="Verdana" w:hAnsi="Verdana" w:cs="Arial"/>
        </w:rPr>
        <w:t>przy zmianie recepty mieszanki mineralno-asfaltowej,</w:t>
      </w:r>
    </w:p>
    <w:p w:rsidR="00683496" w:rsidRPr="006D2270"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6D2270">
        <w:rPr>
          <w:rFonts w:ascii="Verdana" w:hAnsi="Verdana" w:cs="Arial"/>
        </w:rPr>
        <w:t>przy zmianie wytwórni,</w:t>
      </w:r>
    </w:p>
    <w:p w:rsidR="00683496" w:rsidRPr="006D2270"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6D2270">
        <w:rPr>
          <w:rFonts w:ascii="Verdana" w:hAnsi="Verdana" w:cs="Arial"/>
        </w:rPr>
        <w:t>przy zmianie dostawcy kruszyw lub asfaltu,</w:t>
      </w:r>
    </w:p>
    <w:p w:rsidR="00683496" w:rsidRPr="006D2270" w:rsidRDefault="00683496" w:rsidP="002122BD">
      <w:pPr>
        <w:widowControl w:val="0"/>
        <w:numPr>
          <w:ilvl w:val="0"/>
          <w:numId w:val="38"/>
        </w:numPr>
        <w:shd w:val="clear" w:color="auto" w:fill="FFFFFF"/>
        <w:tabs>
          <w:tab w:val="left" w:pos="408"/>
        </w:tabs>
        <w:autoSpaceDE w:val="0"/>
        <w:autoSpaceDN w:val="0"/>
        <w:adjustRightInd w:val="0"/>
        <w:spacing w:after="20"/>
        <w:jc w:val="both"/>
        <w:rPr>
          <w:rFonts w:ascii="Verdana" w:hAnsi="Verdana" w:cs="Arial"/>
        </w:rPr>
      </w:pPr>
      <w:r w:rsidRPr="006D2270">
        <w:rPr>
          <w:rFonts w:ascii="Verdana" w:hAnsi="Verdana" w:cs="Arial"/>
        </w:rPr>
        <w:t>w wypadku zaistnienia wątpliwości co do jakości produkowanej mieszanki.</w:t>
      </w:r>
    </w:p>
    <w:p w:rsidR="00683496" w:rsidRPr="006D2270" w:rsidRDefault="00683496" w:rsidP="00683496">
      <w:pPr>
        <w:widowControl w:val="0"/>
        <w:shd w:val="clear" w:color="auto" w:fill="FFFFFF"/>
        <w:tabs>
          <w:tab w:val="left" w:pos="408"/>
        </w:tabs>
        <w:autoSpaceDE w:val="0"/>
        <w:autoSpaceDN w:val="0"/>
        <w:adjustRightInd w:val="0"/>
        <w:spacing w:after="20"/>
        <w:jc w:val="both"/>
        <w:rPr>
          <w:rFonts w:ascii="Verdana" w:hAnsi="Verdana" w:cs="Arial"/>
        </w:rPr>
      </w:pPr>
      <w:r w:rsidRPr="006D2270">
        <w:rPr>
          <w:rFonts w:ascii="Verdana" w:hAnsi="Verdana" w:cs="Arial"/>
        </w:rPr>
        <w:t>Celem wykonania odcinka próbnego jest:</w:t>
      </w:r>
    </w:p>
    <w:p w:rsidR="00683496" w:rsidRPr="006D2270" w:rsidRDefault="00683496" w:rsidP="002122BD">
      <w:pPr>
        <w:widowControl w:val="0"/>
        <w:numPr>
          <w:ilvl w:val="0"/>
          <w:numId w:val="37"/>
        </w:numPr>
        <w:shd w:val="clear" w:color="auto" w:fill="FFFFFF"/>
        <w:tabs>
          <w:tab w:val="left" w:pos="408"/>
        </w:tabs>
        <w:autoSpaceDE w:val="0"/>
        <w:autoSpaceDN w:val="0"/>
        <w:adjustRightInd w:val="0"/>
        <w:spacing w:after="20"/>
        <w:jc w:val="both"/>
        <w:rPr>
          <w:rFonts w:ascii="Verdana" w:hAnsi="Verdana" w:cs="Arial"/>
        </w:rPr>
      </w:pPr>
      <w:r w:rsidRPr="006D2270">
        <w:rPr>
          <w:rFonts w:ascii="Verdana" w:hAnsi="Verdana" w:cs="Arial"/>
        </w:rPr>
        <w:t>stwierdzenie czy użyty sprzęt jest właściwy,</w:t>
      </w:r>
    </w:p>
    <w:p w:rsidR="00683496" w:rsidRPr="006D2270" w:rsidRDefault="00683496" w:rsidP="002122BD">
      <w:pPr>
        <w:widowControl w:val="0"/>
        <w:numPr>
          <w:ilvl w:val="0"/>
          <w:numId w:val="39"/>
        </w:numPr>
        <w:shd w:val="clear" w:color="auto" w:fill="FFFFFF"/>
        <w:tabs>
          <w:tab w:val="left" w:pos="413"/>
        </w:tabs>
        <w:autoSpaceDE w:val="0"/>
        <w:autoSpaceDN w:val="0"/>
        <w:adjustRightInd w:val="0"/>
        <w:spacing w:after="20"/>
        <w:ind w:left="426" w:hanging="426"/>
        <w:jc w:val="both"/>
        <w:rPr>
          <w:rFonts w:ascii="Verdana" w:hAnsi="Verdana" w:cs="Arial"/>
        </w:rPr>
      </w:pPr>
      <w:r w:rsidRPr="006D2270">
        <w:rPr>
          <w:rFonts w:ascii="Verdana" w:hAnsi="Verdana" w:cs="Arial"/>
        </w:rPr>
        <w:lastRenderedPageBreak/>
        <w:t>określenie grubości warstwy mieszanki mineralno-asfaltowej przed zagęszczeniem, koniecznej do uzyskania wymaganej grubości warstwy,</w:t>
      </w:r>
    </w:p>
    <w:p w:rsidR="00683496" w:rsidRPr="006D2270" w:rsidRDefault="00683496" w:rsidP="00683496">
      <w:pPr>
        <w:widowControl w:val="0"/>
        <w:shd w:val="clear" w:color="auto" w:fill="FFFFFF"/>
        <w:tabs>
          <w:tab w:val="left" w:pos="426"/>
        </w:tabs>
        <w:autoSpaceDE w:val="0"/>
        <w:autoSpaceDN w:val="0"/>
        <w:adjustRightInd w:val="0"/>
        <w:ind w:left="426" w:hanging="426"/>
        <w:jc w:val="both"/>
        <w:rPr>
          <w:rFonts w:ascii="Verdana" w:hAnsi="Verdana" w:cs="Arial"/>
        </w:rPr>
      </w:pPr>
      <w:r>
        <w:rPr>
          <w:rFonts w:ascii="Verdana" w:hAnsi="Verdana" w:cs="Arial"/>
        </w:rPr>
        <w:t xml:space="preserve">-   </w:t>
      </w:r>
      <w:r w:rsidRPr="006D2270">
        <w:rPr>
          <w:rFonts w:ascii="Verdana" w:hAnsi="Verdana" w:cs="Arial"/>
        </w:rPr>
        <w:t>określenie potrzebnej ilości przejść walców dla uzyskania prawidłowego zagęszczenia warstwy,</w:t>
      </w:r>
    </w:p>
    <w:p w:rsidR="00683496" w:rsidRPr="006D2270" w:rsidRDefault="00683496" w:rsidP="00683496">
      <w:pPr>
        <w:widowControl w:val="0"/>
        <w:shd w:val="clear" w:color="auto" w:fill="FFFFFF"/>
        <w:tabs>
          <w:tab w:val="left" w:pos="426"/>
        </w:tabs>
        <w:autoSpaceDE w:val="0"/>
        <w:autoSpaceDN w:val="0"/>
        <w:adjustRightInd w:val="0"/>
        <w:ind w:left="426" w:hanging="426"/>
        <w:jc w:val="both"/>
        <w:rPr>
          <w:rFonts w:ascii="Verdana" w:hAnsi="Verdana" w:cs="Arial"/>
        </w:rPr>
      </w:pPr>
      <w:r w:rsidRPr="006D2270">
        <w:rPr>
          <w:rFonts w:ascii="Verdana" w:hAnsi="Verdana" w:cs="Arial"/>
        </w:rPr>
        <w:t>-</w:t>
      </w:r>
      <w:r w:rsidRPr="006D2270">
        <w:rPr>
          <w:rFonts w:ascii="Verdana" w:hAnsi="Verdana" w:cs="Arial"/>
        </w:rPr>
        <w:tab/>
        <w:t>sprawdzenie rzeczywistych parametrów wbudowanej warstwy uzyskanych w badaniu typu (np. koleinowanie).</w:t>
      </w:r>
    </w:p>
    <w:p w:rsidR="00683496" w:rsidRPr="002876EA" w:rsidRDefault="00683496" w:rsidP="00683496">
      <w:pPr>
        <w:shd w:val="clear" w:color="auto" w:fill="FFFFFF"/>
        <w:jc w:val="both"/>
        <w:rPr>
          <w:rFonts w:ascii="Verdana" w:hAnsi="Verdana" w:cs="Arial"/>
        </w:rPr>
      </w:pPr>
      <w:r w:rsidRPr="002876EA">
        <w:rPr>
          <w:rFonts w:ascii="Verdana" w:hAnsi="Verdana" w:cs="Arial"/>
        </w:rPr>
        <w:t xml:space="preserve">Do wykonania odcinka próbnego Wykonawca użyje takich materiałów oraz sprzętu, jakie będą stosowane do wykonania warstwy nawierzchni. </w:t>
      </w:r>
    </w:p>
    <w:p w:rsidR="00683496" w:rsidRPr="002876EA" w:rsidRDefault="00683496" w:rsidP="00683496">
      <w:pPr>
        <w:jc w:val="both"/>
        <w:rPr>
          <w:rFonts w:ascii="Verdana" w:hAnsi="Verdana" w:cs="Arial"/>
        </w:rPr>
      </w:pPr>
      <w:r w:rsidRPr="002876EA">
        <w:rPr>
          <w:rFonts w:ascii="Verdana" w:hAnsi="Verdana" w:cs="Arial"/>
        </w:rPr>
        <w:t>Wykonawca może przystąpić do wykonywania warstwy nawierzchni po zaakceptowaniu przez Przedstawiciela Zamawiającego/Inspektora Nadzoru wyników badań i prób z odcinka próbnego warstwy.</w:t>
      </w:r>
      <w:r>
        <w:rPr>
          <w:rFonts w:ascii="Verdana" w:hAnsi="Verdana" w:cs="Arial"/>
        </w:rPr>
        <w:t xml:space="preserve"> Tolerancje zawartości składu MMA względem składu zaprojektowanego powinny być zgodne z wymaganiami podanymi w pkt. 6.4 niniejszej SST. </w:t>
      </w:r>
    </w:p>
    <w:p w:rsidR="00683496" w:rsidRDefault="00683496" w:rsidP="00683496">
      <w:pPr>
        <w:pStyle w:val="Tekstpodstawowy"/>
        <w:spacing w:after="0"/>
        <w:jc w:val="both"/>
        <w:rPr>
          <w:rFonts w:ascii="Verdana" w:hAnsi="Verdana" w:cs="Arial"/>
        </w:rPr>
      </w:pPr>
      <w:r>
        <w:rPr>
          <w:rFonts w:ascii="Verdana" w:hAnsi="Verdana" w:cs="Arial"/>
        </w:rPr>
        <w:t>Z każdego odcinka próbnego</w:t>
      </w:r>
      <w:r w:rsidRPr="002876EA">
        <w:rPr>
          <w:rFonts w:ascii="Verdana" w:hAnsi="Verdana" w:cs="Arial"/>
        </w:rPr>
        <w:t xml:space="preserve"> pobiera się próbki, na bazie których przeprowadza się badania składu oraz właściwości mieszanki </w:t>
      </w:r>
      <w:r>
        <w:rPr>
          <w:rFonts w:ascii="Verdana" w:hAnsi="Verdana" w:cs="Arial"/>
        </w:rPr>
        <w:t>M</w:t>
      </w:r>
      <w:r w:rsidRPr="002876EA">
        <w:rPr>
          <w:rFonts w:ascii="Verdana" w:hAnsi="Verdana" w:cs="Arial"/>
        </w:rPr>
        <w:t>MA przewidzianych w niniejszej SST oraz</w:t>
      </w:r>
      <w:r>
        <w:rPr>
          <w:rFonts w:ascii="Verdana" w:hAnsi="Verdana" w:cs="Arial"/>
        </w:rPr>
        <w:t xml:space="preserve"> z wykonanych odwiertów badanie wskaźnika zagęszczenia i wolnej przestrzeni w warstwie,</w:t>
      </w:r>
      <w:r w:rsidRPr="002876EA">
        <w:rPr>
          <w:rFonts w:ascii="Verdana" w:hAnsi="Verdana" w:cs="Arial"/>
        </w:rPr>
        <w:t xml:space="preserve"> badanie </w:t>
      </w:r>
      <w:proofErr w:type="spellStart"/>
      <w:r w:rsidRPr="002876EA">
        <w:rPr>
          <w:rFonts w:ascii="Verdana" w:hAnsi="Verdana" w:cs="Arial"/>
        </w:rPr>
        <w:t>sczepności</w:t>
      </w:r>
      <w:proofErr w:type="spellEnd"/>
      <w:r w:rsidRPr="002876EA">
        <w:rPr>
          <w:rFonts w:ascii="Verdana" w:hAnsi="Verdana" w:cs="Arial"/>
        </w:rPr>
        <w:t xml:space="preserve"> </w:t>
      </w:r>
      <w:proofErr w:type="spellStart"/>
      <w:r w:rsidRPr="002876EA">
        <w:rPr>
          <w:rFonts w:ascii="Verdana" w:hAnsi="Verdana" w:cs="Arial"/>
        </w:rPr>
        <w:t>międzywarstwowej</w:t>
      </w:r>
      <w:proofErr w:type="spellEnd"/>
      <w:r>
        <w:rPr>
          <w:rFonts w:ascii="Verdana" w:hAnsi="Verdana" w:cs="Arial"/>
        </w:rPr>
        <w:t xml:space="preserve"> i odporności na deformacje trwałe.</w:t>
      </w:r>
      <w:r w:rsidRPr="002876EA">
        <w:rPr>
          <w:rFonts w:ascii="Verdana" w:hAnsi="Verdana" w:cs="Arial"/>
        </w:rPr>
        <w:t xml:space="preserve"> </w:t>
      </w:r>
    </w:p>
    <w:p w:rsidR="00683496" w:rsidRDefault="00683496" w:rsidP="00683496">
      <w:pPr>
        <w:jc w:val="both"/>
        <w:rPr>
          <w:rFonts w:ascii="Verdana" w:hAnsi="Verdana" w:cs="Arial"/>
        </w:rPr>
      </w:pPr>
      <w:r w:rsidRPr="006D2270">
        <w:rPr>
          <w:rFonts w:ascii="Verdana" w:hAnsi="Verdana" w:cs="Arial"/>
        </w:rPr>
        <w:t>Ewentualne wykonanie odcinka próbnego Wykonawca jest zobowiązany uwzględnić w cenie kontraktowej.</w:t>
      </w:r>
    </w:p>
    <w:p w:rsidR="00683496" w:rsidRPr="002876EA" w:rsidRDefault="00683496" w:rsidP="00683496">
      <w:pPr>
        <w:pStyle w:val="Tekstpodstawowy"/>
        <w:spacing w:after="0"/>
        <w:jc w:val="both"/>
        <w:rPr>
          <w:rFonts w:ascii="Verdana" w:hAnsi="Verdana" w:cs="Arial"/>
        </w:rPr>
      </w:pPr>
      <w:r w:rsidRPr="002876EA">
        <w:rPr>
          <w:rFonts w:ascii="Verdana" w:hAnsi="Verdana" w:cs="Arial"/>
        </w:rPr>
        <w:t xml:space="preserve">W wypadku wątpliwości, co do prawidłowości przeprowadzonych badań, Przedstawiciel Zamawiającego/Inspektor Nadzoru może zażądać badań uzupełniających lub zlecić je do innego laboratorium. </w:t>
      </w:r>
    </w:p>
    <w:p w:rsidR="00683496" w:rsidRPr="00D46A9C" w:rsidRDefault="00683496" w:rsidP="00683496">
      <w:pPr>
        <w:pStyle w:val="Tekstpodstawowy"/>
        <w:spacing w:after="0"/>
        <w:jc w:val="both"/>
        <w:rPr>
          <w:rFonts w:ascii="Verdana" w:hAnsi="Verdana" w:cs="Arial"/>
        </w:rPr>
      </w:pPr>
      <w:r w:rsidRPr="002876EA">
        <w:rPr>
          <w:rFonts w:ascii="Verdana" w:hAnsi="Verdana" w:cs="Arial"/>
        </w:rPr>
        <w:t>Zwiększenie ilości badań nie może rościć żądań Wykonawcy o dodatkową zapłatę.</w:t>
      </w:r>
    </w:p>
    <w:p w:rsidR="00683496" w:rsidRPr="00C41538" w:rsidRDefault="00683496" w:rsidP="00683496">
      <w:pPr>
        <w:keepNext/>
        <w:widowControl w:val="0"/>
        <w:numPr>
          <w:ilvl w:val="12"/>
          <w:numId w:val="0"/>
        </w:numPr>
        <w:outlineLvl w:val="0"/>
        <w:rPr>
          <w:rFonts w:ascii="Verdana" w:hAnsi="Verdana" w:cs="Arial"/>
          <w:b/>
          <w:snapToGrid w:val="0"/>
        </w:rPr>
      </w:pPr>
      <w:r w:rsidRPr="006D2270">
        <w:rPr>
          <w:rFonts w:ascii="Verdana" w:hAnsi="Verdana" w:cs="Arial"/>
          <w:b/>
          <w:snapToGrid w:val="0"/>
        </w:rPr>
        <w:t xml:space="preserve">6. </w:t>
      </w:r>
      <w:bookmarkStart w:id="367" w:name="_Toc316558749"/>
      <w:r w:rsidRPr="006D2270">
        <w:rPr>
          <w:rFonts w:ascii="Verdana" w:hAnsi="Verdana" w:cs="Arial"/>
          <w:b/>
          <w:snapToGrid w:val="0"/>
        </w:rPr>
        <w:t>K</w:t>
      </w:r>
      <w:bookmarkEnd w:id="367"/>
      <w:r w:rsidRPr="006D2270">
        <w:rPr>
          <w:rFonts w:ascii="Verdana" w:hAnsi="Verdana" w:cs="Arial"/>
          <w:b/>
          <w:snapToGrid w:val="0"/>
        </w:rPr>
        <w:t>ontrola jakości robót</w:t>
      </w:r>
      <w:bookmarkStart w:id="368" w:name="_Toc316558750"/>
    </w:p>
    <w:p w:rsidR="00683496" w:rsidRPr="006D2270" w:rsidRDefault="00683496" w:rsidP="00683496">
      <w:pPr>
        <w:keepNext/>
        <w:numPr>
          <w:ilvl w:val="12"/>
          <w:numId w:val="0"/>
        </w:numPr>
        <w:outlineLvl w:val="1"/>
        <w:rPr>
          <w:rFonts w:ascii="Verdana" w:hAnsi="Verdana" w:cs="Arial"/>
          <w:b/>
          <w:bCs/>
          <w:iCs/>
        </w:rPr>
      </w:pPr>
      <w:r w:rsidRPr="006D2270">
        <w:rPr>
          <w:rFonts w:ascii="Verdana" w:hAnsi="Verdana" w:cs="Arial"/>
          <w:b/>
          <w:bCs/>
          <w:iCs/>
        </w:rPr>
        <w:t>6.1. Ogólne zasady kontroli jakości robót</w:t>
      </w:r>
      <w:bookmarkEnd w:id="368"/>
    </w:p>
    <w:p w:rsidR="00683496" w:rsidRDefault="00683496" w:rsidP="00683496">
      <w:pPr>
        <w:numPr>
          <w:ilvl w:val="12"/>
          <w:numId w:val="0"/>
        </w:numPr>
        <w:jc w:val="both"/>
        <w:rPr>
          <w:rFonts w:ascii="Verdana" w:hAnsi="Verdana" w:cs="Arial"/>
        </w:rPr>
      </w:pPr>
      <w:r w:rsidRPr="006D2270">
        <w:rPr>
          <w:rFonts w:ascii="Verdana" w:hAnsi="Verdana" w:cs="Arial"/>
        </w:rPr>
        <w:t>Ogólne zasady kontroli jakości robót podano w SST D-M-00.00.00 „Wymagania ogólne” pkt 6.</w:t>
      </w:r>
      <w:bookmarkStart w:id="369" w:name="_Toc316558751"/>
    </w:p>
    <w:p w:rsidR="00683496" w:rsidRPr="00254068" w:rsidRDefault="00683496" w:rsidP="00683496">
      <w:pPr>
        <w:numPr>
          <w:ilvl w:val="12"/>
          <w:numId w:val="0"/>
        </w:numPr>
        <w:jc w:val="both"/>
        <w:rPr>
          <w:rFonts w:ascii="Verdana" w:hAnsi="Verdana" w:cs="Arial"/>
        </w:rPr>
      </w:pPr>
    </w:p>
    <w:p w:rsidR="00683496" w:rsidRPr="006D2270" w:rsidRDefault="00683496" w:rsidP="00683496">
      <w:pPr>
        <w:keepNext/>
        <w:numPr>
          <w:ilvl w:val="12"/>
          <w:numId w:val="0"/>
        </w:numPr>
        <w:outlineLvl w:val="1"/>
        <w:rPr>
          <w:rFonts w:ascii="Verdana" w:hAnsi="Verdana" w:cs="Arial"/>
          <w:b/>
          <w:bCs/>
          <w:iCs/>
        </w:rPr>
      </w:pPr>
      <w:r w:rsidRPr="006D2270">
        <w:rPr>
          <w:rFonts w:ascii="Verdana" w:hAnsi="Verdana" w:cs="Arial"/>
          <w:b/>
          <w:bCs/>
          <w:iCs/>
        </w:rPr>
        <w:t>6.2. Badania przed przystąpieniem do robót</w:t>
      </w:r>
      <w:bookmarkEnd w:id="369"/>
    </w:p>
    <w:p w:rsidR="00683496" w:rsidRPr="006D2270" w:rsidRDefault="00683496" w:rsidP="00683496">
      <w:pPr>
        <w:numPr>
          <w:ilvl w:val="12"/>
          <w:numId w:val="0"/>
        </w:numPr>
        <w:rPr>
          <w:rFonts w:ascii="Verdana" w:hAnsi="Verdana" w:cs="Arial"/>
        </w:rPr>
      </w:pPr>
      <w:r w:rsidRPr="006D2270">
        <w:rPr>
          <w:rFonts w:ascii="Verdana" w:hAnsi="Verdana" w:cs="Arial"/>
        </w:rPr>
        <w:t>Przed przystąpieniem do robót Wykonawca powinien:</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uzyskać wymagane dokumenty, dopuszczające wyroby budowlane do obrotu i powszechnego stosowania (stwierdzenie o oznakowaniu materiału znakiem CE lub znakiem budowlanym B, certyfikat zgodności, deklarację zgodności, aprobatę techniczną, ew. badania materiałów wykonane przez dostawców itp.),</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przeprowadzić badania typu mieszanki MMA na zgodność niniejszą SST i przedstawić do akceptacji dla Przedstawiciela Zamawiającego/Inspektora Nadzoru</w:t>
      </w:r>
      <w:r>
        <w:rPr>
          <w:rFonts w:ascii="Verdana" w:hAnsi="Verdana" w:cs="Arial"/>
        </w:rPr>
        <w:t>,</w:t>
      </w:r>
    </w:p>
    <w:p w:rsidR="00683496"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wykonać własne badania </w:t>
      </w:r>
      <w:r>
        <w:rPr>
          <w:rFonts w:ascii="Verdana" w:hAnsi="Verdana" w:cs="Arial"/>
        </w:rPr>
        <w:t xml:space="preserve">wszystkich </w:t>
      </w:r>
      <w:r w:rsidRPr="006D2270">
        <w:rPr>
          <w:rFonts w:ascii="Verdana" w:hAnsi="Verdana" w:cs="Arial"/>
        </w:rPr>
        <w:t xml:space="preserve">właściwości materiałów przeznaczonych do wykonania robót, </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Pr>
          <w:rFonts w:ascii="Verdana" w:hAnsi="Verdana" w:cs="Arial"/>
        </w:rPr>
        <w:t>Producent MMA powinien prowadzić bieżącą kontrolę wszystkich materiałów wsadowych użytych do produkcji mieszanki mineralno-asfaltowej.</w:t>
      </w:r>
    </w:p>
    <w:p w:rsidR="00683496" w:rsidRDefault="00683496" w:rsidP="00683496">
      <w:pPr>
        <w:numPr>
          <w:ilvl w:val="12"/>
          <w:numId w:val="0"/>
        </w:numPr>
        <w:jc w:val="both"/>
        <w:rPr>
          <w:rFonts w:ascii="Verdana" w:hAnsi="Verdana" w:cs="Arial"/>
        </w:rPr>
      </w:pPr>
      <w:r>
        <w:rPr>
          <w:rFonts w:ascii="Verdana" w:hAnsi="Verdana" w:cs="Arial"/>
        </w:rPr>
        <w:t xml:space="preserve">Badania wszystkich materiałów wsadowych, wykonane przez Producenta MMA, niezależnie od Producenta danego wyrobu, nie mogą być starsze niż 6 miesięcy w chwili złożenia. Badania materiałów wsadowych w ramach badań własnych Producenta MMA należy powtarzać jeden raz na rok. </w:t>
      </w:r>
    </w:p>
    <w:p w:rsidR="00683496" w:rsidRPr="006D2270" w:rsidRDefault="00683496" w:rsidP="00683496">
      <w:pPr>
        <w:numPr>
          <w:ilvl w:val="12"/>
          <w:numId w:val="0"/>
        </w:numPr>
        <w:jc w:val="both"/>
        <w:rPr>
          <w:rFonts w:ascii="Verdana" w:hAnsi="Verdana" w:cs="Arial"/>
        </w:rPr>
      </w:pPr>
      <w:r w:rsidRPr="006D2270">
        <w:rPr>
          <w:rFonts w:ascii="Verdana" w:hAnsi="Verdana" w:cs="Arial"/>
        </w:rPr>
        <w:t>Wszystkie dokumenty oraz wyniki badań Wykonawca przedstawia Przedstawicielowi Zamawiającego/ Inspektorowi Nadzoru do akceptacji.</w:t>
      </w:r>
    </w:p>
    <w:p w:rsidR="00683496" w:rsidRPr="006D2270" w:rsidRDefault="00683496" w:rsidP="00683496">
      <w:pPr>
        <w:numPr>
          <w:ilvl w:val="12"/>
          <w:numId w:val="0"/>
        </w:numPr>
        <w:rPr>
          <w:rFonts w:ascii="Verdana" w:hAnsi="Verdana" w:cs="Arial"/>
        </w:rPr>
      </w:pPr>
    </w:p>
    <w:p w:rsidR="00683496" w:rsidRPr="006D2270" w:rsidRDefault="00683496" w:rsidP="00683496">
      <w:pPr>
        <w:keepNext/>
        <w:numPr>
          <w:ilvl w:val="12"/>
          <w:numId w:val="0"/>
        </w:numPr>
        <w:outlineLvl w:val="1"/>
        <w:rPr>
          <w:rFonts w:ascii="Verdana" w:hAnsi="Verdana" w:cs="Arial"/>
          <w:b/>
          <w:bCs/>
          <w:iCs/>
        </w:rPr>
      </w:pPr>
      <w:r w:rsidRPr="006D2270">
        <w:rPr>
          <w:rFonts w:ascii="Verdana" w:hAnsi="Verdana" w:cs="Arial"/>
          <w:b/>
          <w:bCs/>
          <w:iCs/>
        </w:rPr>
        <w:t>6.3. Badania w czasie robót</w:t>
      </w:r>
    </w:p>
    <w:p w:rsidR="00683496" w:rsidRPr="006D2270" w:rsidRDefault="00683496" w:rsidP="00683496">
      <w:pPr>
        <w:rPr>
          <w:rFonts w:ascii="Verdana" w:hAnsi="Verdana" w:cs="Arial"/>
        </w:rPr>
      </w:pPr>
      <w:r w:rsidRPr="006D2270">
        <w:rPr>
          <w:rFonts w:ascii="Verdana" w:hAnsi="Verdana" w:cs="Arial"/>
          <w:b/>
        </w:rPr>
        <w:t>6.3.1. Uwagi ogólne</w:t>
      </w:r>
    </w:p>
    <w:p w:rsidR="00683496" w:rsidRPr="006D2270" w:rsidRDefault="00683496" w:rsidP="00683496">
      <w:pPr>
        <w:rPr>
          <w:rFonts w:ascii="Verdana" w:hAnsi="Verdana" w:cs="Arial"/>
        </w:rPr>
      </w:pPr>
      <w:r w:rsidRPr="006D2270">
        <w:rPr>
          <w:rFonts w:ascii="Verdana" w:hAnsi="Verdana" w:cs="Arial"/>
        </w:rPr>
        <w:t>Badania dzielą się na:</w:t>
      </w:r>
    </w:p>
    <w:p w:rsidR="00683496" w:rsidRPr="006D2270" w:rsidRDefault="00683496" w:rsidP="002122BD">
      <w:pPr>
        <w:numPr>
          <w:ilvl w:val="0"/>
          <w:numId w:val="35"/>
        </w:numPr>
        <w:overflowPunct w:val="0"/>
        <w:autoSpaceDE w:val="0"/>
        <w:autoSpaceDN w:val="0"/>
        <w:adjustRightInd w:val="0"/>
        <w:jc w:val="both"/>
        <w:textAlignment w:val="baseline"/>
        <w:rPr>
          <w:rFonts w:ascii="Verdana" w:hAnsi="Verdana" w:cs="Arial"/>
        </w:rPr>
      </w:pPr>
      <w:r w:rsidRPr="006D2270">
        <w:rPr>
          <w:rFonts w:ascii="Verdana" w:hAnsi="Verdana" w:cs="Arial"/>
        </w:rPr>
        <w:t>badania wykonawcy (w ramach własnego nadzoru),</w:t>
      </w:r>
    </w:p>
    <w:p w:rsidR="00683496" w:rsidRPr="00B40475" w:rsidRDefault="00683496" w:rsidP="002122BD">
      <w:pPr>
        <w:numPr>
          <w:ilvl w:val="0"/>
          <w:numId w:val="35"/>
        </w:numPr>
        <w:overflowPunct w:val="0"/>
        <w:autoSpaceDE w:val="0"/>
        <w:autoSpaceDN w:val="0"/>
        <w:adjustRightInd w:val="0"/>
        <w:jc w:val="both"/>
        <w:textAlignment w:val="baseline"/>
        <w:rPr>
          <w:rFonts w:ascii="Verdana" w:hAnsi="Verdana" w:cs="Arial"/>
        </w:rPr>
      </w:pPr>
      <w:r w:rsidRPr="006D2270">
        <w:rPr>
          <w:rFonts w:ascii="Verdana" w:hAnsi="Verdana" w:cs="Arial"/>
        </w:rPr>
        <w:t>badania kontrolne (w ramach nadzoru Zleceniodawcy – Przedstawiciela Zamawiającego/Inspektora Nadzoru).</w:t>
      </w:r>
    </w:p>
    <w:p w:rsidR="00683496" w:rsidRDefault="00683496" w:rsidP="00683496">
      <w:pPr>
        <w:rPr>
          <w:rFonts w:ascii="Verdana" w:hAnsi="Verdana" w:cs="Arial"/>
          <w:b/>
        </w:rPr>
      </w:pPr>
    </w:p>
    <w:p w:rsidR="00683496" w:rsidRPr="006D2270" w:rsidRDefault="00683496" w:rsidP="00683496">
      <w:pPr>
        <w:rPr>
          <w:rFonts w:ascii="Verdana" w:hAnsi="Verdana" w:cs="Arial"/>
        </w:rPr>
      </w:pPr>
      <w:r w:rsidRPr="006D2270">
        <w:rPr>
          <w:rFonts w:ascii="Verdana" w:hAnsi="Verdana" w:cs="Arial"/>
          <w:b/>
        </w:rPr>
        <w:t>6.3.2. Badania Wykonawcy</w:t>
      </w:r>
    </w:p>
    <w:p w:rsidR="00683496" w:rsidRPr="006D2270" w:rsidRDefault="00683496" w:rsidP="00683496">
      <w:pPr>
        <w:jc w:val="both"/>
        <w:rPr>
          <w:rFonts w:ascii="Verdana" w:hAnsi="Verdana" w:cs="Arial"/>
        </w:rPr>
      </w:pPr>
      <w:r w:rsidRPr="006D2270">
        <w:rPr>
          <w:rFonts w:ascii="Verdana" w:hAnsi="Verdana" w:cs="Arial"/>
        </w:rPr>
        <w:t>Badania Wykonawcy są wykonywane przez Wykonawcę lub jego zleceniobiorców celem sprawdzenia, czy jakość materiałów budowlanych (mieszanek mineralno-asfaltowych i ich składników, lepiszczy, materiałów do uszczelnień itp.) oraz gotowej warstwy (wbudowane warstwy asfaltowe, połączenia itp.) spełniają wymagania określone w SST.</w:t>
      </w:r>
    </w:p>
    <w:p w:rsidR="00683496" w:rsidRDefault="00683496" w:rsidP="00683496">
      <w:pPr>
        <w:jc w:val="both"/>
        <w:rPr>
          <w:rFonts w:ascii="Verdana" w:hAnsi="Verdana" w:cs="Arial"/>
        </w:rPr>
      </w:pPr>
      <w:r>
        <w:rPr>
          <w:rFonts w:ascii="Verdana" w:hAnsi="Verdana" w:cs="Arial"/>
        </w:rPr>
        <w:lastRenderedPageBreak/>
        <w:t xml:space="preserve">Badania wykonywane przez Wykonawcę w ramach kontroli jakości w rozumieniu niniejszych SST należy przeprowadzać na próbkach pobranych podczas wbudowywania mieszanki na budowie z częstotliwością zgodną z SST. </w:t>
      </w:r>
    </w:p>
    <w:p w:rsidR="00683496" w:rsidRDefault="00683496" w:rsidP="00683496">
      <w:pPr>
        <w:jc w:val="both"/>
        <w:rPr>
          <w:rFonts w:ascii="Verdana" w:hAnsi="Verdana" w:cs="Arial"/>
        </w:rPr>
      </w:pPr>
      <w:r>
        <w:rPr>
          <w:rFonts w:ascii="Verdana" w:hAnsi="Verdana" w:cs="Arial"/>
        </w:rPr>
        <w:t xml:space="preserve">Tolerancje zawartości składników MMA, dla próbek pobranych z miejsca wbudowania oraz pobranych na WMA, względem składu zaprojektowanego powinny być zgodne </w:t>
      </w:r>
      <w:r>
        <w:rPr>
          <w:rFonts w:ascii="Verdana" w:hAnsi="Verdana" w:cs="Arial"/>
        </w:rPr>
        <w:br/>
        <w:t>z wymaganiami podanymi w niniejszej SST.</w:t>
      </w:r>
    </w:p>
    <w:p w:rsidR="00683496" w:rsidRPr="006D2270" w:rsidRDefault="00683496" w:rsidP="00683496">
      <w:pPr>
        <w:jc w:val="both"/>
        <w:rPr>
          <w:rFonts w:ascii="Verdana" w:hAnsi="Verdana" w:cs="Arial"/>
        </w:rPr>
      </w:pPr>
      <w:r w:rsidRPr="006D2270">
        <w:rPr>
          <w:rFonts w:ascii="Verdana" w:hAnsi="Verdana" w:cs="Arial"/>
        </w:rPr>
        <w:t>Wykonawca powinien wykonywać te badania podczas realizacji robót, z niezbędną starannością i w wymaganym zakresie. Wyniki należy zapisywać w protokołach. W razie stwierdzenia uchybień w stosunku do wymagań SST, ich przyczyny należy niezwłocznie usunąć.</w:t>
      </w:r>
    </w:p>
    <w:p w:rsidR="00683496" w:rsidRPr="009040B8" w:rsidRDefault="00683496" w:rsidP="00683496">
      <w:pPr>
        <w:jc w:val="both"/>
        <w:rPr>
          <w:rFonts w:ascii="Verdana" w:hAnsi="Verdana" w:cs="Arial"/>
        </w:rPr>
      </w:pPr>
      <w:r w:rsidRPr="009040B8">
        <w:rPr>
          <w:rFonts w:ascii="Verdana" w:hAnsi="Verdana" w:cs="Arial"/>
        </w:rPr>
        <w:t>Wykonawca jest zobowiązany prowadzić Zakładową Kontrolę Produkcji zgodnie z normą PN-EN 13108-21 [63.1].</w:t>
      </w:r>
      <w:r w:rsidRPr="00836366">
        <w:rPr>
          <w:rFonts w:ascii="Verdana" w:hAnsi="Verdana" w:cs="Arial"/>
        </w:rPr>
        <w:t xml:space="preserve"> </w:t>
      </w:r>
    </w:p>
    <w:p w:rsidR="00683496" w:rsidRPr="006D2270" w:rsidRDefault="00683496" w:rsidP="00683496">
      <w:pPr>
        <w:jc w:val="both"/>
        <w:rPr>
          <w:rFonts w:ascii="Verdana" w:hAnsi="Verdana" w:cs="Arial"/>
        </w:rPr>
      </w:pPr>
      <w:r w:rsidRPr="006D2270">
        <w:rPr>
          <w:rFonts w:ascii="Verdana" w:hAnsi="Verdana" w:cs="Arial"/>
        </w:rPr>
        <w:t>Wyniki badań Wykonawcy należy przekazywać Przedstawiciel</w:t>
      </w:r>
      <w:r>
        <w:rPr>
          <w:rFonts w:ascii="Verdana" w:hAnsi="Verdana" w:cs="Arial"/>
        </w:rPr>
        <w:t xml:space="preserve">owi </w:t>
      </w:r>
      <w:r w:rsidRPr="006D2270">
        <w:rPr>
          <w:rFonts w:ascii="Verdana" w:hAnsi="Verdana" w:cs="Arial"/>
        </w:rPr>
        <w:t>Zamawiającego</w:t>
      </w:r>
      <w:r>
        <w:rPr>
          <w:rFonts w:ascii="Verdana" w:hAnsi="Verdana" w:cs="Arial"/>
        </w:rPr>
        <w:t xml:space="preserve">/ Inspektorowi </w:t>
      </w:r>
      <w:r w:rsidRPr="006D2270">
        <w:rPr>
          <w:rFonts w:ascii="Verdana" w:hAnsi="Verdana" w:cs="Arial"/>
        </w:rPr>
        <w:t>Nadzoru na jego żądanie. Przedstawiciel Zamawiającego/Inspektor Nadzoru może zdecydować o dokonaniu odbioru na podstawie badań Wykonawcy. W razie zastrzeżeń Przedstawiciel Zamawiającego/Inspektor Nadzoru może przeprowadzić badania kontrolne według punktu 6.3.3.</w:t>
      </w:r>
    </w:p>
    <w:p w:rsidR="00683496" w:rsidRPr="006D2270" w:rsidRDefault="00683496" w:rsidP="00683496">
      <w:pPr>
        <w:jc w:val="both"/>
        <w:rPr>
          <w:rFonts w:ascii="Verdana" w:hAnsi="Verdana" w:cs="Arial"/>
        </w:rPr>
      </w:pPr>
      <w:r w:rsidRPr="006D2270">
        <w:rPr>
          <w:rFonts w:ascii="Verdana" w:hAnsi="Verdana" w:cs="Arial"/>
        </w:rPr>
        <w:t>Rodzaje badań Wykonawcy mieszanki mineralno-asfaltowej i wykonanej z niej warstwy podano w tab</w:t>
      </w:r>
      <w:r>
        <w:rPr>
          <w:rFonts w:ascii="Verdana" w:hAnsi="Verdana" w:cs="Arial"/>
        </w:rPr>
        <w:t>ela</w:t>
      </w:r>
      <w:r w:rsidRPr="006D2270">
        <w:rPr>
          <w:rFonts w:ascii="Verdana" w:hAnsi="Verdana" w:cs="Arial"/>
        </w:rPr>
        <w:t xml:space="preserve"> 1</w:t>
      </w:r>
      <w:r>
        <w:rPr>
          <w:rFonts w:ascii="Verdana" w:hAnsi="Verdana" w:cs="Arial"/>
        </w:rPr>
        <w:t>3</w:t>
      </w:r>
      <w:r w:rsidRPr="006D2270">
        <w:rPr>
          <w:rFonts w:ascii="Verdana" w:hAnsi="Verdana" w:cs="Arial"/>
        </w:rPr>
        <w:t>.</w:t>
      </w:r>
    </w:p>
    <w:p w:rsidR="00683496" w:rsidRDefault="00683496" w:rsidP="00683496">
      <w:pPr>
        <w:spacing w:before="120"/>
        <w:rPr>
          <w:rFonts w:ascii="Verdana" w:hAnsi="Verdana" w:cs="Arial"/>
        </w:rPr>
      </w:pPr>
    </w:p>
    <w:p w:rsidR="00683496" w:rsidRPr="006D2270" w:rsidRDefault="00683496" w:rsidP="00683496">
      <w:pPr>
        <w:spacing w:before="120"/>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1</w:t>
      </w:r>
      <w:r>
        <w:rPr>
          <w:rFonts w:ascii="Verdana" w:hAnsi="Verdana" w:cs="Arial"/>
        </w:rPr>
        <w:t>3</w:t>
      </w:r>
      <w:r w:rsidRPr="006D2270">
        <w:rPr>
          <w:rFonts w:ascii="Verdana" w:hAnsi="Verdana" w:cs="Arial"/>
        </w:rPr>
        <w:t>. Rodzaje badań Wykonawcy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718"/>
        <w:gridCol w:w="2654"/>
      </w:tblGrid>
      <w:tr w:rsidR="00683496" w:rsidRPr="006D2270" w:rsidTr="00683496">
        <w:tc>
          <w:tcPr>
            <w:tcW w:w="790" w:type="dxa"/>
          </w:tcPr>
          <w:p w:rsidR="00683496" w:rsidRPr="006D2270" w:rsidRDefault="00683496" w:rsidP="00683496">
            <w:pPr>
              <w:spacing w:before="40" w:after="40"/>
              <w:jc w:val="center"/>
              <w:rPr>
                <w:rFonts w:ascii="Verdana" w:hAnsi="Verdana" w:cs="Arial"/>
              </w:rPr>
            </w:pPr>
            <w:r w:rsidRPr="006D2270">
              <w:rPr>
                <w:rFonts w:ascii="Verdana" w:hAnsi="Verdana" w:cs="Arial"/>
              </w:rPr>
              <w:t>Lp.</w:t>
            </w:r>
          </w:p>
        </w:tc>
        <w:tc>
          <w:tcPr>
            <w:tcW w:w="5731"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Rodzaj badań</w:t>
            </w:r>
          </w:p>
        </w:tc>
        <w:tc>
          <w:tcPr>
            <w:tcW w:w="2657" w:type="dxa"/>
          </w:tcPr>
          <w:p w:rsidR="00683496" w:rsidRPr="006D2270" w:rsidRDefault="00683496" w:rsidP="00683496">
            <w:pPr>
              <w:spacing w:before="40" w:after="40"/>
              <w:jc w:val="center"/>
              <w:rPr>
                <w:rFonts w:ascii="Verdana" w:hAnsi="Verdana" w:cs="Arial"/>
              </w:rPr>
            </w:pPr>
            <w:r w:rsidRPr="006D2270">
              <w:rPr>
                <w:rFonts w:ascii="Verdana" w:hAnsi="Verdana" w:cs="Arial"/>
              </w:rPr>
              <w:t>Minimalna częstotliwość badań i pomiarów</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b/>
              </w:rPr>
            </w:pPr>
            <w:r w:rsidRPr="006D2270">
              <w:rPr>
                <w:rFonts w:ascii="Verdana" w:hAnsi="Verdana" w:cs="Arial"/>
                <w:b/>
              </w:rPr>
              <w:t>1</w:t>
            </w:r>
          </w:p>
        </w:tc>
        <w:tc>
          <w:tcPr>
            <w:tcW w:w="8388" w:type="dxa"/>
            <w:gridSpan w:val="2"/>
            <w:vAlign w:val="center"/>
          </w:tcPr>
          <w:p w:rsidR="00683496" w:rsidRPr="006D2270" w:rsidRDefault="00683496" w:rsidP="00683496">
            <w:pPr>
              <w:ind w:left="-38" w:right="-57"/>
              <w:rPr>
                <w:rFonts w:ascii="Verdana" w:hAnsi="Verdana" w:cs="Arial"/>
              </w:rPr>
            </w:pPr>
            <w:r w:rsidRPr="006D2270">
              <w:rPr>
                <w:rFonts w:ascii="Verdana" w:hAnsi="Verdana" w:cs="Arial"/>
                <w:b/>
              </w:rPr>
              <w:t>Przygotowanie do ułożenia warstwy</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1.1</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Pomiar temperatury powietrza i prędkości wiatru</w:t>
            </w:r>
          </w:p>
        </w:tc>
        <w:tc>
          <w:tcPr>
            <w:tcW w:w="2657" w:type="dxa"/>
            <w:vMerge w:val="restart"/>
            <w:vAlign w:val="center"/>
          </w:tcPr>
          <w:p w:rsidR="00683496" w:rsidRPr="006D2270" w:rsidRDefault="00683496" w:rsidP="00683496">
            <w:pPr>
              <w:spacing w:before="40" w:after="40"/>
              <w:jc w:val="center"/>
              <w:rPr>
                <w:rFonts w:ascii="Verdana" w:hAnsi="Verdana" w:cs="Arial"/>
              </w:rPr>
            </w:pPr>
            <w:r>
              <w:rPr>
                <w:rFonts w:ascii="Verdana" w:hAnsi="Verdana" w:cs="Arial"/>
              </w:rPr>
              <w:t>d</w:t>
            </w:r>
            <w:r w:rsidRPr="006D2270">
              <w:rPr>
                <w:rFonts w:ascii="Verdana" w:hAnsi="Verdana" w:cs="Arial"/>
              </w:rPr>
              <w:t>la każdej działki roboczej</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1.2</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Badanie wydatku skropienia</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b/>
              </w:rPr>
            </w:pPr>
            <w:r w:rsidRPr="006D2270">
              <w:rPr>
                <w:rFonts w:ascii="Verdana" w:hAnsi="Verdana" w:cs="Arial"/>
                <w:b/>
              </w:rPr>
              <w:t>2</w:t>
            </w:r>
          </w:p>
        </w:tc>
        <w:tc>
          <w:tcPr>
            <w:tcW w:w="8388" w:type="dxa"/>
            <w:gridSpan w:val="2"/>
            <w:vAlign w:val="center"/>
          </w:tcPr>
          <w:p w:rsidR="00683496" w:rsidRPr="006D2270" w:rsidRDefault="00683496" w:rsidP="00683496">
            <w:pPr>
              <w:spacing w:before="40" w:after="40"/>
              <w:rPr>
                <w:rFonts w:ascii="Verdana" w:hAnsi="Verdana" w:cs="Arial"/>
              </w:rPr>
            </w:pPr>
            <w:r w:rsidRPr="006D2270">
              <w:rPr>
                <w:rFonts w:ascii="Verdana" w:hAnsi="Verdana" w:cs="Arial"/>
                <w:b/>
              </w:rPr>
              <w:t>Mieszanka mineralno-asfaltowa</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2.1</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Uziarnienie</w:t>
            </w:r>
          </w:p>
        </w:tc>
        <w:tc>
          <w:tcPr>
            <w:tcW w:w="2657" w:type="dxa"/>
            <w:vMerge w:val="restart"/>
            <w:vAlign w:val="center"/>
          </w:tcPr>
          <w:p w:rsidR="00683496" w:rsidRPr="006D2270" w:rsidRDefault="00683496" w:rsidP="00683496">
            <w:pPr>
              <w:ind w:left="-38" w:right="-57"/>
              <w:jc w:val="center"/>
              <w:rPr>
                <w:rFonts w:ascii="Verdana" w:hAnsi="Verdana" w:cs="Arial"/>
              </w:rPr>
            </w:pPr>
            <w:r>
              <w:rPr>
                <w:rFonts w:ascii="Verdana" w:hAnsi="Verdana" w:cs="Arial"/>
              </w:rPr>
              <w:t>dla każdej działki roboczej (na próbce pobranej w miejscu wbudowania) i na każde rozpoczęte 1000 Mg wyprodukowanej MMA</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2.2</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Zawartość lepiszcza</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2.3</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 xml:space="preserve">Gęstość i zawartość wolnych przestrzeni w próbce </w:t>
            </w:r>
            <w:proofErr w:type="spellStart"/>
            <w:r w:rsidRPr="006D2270">
              <w:rPr>
                <w:rFonts w:ascii="Verdana" w:hAnsi="Verdana" w:cs="Arial"/>
              </w:rPr>
              <w:t>Marshall’a</w:t>
            </w:r>
            <w:proofErr w:type="spellEnd"/>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2.4</w:t>
            </w:r>
          </w:p>
        </w:tc>
        <w:tc>
          <w:tcPr>
            <w:tcW w:w="5731" w:type="dxa"/>
            <w:vAlign w:val="center"/>
          </w:tcPr>
          <w:p w:rsidR="00683496" w:rsidRDefault="00683496" w:rsidP="00683496">
            <w:pPr>
              <w:rPr>
                <w:rFonts w:ascii="Verdana" w:hAnsi="Verdana" w:cs="Arial"/>
              </w:rPr>
            </w:pPr>
            <w:r w:rsidRPr="006D2270">
              <w:rPr>
                <w:rFonts w:ascii="Verdana" w:hAnsi="Verdana" w:cs="Arial"/>
              </w:rPr>
              <w:t>Właściwości lepiszcza</w:t>
            </w:r>
          </w:p>
          <w:p w:rsidR="00683496" w:rsidRDefault="00683496" w:rsidP="00683496">
            <w:pPr>
              <w:rPr>
                <w:rFonts w:ascii="Verdana" w:hAnsi="Verdana" w:cs="Arial"/>
              </w:rPr>
            </w:pPr>
            <w:r>
              <w:rPr>
                <w:rFonts w:ascii="Verdana" w:hAnsi="Verdana" w:cs="Arial"/>
              </w:rPr>
              <w:t>- penetracja w 25</w:t>
            </w:r>
            <w:r>
              <w:rPr>
                <w:rFonts w:ascii="Verdana" w:hAnsi="Verdana" w:cs="Arial"/>
                <w:vertAlign w:val="superscript"/>
              </w:rPr>
              <w:t>o</w:t>
            </w:r>
            <w:r>
              <w:rPr>
                <w:rFonts w:ascii="Verdana" w:hAnsi="Verdana" w:cs="Arial"/>
              </w:rPr>
              <w:t xml:space="preserve">C lub temp. mięknienia wg </w:t>
            </w:r>
            <w:proofErr w:type="spellStart"/>
            <w:r>
              <w:rPr>
                <w:rFonts w:ascii="Verdana" w:hAnsi="Verdana" w:cs="Arial"/>
              </w:rPr>
              <w:t>PiK</w:t>
            </w:r>
            <w:proofErr w:type="spellEnd"/>
            <w:r>
              <w:rPr>
                <w:rFonts w:ascii="Verdana" w:hAnsi="Verdana" w:cs="Arial"/>
              </w:rPr>
              <w:t>,</w:t>
            </w:r>
          </w:p>
          <w:p w:rsidR="00683496" w:rsidRPr="00986D0B" w:rsidRDefault="00683496" w:rsidP="00683496">
            <w:pPr>
              <w:rPr>
                <w:rFonts w:ascii="Verdana" w:hAnsi="Verdana" w:cs="Arial"/>
                <w:strike/>
              </w:rPr>
            </w:pPr>
            <w:r>
              <w:rPr>
                <w:rFonts w:ascii="Verdana" w:hAnsi="Verdana" w:cs="Arial"/>
              </w:rPr>
              <w:t>- nawrót sprężysty w 25</w:t>
            </w:r>
            <w:r>
              <w:rPr>
                <w:rFonts w:ascii="Verdana" w:hAnsi="Verdana" w:cs="Arial"/>
                <w:vertAlign w:val="superscript"/>
              </w:rPr>
              <w:t>o</w:t>
            </w:r>
            <w:r>
              <w:rPr>
                <w:rFonts w:ascii="Verdana" w:hAnsi="Verdana" w:cs="Arial"/>
              </w:rPr>
              <w:t>C</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1 raz na 300 Mg</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2.5</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Właściwości kruszyw</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 xml:space="preserve">uziarnienie, kształt kruszywa, zawartość ziaren o powierzchni </w:t>
            </w:r>
            <w:proofErr w:type="spellStart"/>
            <w:r>
              <w:rPr>
                <w:rFonts w:ascii="Verdana" w:hAnsi="Verdana" w:cs="Arial"/>
              </w:rPr>
              <w:t>przekruszonej</w:t>
            </w:r>
            <w:proofErr w:type="spellEnd"/>
            <w:r>
              <w:rPr>
                <w:rFonts w:ascii="Verdana" w:hAnsi="Verdana" w:cs="Arial"/>
              </w:rPr>
              <w:t xml:space="preserve"> i łamanej 1 raz na 2000 Mg</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2.6</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Właściwości wypełniacza</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uziarnienie i wilgotność 1 raz na 300 Mg</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2.7</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Ocena wizualna mieszanki mineralno-asfaltowej</w:t>
            </w:r>
          </w:p>
        </w:tc>
        <w:tc>
          <w:tcPr>
            <w:tcW w:w="2657" w:type="dxa"/>
            <w:vMerge w:val="restart"/>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każdy pojazd przy załadunku i w czasie wbudowywania</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2.8</w:t>
            </w:r>
          </w:p>
        </w:tc>
        <w:tc>
          <w:tcPr>
            <w:tcW w:w="5731" w:type="dxa"/>
            <w:vAlign w:val="center"/>
          </w:tcPr>
          <w:p w:rsidR="00683496" w:rsidRPr="006D2270" w:rsidRDefault="00683496" w:rsidP="00683496">
            <w:pPr>
              <w:rPr>
                <w:rFonts w:ascii="Verdana" w:hAnsi="Verdana" w:cs="Arial"/>
                <w:b/>
              </w:rPr>
            </w:pPr>
            <w:r w:rsidRPr="006D2270">
              <w:rPr>
                <w:rFonts w:ascii="Verdana" w:hAnsi="Verdana" w:cs="Arial"/>
              </w:rPr>
              <w:t xml:space="preserve">Pomiar temperatury MMA podczas wykonywania nawierzchni (wg PN-EN 12697-13 [36]), </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2.9</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Odporność na działanie wody i mrozu (ITSR)</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d</w:t>
            </w:r>
            <w:r w:rsidRPr="006D2270">
              <w:rPr>
                <w:rFonts w:ascii="Verdana" w:hAnsi="Verdana" w:cs="Arial"/>
              </w:rPr>
              <w:t>la próby technologicznej</w:t>
            </w:r>
            <w:r w:rsidRPr="006D2270">
              <w:rPr>
                <w:rFonts w:ascii="Verdana" w:hAnsi="Verdana" w:cs="Arial"/>
              </w:rPr>
              <w:br/>
              <w:t xml:space="preserve"> </w:t>
            </w:r>
            <w:r>
              <w:rPr>
                <w:rFonts w:ascii="Verdana" w:hAnsi="Verdana" w:cs="Arial"/>
              </w:rPr>
              <w:t>lub</w:t>
            </w:r>
            <w:r w:rsidRPr="006D2270">
              <w:rPr>
                <w:rFonts w:ascii="Verdana" w:hAnsi="Verdana" w:cs="Arial"/>
              </w:rPr>
              <w:t xml:space="preserve"> odcinka próbnego</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b/>
              </w:rPr>
            </w:pPr>
            <w:r w:rsidRPr="006D2270">
              <w:rPr>
                <w:rFonts w:ascii="Verdana" w:hAnsi="Verdana" w:cs="Arial"/>
                <w:b/>
              </w:rPr>
              <w:t>3</w:t>
            </w:r>
          </w:p>
        </w:tc>
        <w:tc>
          <w:tcPr>
            <w:tcW w:w="8388" w:type="dxa"/>
            <w:gridSpan w:val="2"/>
            <w:vAlign w:val="center"/>
          </w:tcPr>
          <w:p w:rsidR="00683496" w:rsidRPr="006D2270" w:rsidRDefault="00683496" w:rsidP="00683496">
            <w:pPr>
              <w:spacing w:before="40" w:after="40"/>
              <w:rPr>
                <w:rFonts w:ascii="Verdana" w:hAnsi="Verdana" w:cs="Arial"/>
              </w:rPr>
            </w:pPr>
            <w:r w:rsidRPr="006D2270">
              <w:rPr>
                <w:rFonts w:ascii="Verdana" w:hAnsi="Verdana" w:cs="Arial"/>
                <w:b/>
              </w:rPr>
              <w:t>Warstwa asfaltowa</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3.1</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Ocena wizualna jednorodności powierzchni warstwy</w:t>
            </w:r>
          </w:p>
        </w:tc>
        <w:tc>
          <w:tcPr>
            <w:tcW w:w="2657" w:type="dxa"/>
            <w:vMerge w:val="restart"/>
            <w:vAlign w:val="center"/>
          </w:tcPr>
          <w:p w:rsidR="00683496" w:rsidRPr="006D2270" w:rsidRDefault="00683496" w:rsidP="00683496">
            <w:pPr>
              <w:spacing w:before="40" w:after="40"/>
              <w:jc w:val="center"/>
              <w:rPr>
                <w:rFonts w:ascii="Verdana" w:hAnsi="Verdana" w:cs="Arial"/>
              </w:rPr>
            </w:pPr>
            <w:r>
              <w:rPr>
                <w:rFonts w:ascii="Verdana" w:hAnsi="Verdana" w:cs="Arial"/>
              </w:rPr>
              <w:t>o</w:t>
            </w:r>
            <w:r w:rsidRPr="006D2270">
              <w:rPr>
                <w:rFonts w:ascii="Verdana" w:hAnsi="Verdana" w:cs="Arial"/>
              </w:rPr>
              <w:t>cena ciągła</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3.2</w:t>
            </w:r>
          </w:p>
        </w:tc>
        <w:tc>
          <w:tcPr>
            <w:tcW w:w="5731" w:type="dxa"/>
            <w:vAlign w:val="center"/>
          </w:tcPr>
          <w:p w:rsidR="00683496" w:rsidRPr="006D2270" w:rsidRDefault="00683496" w:rsidP="00683496">
            <w:pPr>
              <w:overflowPunct w:val="0"/>
              <w:autoSpaceDE w:val="0"/>
              <w:autoSpaceDN w:val="0"/>
              <w:adjustRightInd w:val="0"/>
              <w:ind w:right="-108"/>
              <w:jc w:val="both"/>
              <w:textAlignment w:val="baseline"/>
              <w:rPr>
                <w:rFonts w:ascii="Verdana" w:hAnsi="Verdana" w:cs="Arial"/>
              </w:rPr>
            </w:pPr>
            <w:r w:rsidRPr="006D2270">
              <w:rPr>
                <w:rFonts w:ascii="Verdana" w:hAnsi="Verdana" w:cs="Arial"/>
              </w:rPr>
              <w:t>Ocena wizualna jakości wykonania połączeń technologicznych.</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lastRenderedPageBreak/>
              <w:t>3.3</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Wskaźnik zagęszczenia</w:t>
            </w:r>
          </w:p>
        </w:tc>
        <w:tc>
          <w:tcPr>
            <w:tcW w:w="2657" w:type="dxa"/>
            <w:vMerge w:val="restart"/>
            <w:vAlign w:val="center"/>
          </w:tcPr>
          <w:p w:rsidR="00683496" w:rsidRPr="006D2270" w:rsidRDefault="00683496" w:rsidP="00683496">
            <w:pPr>
              <w:ind w:left="-38" w:right="-57"/>
              <w:jc w:val="center"/>
              <w:rPr>
                <w:rFonts w:ascii="Verdana" w:hAnsi="Verdana" w:cs="Arial"/>
              </w:rPr>
            </w:pPr>
            <w:r>
              <w:rPr>
                <w:rFonts w:ascii="Verdana" w:hAnsi="Verdana" w:cs="Arial"/>
              </w:rPr>
              <w:t>d</w:t>
            </w:r>
            <w:r w:rsidRPr="006D2270">
              <w:rPr>
                <w:rFonts w:ascii="Verdana" w:hAnsi="Verdana" w:cs="Arial"/>
              </w:rPr>
              <w:t xml:space="preserve">la każdej działki roboczej </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3.4</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Grubość warstwy</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3.5</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Zawartość wolnych przestrzeni w warstwie</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3.6</w:t>
            </w:r>
          </w:p>
        </w:tc>
        <w:tc>
          <w:tcPr>
            <w:tcW w:w="5731" w:type="dxa"/>
            <w:vAlign w:val="center"/>
          </w:tcPr>
          <w:p w:rsidR="00683496" w:rsidRPr="006D2270" w:rsidRDefault="00683496" w:rsidP="00683496">
            <w:pPr>
              <w:overflowPunct w:val="0"/>
              <w:autoSpaceDE w:val="0"/>
              <w:autoSpaceDN w:val="0"/>
              <w:adjustRightInd w:val="0"/>
              <w:jc w:val="both"/>
              <w:textAlignment w:val="baseline"/>
              <w:rPr>
                <w:rFonts w:ascii="Verdana" w:hAnsi="Verdana" w:cs="Arial"/>
              </w:rPr>
            </w:pPr>
            <w:r w:rsidRPr="006D2270">
              <w:rPr>
                <w:rFonts w:ascii="Verdana" w:hAnsi="Verdana" w:cs="Arial"/>
              </w:rPr>
              <w:t xml:space="preserve">Połączenia </w:t>
            </w:r>
            <w:proofErr w:type="spellStart"/>
            <w:r w:rsidRPr="006D2270">
              <w:rPr>
                <w:rFonts w:ascii="Verdana" w:hAnsi="Verdana" w:cs="Arial"/>
              </w:rPr>
              <w:t>międzywarstwowe</w:t>
            </w:r>
            <w:proofErr w:type="spellEnd"/>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d</w:t>
            </w:r>
            <w:r w:rsidRPr="006D2270">
              <w:rPr>
                <w:rFonts w:ascii="Verdana" w:hAnsi="Verdana" w:cs="Arial"/>
              </w:rPr>
              <w:t>la każdej działki roboczej</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3.7</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Odporność na deformacje trwałe</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na każdy rozpoczęty kilometr</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3.8</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Spadki poprzeczne</w:t>
            </w:r>
          </w:p>
        </w:tc>
        <w:tc>
          <w:tcPr>
            <w:tcW w:w="2657"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co 50 m oraz w punktach głównych łuków poziomych</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3.9</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Równość podłużna</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k</w:t>
            </w:r>
            <w:r w:rsidRPr="006D2270">
              <w:rPr>
                <w:rFonts w:ascii="Verdana" w:hAnsi="Verdana" w:cs="Arial"/>
              </w:rPr>
              <w:t xml:space="preserve">ażdy pas ruchu </w:t>
            </w:r>
            <w:r w:rsidRPr="006D2270">
              <w:rPr>
                <w:rFonts w:ascii="Verdana" w:hAnsi="Verdana" w:cs="Arial"/>
              </w:rPr>
              <w:br/>
              <w:t>wg p. 6.4.2.4.</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3.10</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Równość poprzeczna</w:t>
            </w:r>
          </w:p>
        </w:tc>
        <w:tc>
          <w:tcPr>
            <w:tcW w:w="2657" w:type="dxa"/>
            <w:vAlign w:val="center"/>
          </w:tcPr>
          <w:p w:rsidR="00683496" w:rsidRPr="006D2270" w:rsidRDefault="00683496" w:rsidP="00683496">
            <w:pPr>
              <w:spacing w:before="40" w:after="40"/>
              <w:jc w:val="center"/>
              <w:rPr>
                <w:rFonts w:ascii="Verdana" w:hAnsi="Verdana" w:cs="Arial"/>
              </w:rPr>
            </w:pPr>
            <w:r>
              <w:rPr>
                <w:rFonts w:ascii="Verdana" w:hAnsi="Verdana" w:cs="Arial"/>
              </w:rPr>
              <w:t>k</w:t>
            </w:r>
            <w:r w:rsidRPr="006D2270">
              <w:rPr>
                <w:rFonts w:ascii="Verdana" w:hAnsi="Verdana" w:cs="Arial"/>
              </w:rPr>
              <w:t xml:space="preserve">ażdy pas ruchu </w:t>
            </w:r>
            <w:r w:rsidRPr="006D2270">
              <w:rPr>
                <w:rFonts w:ascii="Verdana" w:hAnsi="Verdana" w:cs="Arial"/>
              </w:rPr>
              <w:br/>
              <w:t>wg p. 6.4.2.5.</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3.11</w:t>
            </w:r>
          </w:p>
        </w:tc>
        <w:tc>
          <w:tcPr>
            <w:tcW w:w="5731" w:type="dxa"/>
            <w:vAlign w:val="center"/>
          </w:tcPr>
          <w:p w:rsidR="00683496" w:rsidRPr="006D2270" w:rsidRDefault="00683496" w:rsidP="00683496">
            <w:pPr>
              <w:overflowPunct w:val="0"/>
              <w:autoSpaceDE w:val="0"/>
              <w:autoSpaceDN w:val="0"/>
              <w:adjustRightInd w:val="0"/>
              <w:jc w:val="both"/>
              <w:textAlignment w:val="baseline"/>
              <w:rPr>
                <w:rFonts w:ascii="Verdana" w:hAnsi="Verdana" w:cs="Arial"/>
              </w:rPr>
            </w:pPr>
            <w:r w:rsidRPr="006D2270">
              <w:rPr>
                <w:rFonts w:ascii="Verdana" w:hAnsi="Verdana" w:cs="Arial"/>
              </w:rPr>
              <w:t>Szerokość warstwy i rzędne wysokościowe</w:t>
            </w:r>
          </w:p>
        </w:tc>
        <w:tc>
          <w:tcPr>
            <w:tcW w:w="2657"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wg 6.4.2.</w:t>
            </w:r>
            <w:r>
              <w:rPr>
                <w:rFonts w:ascii="Verdana" w:hAnsi="Verdana" w:cs="Arial"/>
              </w:rPr>
              <w:t>8</w:t>
            </w:r>
            <w:r w:rsidRPr="006D2270">
              <w:rPr>
                <w:rFonts w:ascii="Verdana" w:hAnsi="Verdana" w:cs="Arial"/>
              </w:rPr>
              <w:t>.</w:t>
            </w:r>
          </w:p>
        </w:tc>
      </w:tr>
    </w:tbl>
    <w:p w:rsidR="00683496" w:rsidRPr="006D2270" w:rsidRDefault="00683496" w:rsidP="00683496">
      <w:pPr>
        <w:rPr>
          <w:rFonts w:ascii="Verdana" w:hAnsi="Verdana" w:cs="Arial"/>
          <w:b/>
        </w:rPr>
      </w:pPr>
    </w:p>
    <w:p w:rsidR="00683496" w:rsidRPr="006D2270" w:rsidRDefault="00683496" w:rsidP="00683496">
      <w:pPr>
        <w:jc w:val="both"/>
        <w:rPr>
          <w:rFonts w:ascii="Verdana" w:hAnsi="Verdana" w:cs="Arial"/>
        </w:rPr>
      </w:pPr>
      <w:r w:rsidRPr="006D2270">
        <w:rPr>
          <w:rFonts w:ascii="Verdana" w:hAnsi="Verdana" w:cs="Arial"/>
        </w:rPr>
        <w:t>Wszystkie wymienione w tabeli nr 1</w:t>
      </w:r>
      <w:r>
        <w:rPr>
          <w:rFonts w:ascii="Verdana" w:hAnsi="Verdana" w:cs="Arial"/>
        </w:rPr>
        <w:t>3</w:t>
      </w:r>
      <w:r w:rsidRPr="006D2270">
        <w:rPr>
          <w:rFonts w:ascii="Verdana" w:hAnsi="Verdana" w:cs="Arial"/>
        </w:rPr>
        <w:t xml:space="preserve"> badania i pomiary Wykonawcy powinny</w:t>
      </w:r>
      <w:r>
        <w:rPr>
          <w:rFonts w:ascii="Verdana" w:hAnsi="Verdana" w:cs="Arial"/>
        </w:rPr>
        <w:t xml:space="preserve"> spełniać wymagania niniejszej SST,</w:t>
      </w:r>
      <w:r w:rsidRPr="006D2270">
        <w:rPr>
          <w:rFonts w:ascii="Verdana" w:hAnsi="Verdana" w:cs="Arial"/>
        </w:rPr>
        <w:t xml:space="preserve"> </w:t>
      </w:r>
      <w:r>
        <w:rPr>
          <w:rFonts w:ascii="Verdana" w:hAnsi="Verdana" w:cs="Arial"/>
        </w:rPr>
        <w:t>oraz</w:t>
      </w:r>
      <w:r w:rsidRPr="006D2270">
        <w:rPr>
          <w:rFonts w:ascii="Verdana" w:hAnsi="Verdana" w:cs="Arial"/>
        </w:rPr>
        <w:t xml:space="preserve"> udokumentowane w formie papierowej i załączone do dokumentów odbiorowych. Forma dokumentacji z powyższych badań i pomiarów powinna być uzgodniona z Inspektorem Nadzoru.</w:t>
      </w:r>
    </w:p>
    <w:p w:rsidR="00683496" w:rsidRDefault="00683496" w:rsidP="00683496">
      <w:pPr>
        <w:jc w:val="both"/>
        <w:rPr>
          <w:rFonts w:ascii="Verdana" w:hAnsi="Verdana" w:cs="Arial"/>
          <w:b/>
        </w:rPr>
      </w:pPr>
    </w:p>
    <w:p w:rsidR="00683496" w:rsidRPr="006D2270" w:rsidRDefault="00683496" w:rsidP="00683496">
      <w:pPr>
        <w:jc w:val="both"/>
        <w:rPr>
          <w:rFonts w:ascii="Verdana" w:hAnsi="Verdana" w:cs="Arial"/>
          <w:b/>
        </w:rPr>
      </w:pPr>
      <w:r w:rsidRPr="006D2270">
        <w:rPr>
          <w:rFonts w:ascii="Verdana" w:hAnsi="Verdana" w:cs="Arial"/>
          <w:b/>
        </w:rPr>
        <w:t>6.3.3. Badania kontrolne</w:t>
      </w:r>
    </w:p>
    <w:p w:rsidR="00683496" w:rsidRPr="006D2270" w:rsidRDefault="00683496" w:rsidP="00683496">
      <w:pPr>
        <w:jc w:val="both"/>
        <w:rPr>
          <w:rFonts w:ascii="Verdana" w:hAnsi="Verdana" w:cs="Arial"/>
        </w:rPr>
      </w:pPr>
      <w:r w:rsidRPr="006D2270">
        <w:rPr>
          <w:rFonts w:ascii="Verdana" w:hAnsi="Verdana" w:cs="Arial"/>
        </w:rPr>
        <w:t>Badania kontrolne są badaniami Przedstawiciela Zamawiającego/Inspektora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SST. Badania kontrolne prowadzone są w laboratorium Zamawiającego. Wyniki tych badań są podstawą odbioru. Nadzór nad pobieraniem próbek i wykonaniem badań na miejscu budowy zajmuje się Przedstawiciel Zamawiającego/ Inspektor Nadzoru w obecności Wykonawcy. Wykonawca ma obowiązek swoim sprzętem pobrać wszystkie możliwe próbki do badań kontrolnych, w miejscach wskazanych przez Przedstawiciela Zamawiającego/Inspektora Nadzoru. Badania odbywają się również wtedy, gdy Wykonawca zostanie w porę powiadomiony o ich terminie, jednak nie będzie przy nich obecny.</w:t>
      </w:r>
    </w:p>
    <w:p w:rsidR="00683496" w:rsidRDefault="00683496" w:rsidP="00683496">
      <w:pPr>
        <w:jc w:val="both"/>
        <w:rPr>
          <w:rFonts w:ascii="Verdana" w:hAnsi="Verdana" w:cs="Arial"/>
        </w:rPr>
      </w:pPr>
      <w:r w:rsidRPr="006D2270">
        <w:rPr>
          <w:rFonts w:ascii="Verdana" w:hAnsi="Verdana" w:cs="Arial"/>
        </w:rPr>
        <w:t>Rodzaj badań kontrolnych mieszanki mineralno-asfaltowej i wykonanej z niej warstwy</w:t>
      </w:r>
      <w:r>
        <w:rPr>
          <w:rFonts w:ascii="Verdana" w:hAnsi="Verdana" w:cs="Arial"/>
        </w:rPr>
        <w:t xml:space="preserve"> podano w tabeli 14.</w:t>
      </w:r>
      <w:r w:rsidRPr="006D2270">
        <w:rPr>
          <w:rFonts w:ascii="Verdana" w:hAnsi="Verdana" w:cs="Arial"/>
        </w:rPr>
        <w:t xml:space="preserve"> </w:t>
      </w:r>
    </w:p>
    <w:p w:rsidR="00683496" w:rsidRPr="006D2270" w:rsidRDefault="00683496" w:rsidP="00683496">
      <w:pPr>
        <w:spacing w:before="120"/>
        <w:rPr>
          <w:rFonts w:ascii="Verdana" w:hAnsi="Verdana" w:cs="Arial"/>
        </w:rPr>
      </w:pPr>
      <w:r w:rsidRPr="006D2270">
        <w:rPr>
          <w:rFonts w:ascii="Verdana" w:hAnsi="Verdana" w:cs="Arial"/>
        </w:rPr>
        <w:t>Tab</w:t>
      </w:r>
      <w:r>
        <w:rPr>
          <w:rFonts w:ascii="Verdana" w:hAnsi="Verdana" w:cs="Arial"/>
        </w:rPr>
        <w:t>ela</w:t>
      </w:r>
      <w:r w:rsidRPr="006D2270">
        <w:rPr>
          <w:rFonts w:ascii="Verdana" w:hAnsi="Verdana" w:cs="Arial"/>
        </w:rPr>
        <w:t xml:space="preserve"> 1</w:t>
      </w:r>
      <w:r>
        <w:rPr>
          <w:rFonts w:ascii="Verdana" w:hAnsi="Verdana" w:cs="Arial"/>
        </w:rPr>
        <w:t>4</w:t>
      </w:r>
      <w:r w:rsidRPr="006D2270">
        <w:rPr>
          <w:rFonts w:ascii="Verdana" w:hAnsi="Verdana" w:cs="Arial"/>
        </w:rPr>
        <w:t>. Rodzaje badań kontrolnych (Zamawiającego)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719"/>
        <w:gridCol w:w="2653"/>
      </w:tblGrid>
      <w:tr w:rsidR="00683496" w:rsidRPr="006D2270" w:rsidTr="00683496">
        <w:tc>
          <w:tcPr>
            <w:tcW w:w="790" w:type="dxa"/>
          </w:tcPr>
          <w:p w:rsidR="00683496" w:rsidRPr="006D2270" w:rsidRDefault="00683496" w:rsidP="00683496">
            <w:pPr>
              <w:spacing w:before="40" w:after="40"/>
              <w:jc w:val="center"/>
              <w:rPr>
                <w:rFonts w:ascii="Verdana" w:hAnsi="Verdana" w:cs="Arial"/>
              </w:rPr>
            </w:pPr>
            <w:r w:rsidRPr="006D2270">
              <w:rPr>
                <w:rFonts w:ascii="Verdana" w:hAnsi="Verdana" w:cs="Arial"/>
              </w:rPr>
              <w:t>Lp.</w:t>
            </w:r>
          </w:p>
        </w:tc>
        <w:tc>
          <w:tcPr>
            <w:tcW w:w="5731"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Rodzaj badań</w:t>
            </w:r>
          </w:p>
        </w:tc>
        <w:tc>
          <w:tcPr>
            <w:tcW w:w="2657" w:type="dxa"/>
          </w:tcPr>
          <w:p w:rsidR="00683496" w:rsidRPr="006D2270" w:rsidRDefault="00683496" w:rsidP="00683496">
            <w:pPr>
              <w:spacing w:before="40" w:after="40"/>
              <w:jc w:val="center"/>
              <w:rPr>
                <w:rFonts w:ascii="Verdana" w:hAnsi="Verdana" w:cs="Arial"/>
              </w:rPr>
            </w:pPr>
            <w:r w:rsidRPr="006D2270">
              <w:rPr>
                <w:rFonts w:ascii="Verdana" w:hAnsi="Verdana" w:cs="Arial"/>
              </w:rPr>
              <w:t>Minimalna częstotliwość badań i pomiarów</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b/>
              </w:rPr>
            </w:pPr>
            <w:r w:rsidRPr="006D2270">
              <w:rPr>
                <w:rFonts w:ascii="Verdana" w:hAnsi="Verdana" w:cs="Arial"/>
                <w:b/>
              </w:rPr>
              <w:t>1</w:t>
            </w:r>
          </w:p>
        </w:tc>
        <w:tc>
          <w:tcPr>
            <w:tcW w:w="8388" w:type="dxa"/>
            <w:gridSpan w:val="2"/>
            <w:vAlign w:val="center"/>
          </w:tcPr>
          <w:p w:rsidR="00683496" w:rsidRPr="006D2270" w:rsidRDefault="00683496" w:rsidP="00683496">
            <w:pPr>
              <w:ind w:left="-38" w:right="-57"/>
              <w:rPr>
                <w:rFonts w:ascii="Verdana" w:hAnsi="Verdana" w:cs="Arial"/>
              </w:rPr>
            </w:pPr>
            <w:r w:rsidRPr="006D2270">
              <w:rPr>
                <w:rFonts w:ascii="Verdana" w:hAnsi="Verdana" w:cs="Arial"/>
                <w:b/>
              </w:rPr>
              <w:t>Przygotowanie do ułożenia warstwy</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1.1</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Pomiar temperatury powietrza i prędkości wiatru</w:t>
            </w:r>
          </w:p>
        </w:tc>
        <w:tc>
          <w:tcPr>
            <w:tcW w:w="2657" w:type="dxa"/>
            <w:vMerge w:val="restart"/>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Wg potrzeb na polecenie Inspektora Nadzoru</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1.2</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Badanie wydatku skropienia</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b/>
              </w:rPr>
            </w:pPr>
            <w:r w:rsidRPr="006D2270">
              <w:rPr>
                <w:rFonts w:ascii="Verdana" w:hAnsi="Verdana" w:cs="Arial"/>
                <w:b/>
              </w:rPr>
              <w:t>2</w:t>
            </w:r>
          </w:p>
        </w:tc>
        <w:tc>
          <w:tcPr>
            <w:tcW w:w="8388" w:type="dxa"/>
            <w:gridSpan w:val="2"/>
            <w:vAlign w:val="center"/>
          </w:tcPr>
          <w:p w:rsidR="00683496" w:rsidRPr="006D2270" w:rsidRDefault="00683496" w:rsidP="00683496">
            <w:pPr>
              <w:spacing w:before="40" w:after="40"/>
              <w:rPr>
                <w:rFonts w:ascii="Verdana" w:hAnsi="Verdana" w:cs="Arial"/>
              </w:rPr>
            </w:pPr>
            <w:r w:rsidRPr="006D2270">
              <w:rPr>
                <w:rFonts w:ascii="Verdana" w:hAnsi="Verdana" w:cs="Arial"/>
                <w:b/>
              </w:rPr>
              <w:t>Mieszanka mineralno-asfaltowa</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2.1</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Uziarnienie</w:t>
            </w:r>
          </w:p>
        </w:tc>
        <w:tc>
          <w:tcPr>
            <w:tcW w:w="2657" w:type="dxa"/>
            <w:vMerge w:val="restart"/>
            <w:vAlign w:val="center"/>
          </w:tcPr>
          <w:p w:rsidR="00683496" w:rsidRPr="006D2270" w:rsidRDefault="00683496" w:rsidP="00683496">
            <w:pPr>
              <w:ind w:left="-38" w:right="-57"/>
              <w:jc w:val="center"/>
              <w:rPr>
                <w:rFonts w:ascii="Verdana" w:hAnsi="Verdana" w:cs="Arial"/>
              </w:rPr>
            </w:pPr>
            <w:r w:rsidRPr="006D2270">
              <w:rPr>
                <w:rFonts w:ascii="Verdana" w:hAnsi="Verdana" w:cs="Arial"/>
              </w:rPr>
              <w:t xml:space="preserve">Jedno badanie na zadaniu i/lub na każde rozpoczęte </w:t>
            </w:r>
            <w:r w:rsidRPr="006D2270">
              <w:rPr>
                <w:rFonts w:ascii="Verdana" w:hAnsi="Verdana" w:cs="Arial"/>
              </w:rPr>
              <w:br/>
              <w:t>1</w:t>
            </w:r>
            <w:r>
              <w:rPr>
                <w:rFonts w:ascii="Verdana" w:hAnsi="Verdana" w:cs="Arial"/>
              </w:rPr>
              <w:t>5</w:t>
            </w:r>
            <w:r w:rsidRPr="006D2270">
              <w:rPr>
                <w:rFonts w:ascii="Verdana" w:hAnsi="Verdana" w:cs="Arial"/>
              </w:rPr>
              <w:t xml:space="preserve"> 000 m</w:t>
            </w:r>
            <w:r w:rsidRPr="006D2270">
              <w:rPr>
                <w:rFonts w:ascii="Verdana" w:hAnsi="Verdana" w:cs="Arial"/>
                <w:vertAlign w:val="superscript"/>
              </w:rPr>
              <w:t>2</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2.2</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Zawartość lepiszcza</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2.3</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 xml:space="preserve">Gęstość i zawartość wolnych przestrzeni w próbce </w:t>
            </w:r>
            <w:proofErr w:type="spellStart"/>
            <w:r w:rsidRPr="006D2270">
              <w:rPr>
                <w:rFonts w:ascii="Verdana" w:hAnsi="Verdana" w:cs="Arial"/>
              </w:rPr>
              <w:t>Marshall’a</w:t>
            </w:r>
            <w:proofErr w:type="spellEnd"/>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2.4</w:t>
            </w:r>
          </w:p>
        </w:tc>
        <w:tc>
          <w:tcPr>
            <w:tcW w:w="5731" w:type="dxa"/>
            <w:vAlign w:val="center"/>
          </w:tcPr>
          <w:p w:rsidR="00683496" w:rsidRPr="006D2270" w:rsidRDefault="00683496" w:rsidP="00683496">
            <w:pPr>
              <w:rPr>
                <w:rFonts w:ascii="Verdana" w:hAnsi="Verdana" w:cs="Arial"/>
                <w:strike/>
              </w:rPr>
            </w:pPr>
            <w:r w:rsidRPr="006D2270">
              <w:rPr>
                <w:rFonts w:ascii="Verdana" w:hAnsi="Verdana" w:cs="Arial"/>
              </w:rPr>
              <w:t>Właściwości lepiszcza</w:t>
            </w:r>
          </w:p>
        </w:tc>
        <w:tc>
          <w:tcPr>
            <w:tcW w:w="2657" w:type="dxa"/>
            <w:vMerge w:val="restart"/>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Wg potrzeb na polecenie Inspektora Nadzoru</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2.5</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Właściwości kruszyw</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2.6</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Właściwości wypełniacza</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lastRenderedPageBreak/>
              <w:t>2.7</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Ocena wizualna mieszanki mineralno-asfaltowej</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2.8</w:t>
            </w:r>
          </w:p>
        </w:tc>
        <w:tc>
          <w:tcPr>
            <w:tcW w:w="5731" w:type="dxa"/>
            <w:vAlign w:val="center"/>
          </w:tcPr>
          <w:p w:rsidR="00683496" w:rsidRPr="006D2270" w:rsidRDefault="00683496" w:rsidP="00683496">
            <w:pPr>
              <w:rPr>
                <w:rFonts w:ascii="Verdana" w:hAnsi="Verdana" w:cs="Arial"/>
                <w:b/>
              </w:rPr>
            </w:pPr>
            <w:r w:rsidRPr="006D2270">
              <w:rPr>
                <w:rFonts w:ascii="Verdana" w:hAnsi="Verdana" w:cs="Arial"/>
              </w:rPr>
              <w:t>Pomiar temperatury MMA podczas wykonywania nawierzchni (wg PN-EN 12697-13 [36] oraz pomiar powierzchniowy z wykorzystaniem kamery termowizyjnej)</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2.9</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Odporność na działanie wody i mrozu (ITSR)</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b/>
              </w:rPr>
            </w:pPr>
            <w:r w:rsidRPr="006D2270">
              <w:rPr>
                <w:rFonts w:ascii="Verdana" w:hAnsi="Verdana" w:cs="Arial"/>
                <w:b/>
              </w:rPr>
              <w:t>3</w:t>
            </w:r>
          </w:p>
        </w:tc>
        <w:tc>
          <w:tcPr>
            <w:tcW w:w="8388" w:type="dxa"/>
            <w:gridSpan w:val="2"/>
            <w:vAlign w:val="center"/>
          </w:tcPr>
          <w:p w:rsidR="00683496" w:rsidRPr="006D2270" w:rsidRDefault="00683496" w:rsidP="00683496">
            <w:pPr>
              <w:spacing w:before="40" w:after="40"/>
              <w:rPr>
                <w:rFonts w:ascii="Verdana" w:hAnsi="Verdana" w:cs="Arial"/>
              </w:rPr>
            </w:pPr>
            <w:r w:rsidRPr="006D2270">
              <w:rPr>
                <w:rFonts w:ascii="Verdana" w:hAnsi="Verdana" w:cs="Arial"/>
                <w:b/>
              </w:rPr>
              <w:t>Warstwa asfaltowa</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3.1</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Ocena wizualna jednorodności powierzchni warstwy</w:t>
            </w:r>
          </w:p>
        </w:tc>
        <w:tc>
          <w:tcPr>
            <w:tcW w:w="2657" w:type="dxa"/>
            <w:vMerge w:val="restart"/>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Wg potrzeb na polecenie Inspektora Nadzoru</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3.2</w:t>
            </w:r>
          </w:p>
        </w:tc>
        <w:tc>
          <w:tcPr>
            <w:tcW w:w="5731" w:type="dxa"/>
            <w:vAlign w:val="center"/>
          </w:tcPr>
          <w:p w:rsidR="00683496" w:rsidRPr="006D2270" w:rsidRDefault="00683496" w:rsidP="00683496">
            <w:pPr>
              <w:overflowPunct w:val="0"/>
              <w:autoSpaceDE w:val="0"/>
              <w:autoSpaceDN w:val="0"/>
              <w:adjustRightInd w:val="0"/>
              <w:ind w:right="-108"/>
              <w:jc w:val="both"/>
              <w:textAlignment w:val="baseline"/>
              <w:rPr>
                <w:rFonts w:ascii="Verdana" w:hAnsi="Verdana" w:cs="Arial"/>
              </w:rPr>
            </w:pPr>
            <w:r w:rsidRPr="006D2270">
              <w:rPr>
                <w:rFonts w:ascii="Verdana" w:hAnsi="Verdana" w:cs="Arial"/>
              </w:rPr>
              <w:t>Ocena wizualna jakości wykonania połączeń technologicznych.</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3.3</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Wskaźnik zagęszczenia</w:t>
            </w:r>
          </w:p>
        </w:tc>
        <w:tc>
          <w:tcPr>
            <w:tcW w:w="2657" w:type="dxa"/>
            <w:vMerge w:val="restart"/>
            <w:vAlign w:val="center"/>
          </w:tcPr>
          <w:p w:rsidR="00683496" w:rsidRPr="006D2270" w:rsidRDefault="00683496" w:rsidP="00683496">
            <w:pPr>
              <w:ind w:left="-38" w:right="-57"/>
              <w:jc w:val="center"/>
              <w:rPr>
                <w:rFonts w:ascii="Verdana" w:hAnsi="Verdana" w:cs="Arial"/>
              </w:rPr>
            </w:pPr>
            <w:r w:rsidRPr="006D2270">
              <w:rPr>
                <w:rFonts w:ascii="Verdana" w:hAnsi="Verdana" w:cs="Arial"/>
              </w:rPr>
              <w:t xml:space="preserve">Jedno badanie na zadaniu i/lub na każde rozpoczęte </w:t>
            </w:r>
            <w:r w:rsidRPr="006D2270">
              <w:rPr>
                <w:rFonts w:ascii="Verdana" w:hAnsi="Verdana" w:cs="Arial"/>
              </w:rPr>
              <w:br/>
              <w:t>1</w:t>
            </w:r>
            <w:r>
              <w:rPr>
                <w:rFonts w:ascii="Verdana" w:hAnsi="Verdana" w:cs="Arial"/>
              </w:rPr>
              <w:t>5</w:t>
            </w:r>
            <w:r w:rsidRPr="006D2270">
              <w:rPr>
                <w:rFonts w:ascii="Verdana" w:hAnsi="Verdana" w:cs="Arial"/>
              </w:rPr>
              <w:t xml:space="preserve"> 000 m</w:t>
            </w:r>
            <w:r w:rsidRPr="006D2270">
              <w:rPr>
                <w:rFonts w:ascii="Verdana" w:hAnsi="Verdana" w:cs="Arial"/>
                <w:vertAlign w:val="superscript"/>
              </w:rPr>
              <w:t>2</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3.4</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Grubość warstwy</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3.5</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Zawartość wolnych przestrzeni w warstwie</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3.6</w:t>
            </w:r>
          </w:p>
        </w:tc>
        <w:tc>
          <w:tcPr>
            <w:tcW w:w="5731" w:type="dxa"/>
            <w:vAlign w:val="center"/>
          </w:tcPr>
          <w:p w:rsidR="00683496" w:rsidRPr="006D2270" w:rsidRDefault="00683496" w:rsidP="00683496">
            <w:pPr>
              <w:overflowPunct w:val="0"/>
              <w:autoSpaceDE w:val="0"/>
              <w:autoSpaceDN w:val="0"/>
              <w:adjustRightInd w:val="0"/>
              <w:jc w:val="both"/>
              <w:textAlignment w:val="baseline"/>
              <w:rPr>
                <w:rFonts w:ascii="Verdana" w:hAnsi="Verdana" w:cs="Arial"/>
              </w:rPr>
            </w:pPr>
            <w:r w:rsidRPr="006D2270">
              <w:rPr>
                <w:rFonts w:ascii="Verdana" w:hAnsi="Verdana" w:cs="Arial"/>
              </w:rPr>
              <w:t xml:space="preserve">Połączenia </w:t>
            </w:r>
            <w:proofErr w:type="spellStart"/>
            <w:r w:rsidRPr="006D2270">
              <w:rPr>
                <w:rFonts w:ascii="Verdana" w:hAnsi="Verdana" w:cs="Arial"/>
              </w:rPr>
              <w:t>międzywarstwowe</w:t>
            </w:r>
            <w:proofErr w:type="spellEnd"/>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3.7</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Odporność na deformacje trwałe</w:t>
            </w:r>
          </w:p>
        </w:tc>
        <w:tc>
          <w:tcPr>
            <w:tcW w:w="2657" w:type="dxa"/>
            <w:vMerge w:val="restart"/>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Wg potrzeb na polecenie Inspektora Nadzoru</w:t>
            </w: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3.8</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Spadki poprzeczne</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3.9</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Równość podłużna</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3.10</w:t>
            </w:r>
          </w:p>
        </w:tc>
        <w:tc>
          <w:tcPr>
            <w:tcW w:w="5731" w:type="dxa"/>
            <w:vAlign w:val="center"/>
          </w:tcPr>
          <w:p w:rsidR="00683496" w:rsidRPr="006D2270" w:rsidRDefault="00683496" w:rsidP="00683496">
            <w:pPr>
              <w:rPr>
                <w:rFonts w:ascii="Verdana" w:hAnsi="Verdana" w:cs="Arial"/>
              </w:rPr>
            </w:pPr>
            <w:r w:rsidRPr="006D2270">
              <w:rPr>
                <w:rFonts w:ascii="Verdana" w:hAnsi="Verdana" w:cs="Arial"/>
              </w:rPr>
              <w:t>Równość poprzeczna</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3.11</w:t>
            </w:r>
          </w:p>
        </w:tc>
        <w:tc>
          <w:tcPr>
            <w:tcW w:w="5731" w:type="dxa"/>
            <w:vAlign w:val="center"/>
          </w:tcPr>
          <w:p w:rsidR="00683496" w:rsidRPr="006D2270" w:rsidRDefault="00683496" w:rsidP="00683496">
            <w:pPr>
              <w:overflowPunct w:val="0"/>
              <w:autoSpaceDE w:val="0"/>
              <w:autoSpaceDN w:val="0"/>
              <w:adjustRightInd w:val="0"/>
              <w:jc w:val="both"/>
              <w:textAlignment w:val="baseline"/>
              <w:rPr>
                <w:rFonts w:ascii="Verdana" w:hAnsi="Verdana" w:cs="Arial"/>
              </w:rPr>
            </w:pPr>
            <w:r w:rsidRPr="006D2270">
              <w:rPr>
                <w:rFonts w:ascii="Verdana" w:hAnsi="Verdana" w:cs="Arial"/>
              </w:rPr>
              <w:t>Szerokość warstwy i rzędne wysokościowe</w:t>
            </w:r>
          </w:p>
        </w:tc>
        <w:tc>
          <w:tcPr>
            <w:tcW w:w="2657" w:type="dxa"/>
            <w:vMerge/>
            <w:vAlign w:val="center"/>
          </w:tcPr>
          <w:p w:rsidR="00683496" w:rsidRPr="006D2270" w:rsidRDefault="00683496" w:rsidP="00683496">
            <w:pPr>
              <w:spacing w:before="40" w:after="40"/>
              <w:jc w:val="center"/>
              <w:rPr>
                <w:rFonts w:ascii="Verdana" w:hAnsi="Verdana" w:cs="Arial"/>
              </w:rPr>
            </w:pPr>
          </w:p>
        </w:tc>
      </w:tr>
      <w:tr w:rsidR="00683496" w:rsidRPr="006D2270" w:rsidTr="00683496">
        <w:tc>
          <w:tcPr>
            <w:tcW w:w="790" w:type="dxa"/>
            <w:vAlign w:val="center"/>
          </w:tcPr>
          <w:p w:rsidR="00683496" w:rsidRPr="006D2270" w:rsidRDefault="00683496" w:rsidP="00683496">
            <w:pPr>
              <w:spacing w:before="40" w:after="40"/>
              <w:jc w:val="center"/>
              <w:rPr>
                <w:rFonts w:ascii="Verdana" w:hAnsi="Verdana" w:cs="Arial"/>
              </w:rPr>
            </w:pPr>
            <w:r w:rsidRPr="006D2270">
              <w:rPr>
                <w:rFonts w:ascii="Verdana" w:hAnsi="Verdana" w:cs="Arial"/>
              </w:rPr>
              <w:t>3.12</w:t>
            </w:r>
          </w:p>
        </w:tc>
        <w:tc>
          <w:tcPr>
            <w:tcW w:w="5731" w:type="dxa"/>
            <w:vAlign w:val="center"/>
          </w:tcPr>
          <w:p w:rsidR="00683496" w:rsidRPr="006D2270" w:rsidRDefault="00683496" w:rsidP="00683496">
            <w:pPr>
              <w:overflowPunct w:val="0"/>
              <w:autoSpaceDE w:val="0"/>
              <w:autoSpaceDN w:val="0"/>
              <w:adjustRightInd w:val="0"/>
              <w:jc w:val="both"/>
              <w:textAlignment w:val="baseline"/>
              <w:rPr>
                <w:rFonts w:ascii="Verdana" w:hAnsi="Verdana" w:cs="Arial"/>
              </w:rPr>
            </w:pPr>
            <w:r w:rsidRPr="006D2270">
              <w:rPr>
                <w:rFonts w:ascii="Verdana" w:hAnsi="Verdana" w:cs="Arial"/>
              </w:rPr>
              <w:t>Właściwości przeciwpoślizgowe</w:t>
            </w:r>
          </w:p>
        </w:tc>
        <w:tc>
          <w:tcPr>
            <w:tcW w:w="2657" w:type="dxa"/>
            <w:vMerge/>
            <w:vAlign w:val="center"/>
          </w:tcPr>
          <w:p w:rsidR="00683496" w:rsidRPr="006D2270" w:rsidRDefault="00683496" w:rsidP="00683496">
            <w:pPr>
              <w:spacing w:before="40" w:after="40"/>
              <w:jc w:val="center"/>
              <w:rPr>
                <w:rFonts w:ascii="Verdana" w:hAnsi="Verdana" w:cs="Arial"/>
              </w:rPr>
            </w:pPr>
          </w:p>
        </w:tc>
      </w:tr>
    </w:tbl>
    <w:p w:rsidR="00683496" w:rsidRPr="006D2270" w:rsidRDefault="00683496" w:rsidP="00683496">
      <w:pPr>
        <w:rPr>
          <w:rFonts w:ascii="Verdana" w:hAnsi="Verdana" w:cs="Arial"/>
          <w:b/>
        </w:rPr>
      </w:pPr>
    </w:p>
    <w:p w:rsidR="00B718AA" w:rsidRDefault="00B718AA" w:rsidP="00683496">
      <w:pPr>
        <w:jc w:val="both"/>
        <w:rPr>
          <w:rFonts w:ascii="Verdana" w:hAnsi="Verdana" w:cs="Arial"/>
          <w:b/>
        </w:rPr>
      </w:pPr>
    </w:p>
    <w:p w:rsidR="00B718AA" w:rsidRDefault="00B718AA" w:rsidP="00683496">
      <w:pPr>
        <w:jc w:val="both"/>
        <w:rPr>
          <w:rFonts w:ascii="Verdana" w:hAnsi="Verdana" w:cs="Arial"/>
          <w:b/>
        </w:rPr>
      </w:pPr>
    </w:p>
    <w:p w:rsidR="00B718AA" w:rsidRDefault="00B718AA" w:rsidP="00683496">
      <w:pPr>
        <w:jc w:val="both"/>
        <w:rPr>
          <w:rFonts w:ascii="Verdana" w:hAnsi="Verdana" w:cs="Arial"/>
          <w:b/>
        </w:rPr>
      </w:pPr>
    </w:p>
    <w:p w:rsidR="00683496" w:rsidRPr="006D2270" w:rsidRDefault="00683496" w:rsidP="00683496">
      <w:pPr>
        <w:jc w:val="both"/>
        <w:rPr>
          <w:rFonts w:ascii="Verdana" w:hAnsi="Verdana" w:cs="Arial"/>
        </w:rPr>
      </w:pPr>
      <w:r w:rsidRPr="006D2270">
        <w:rPr>
          <w:rFonts w:ascii="Verdana" w:hAnsi="Verdana" w:cs="Arial"/>
          <w:b/>
        </w:rPr>
        <w:t>6.3.4. Badania kontrolne dodatkowe</w:t>
      </w:r>
      <w:r w:rsidRPr="006D2270">
        <w:rPr>
          <w:rFonts w:ascii="Verdana" w:hAnsi="Verdana" w:cs="Arial"/>
        </w:rPr>
        <w:t xml:space="preserve">  </w:t>
      </w:r>
    </w:p>
    <w:p w:rsidR="00683496" w:rsidRPr="006D2270" w:rsidRDefault="00683496" w:rsidP="00683496">
      <w:pPr>
        <w:jc w:val="both"/>
        <w:rPr>
          <w:rFonts w:ascii="Verdana" w:hAnsi="Verdana" w:cs="Arial"/>
        </w:rPr>
      </w:pPr>
      <w:r w:rsidRPr="006D2270">
        <w:rPr>
          <w:rFonts w:ascii="Verdana" w:hAnsi="Verdana" w:cs="Arial"/>
        </w:rPr>
        <w:t>W wypadku uznania, że jeden z wyników badań kontrolnych nie jest reprezentatywny dla ocenianego odcinka budowy, Wykonawca ma prawo żądać przeprowadzenia badań kontrolnych dodatkowych.</w:t>
      </w:r>
    </w:p>
    <w:p w:rsidR="00683496" w:rsidRPr="006D2270" w:rsidRDefault="00683496" w:rsidP="00683496">
      <w:pPr>
        <w:jc w:val="both"/>
        <w:rPr>
          <w:rFonts w:ascii="Verdana" w:hAnsi="Verdana" w:cs="Arial"/>
        </w:rPr>
      </w:pPr>
      <w:r w:rsidRPr="006D2270">
        <w:rPr>
          <w:rFonts w:ascii="Verdana" w:hAnsi="Verdana" w:cs="Arial"/>
        </w:rPr>
        <w:t>Przedstawiciel Zamawiającego/Inspektor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683496" w:rsidRPr="006D2270" w:rsidRDefault="00683496" w:rsidP="00683496">
      <w:pPr>
        <w:jc w:val="both"/>
        <w:rPr>
          <w:rFonts w:ascii="Verdana" w:hAnsi="Verdana" w:cs="Arial"/>
        </w:rPr>
      </w:pPr>
      <w:r w:rsidRPr="006D2270">
        <w:rPr>
          <w:rFonts w:ascii="Verdana" w:hAnsi="Verdana" w:cs="Arial"/>
        </w:rPr>
        <w:t>Do odbioru uwzględniane są wyniki badań kontrolnych i badań kontrolnych dodatkowych do wyznaczonych odcinków częściowych.</w:t>
      </w:r>
    </w:p>
    <w:p w:rsidR="00683496" w:rsidRPr="006D2270" w:rsidRDefault="00683496" w:rsidP="00683496">
      <w:pPr>
        <w:jc w:val="both"/>
        <w:rPr>
          <w:rFonts w:ascii="Verdana" w:hAnsi="Verdana" w:cs="Arial"/>
        </w:rPr>
      </w:pPr>
      <w:r w:rsidRPr="006D2270">
        <w:rPr>
          <w:rFonts w:ascii="Verdana" w:hAnsi="Verdana" w:cs="Arial"/>
        </w:rPr>
        <w:t>Koszty badań kontrolnych dodatkowych zażądanych przez Wykonawcę ponosi Wykonawca.</w:t>
      </w:r>
    </w:p>
    <w:p w:rsidR="00683496" w:rsidRDefault="00683496" w:rsidP="00683496">
      <w:pPr>
        <w:spacing w:before="120"/>
        <w:rPr>
          <w:rFonts w:ascii="Verdana" w:hAnsi="Verdana" w:cs="Arial"/>
          <w:b/>
        </w:rPr>
      </w:pPr>
    </w:p>
    <w:p w:rsidR="00683496" w:rsidRDefault="00683496" w:rsidP="00683496">
      <w:pPr>
        <w:rPr>
          <w:rFonts w:ascii="Verdana" w:hAnsi="Verdana" w:cs="Arial"/>
          <w:b/>
        </w:rPr>
      </w:pPr>
      <w:r w:rsidRPr="006D2270">
        <w:rPr>
          <w:rFonts w:ascii="Verdana" w:hAnsi="Verdana" w:cs="Arial"/>
          <w:b/>
        </w:rPr>
        <w:t>6.3.5. Badania arbitrażowe</w:t>
      </w:r>
    </w:p>
    <w:p w:rsidR="00683496" w:rsidRPr="006C5704" w:rsidRDefault="00683496" w:rsidP="00683496">
      <w:pPr>
        <w:rPr>
          <w:rFonts w:ascii="Verdana" w:hAnsi="Verdana" w:cs="Arial"/>
          <w:b/>
        </w:rPr>
      </w:pPr>
      <w:r w:rsidRPr="006D2270">
        <w:rPr>
          <w:rFonts w:ascii="Verdana" w:hAnsi="Verdana" w:cs="Arial"/>
        </w:rPr>
        <w:t>Badania arbitrażowe są powtórzeniem badań kontrolnych, co do których istnieją uzasadnione wątpliwości ze strony Przedstawiciela Zamawiającego/Inspektora Nadzoru lub Wykonawcy (np. na podstawie własnych badań). Badania arbitrażowe wykonuje na wniosek strony kontraktu niezależne, akredytowane laboratorium, które nie wykonywało badań kontrolnych.</w:t>
      </w:r>
    </w:p>
    <w:p w:rsidR="00683496" w:rsidRPr="006D2270" w:rsidRDefault="00683496" w:rsidP="00683496">
      <w:pPr>
        <w:spacing w:before="120"/>
        <w:jc w:val="both"/>
        <w:rPr>
          <w:rFonts w:ascii="Verdana" w:hAnsi="Verdana" w:cs="Arial"/>
        </w:rPr>
      </w:pPr>
      <w:r w:rsidRPr="006D2270">
        <w:rPr>
          <w:rFonts w:ascii="Verdana" w:hAnsi="Verdana" w:cs="Arial"/>
        </w:rPr>
        <w:t xml:space="preserve">Koszty badań arbitrażowych wraz ze wszystkimi kosztami ubocznymi ponosi Wykonawca. </w:t>
      </w:r>
    </w:p>
    <w:p w:rsidR="00683496" w:rsidRDefault="00683496" w:rsidP="00683496">
      <w:pPr>
        <w:jc w:val="both"/>
        <w:rPr>
          <w:rFonts w:ascii="Verdana" w:hAnsi="Verdana" w:cs="Arial"/>
        </w:rPr>
      </w:pPr>
      <w:r w:rsidRPr="006D2270">
        <w:rPr>
          <w:rFonts w:ascii="Verdana" w:hAnsi="Verdana" w:cs="Arial"/>
        </w:rPr>
        <w:t>Wniosek o przeprowadzenie badań arbitrażowych dotyczących zawartości wolnych przestrzeni lub wskaźnika zagęszczenia należy złożyć w ciągu 1 miesiąca od wpływu reklamacji ze strony Zamawiającego.</w:t>
      </w:r>
    </w:p>
    <w:p w:rsidR="00683496" w:rsidRPr="00254068" w:rsidRDefault="00683496" w:rsidP="00683496">
      <w:pPr>
        <w:jc w:val="both"/>
        <w:rPr>
          <w:rFonts w:ascii="Verdana" w:hAnsi="Verdana" w:cs="Arial"/>
        </w:rPr>
      </w:pPr>
    </w:p>
    <w:p w:rsidR="00683496" w:rsidRDefault="00683496" w:rsidP="00683496">
      <w:pPr>
        <w:rPr>
          <w:rFonts w:ascii="Verdana" w:hAnsi="Verdana" w:cs="Arial"/>
          <w:b/>
        </w:rPr>
      </w:pPr>
      <w:r w:rsidRPr="006D2270">
        <w:rPr>
          <w:rFonts w:ascii="Verdana" w:hAnsi="Verdana" w:cs="Arial"/>
          <w:b/>
        </w:rPr>
        <w:t>6.4. Właściwości i dopuszczalne odchyłki mieszanki mineralno-asfaltowej oraz wykonanej warstwy.</w:t>
      </w:r>
    </w:p>
    <w:p w:rsidR="00683496" w:rsidRDefault="00683496" w:rsidP="00683496">
      <w:pPr>
        <w:jc w:val="both"/>
        <w:rPr>
          <w:rFonts w:ascii="Verdana" w:hAnsi="Verdana" w:cs="Arial"/>
          <w:b/>
        </w:rPr>
      </w:pPr>
    </w:p>
    <w:p w:rsidR="00683496" w:rsidRPr="006C5704" w:rsidRDefault="00683496" w:rsidP="00683496">
      <w:pPr>
        <w:jc w:val="both"/>
        <w:rPr>
          <w:rFonts w:ascii="Verdana" w:hAnsi="Verdana" w:cs="Arial"/>
          <w:b/>
        </w:rPr>
      </w:pPr>
      <w:r w:rsidRPr="006C5704">
        <w:rPr>
          <w:rFonts w:ascii="Verdana" w:hAnsi="Verdana" w:cs="Arial"/>
          <w:b/>
        </w:rPr>
        <w:t xml:space="preserve">6.4.1. Mieszanka mineralno-asfaltowa </w:t>
      </w:r>
    </w:p>
    <w:p w:rsidR="00683496" w:rsidRPr="006D2270" w:rsidRDefault="00683496" w:rsidP="00683496">
      <w:pPr>
        <w:jc w:val="both"/>
        <w:rPr>
          <w:rFonts w:ascii="Verdana" w:hAnsi="Verdana" w:cs="Arial"/>
          <w:b/>
        </w:rPr>
      </w:pPr>
      <w:r w:rsidRPr="006C5704">
        <w:rPr>
          <w:rFonts w:ascii="Verdana" w:hAnsi="Verdana" w:cs="Arial"/>
        </w:rPr>
        <w:lastRenderedPageBreak/>
        <w:t>Właściwości materiałów należy oceniać</w:t>
      </w:r>
      <w:r w:rsidRPr="006D2270">
        <w:rPr>
          <w:rFonts w:ascii="Verdana" w:hAnsi="Verdana" w:cs="Arial"/>
        </w:rPr>
        <w:t xml:space="preserve"> na podstawie badań pobranych próbek mieszanki mineralno-asfaltowej przed wbudowaniem (wbudowanie oznacza wykonanie warstwy asfaltowej). Wyjątkowo dopuszcza się badania próbek pobranych z wykonanej warstwy asfaltowej.</w:t>
      </w:r>
      <w:r w:rsidRPr="006D2270">
        <w:rPr>
          <w:rFonts w:ascii="Verdana" w:hAnsi="Verdana" w:cs="Arial"/>
          <w:b/>
        </w:rPr>
        <w:t xml:space="preserve">                                                                                                                   </w:t>
      </w:r>
      <w:r w:rsidRPr="006D2270">
        <w:rPr>
          <w:rFonts w:ascii="Verdana" w:hAnsi="Verdana" w:cs="Aria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683496" w:rsidRDefault="00683496" w:rsidP="00683496">
      <w:pPr>
        <w:ind w:left="1418" w:hanging="1418"/>
        <w:jc w:val="both"/>
        <w:rPr>
          <w:rFonts w:ascii="Verdana" w:hAnsi="Verdana" w:cs="Arial"/>
          <w:u w:val="single"/>
        </w:rPr>
      </w:pPr>
    </w:p>
    <w:p w:rsidR="00683496" w:rsidRPr="002876EA" w:rsidRDefault="00683496" w:rsidP="00683496">
      <w:pPr>
        <w:ind w:left="1418" w:hanging="1418"/>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1</w:t>
      </w:r>
      <w:r>
        <w:rPr>
          <w:rFonts w:ascii="Verdana" w:hAnsi="Verdana" w:cs="Arial"/>
        </w:rPr>
        <w:t>5</w:t>
      </w:r>
      <w:r w:rsidRPr="002876EA">
        <w:rPr>
          <w:rFonts w:ascii="Verdana" w:hAnsi="Verdana" w:cs="Arial"/>
        </w:rPr>
        <w:t xml:space="preserve">. Dopuszczalne odchyłki dotyczące zawartości </w:t>
      </w:r>
      <w:r>
        <w:rPr>
          <w:rFonts w:ascii="Verdana" w:hAnsi="Verdana" w:cs="Arial"/>
        </w:rPr>
        <w:t>asfaltu</w:t>
      </w:r>
      <w:r w:rsidRPr="002876EA">
        <w:rPr>
          <w:rFonts w:ascii="Verdana" w:hAnsi="Verdana" w:cs="Arial"/>
        </w:rPr>
        <w:t xml:space="preserve"> rozpuszczalnego, [%(m/m)]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2313"/>
        <w:gridCol w:w="2330"/>
        <w:gridCol w:w="2302"/>
      </w:tblGrid>
      <w:tr w:rsidR="00683496" w:rsidRPr="002876EA" w:rsidTr="00683496">
        <w:trPr>
          <w:trHeight w:val="340"/>
        </w:trPr>
        <w:tc>
          <w:tcPr>
            <w:tcW w:w="2445" w:type="dxa"/>
            <w:vMerge w:val="restart"/>
            <w:vAlign w:val="center"/>
          </w:tcPr>
          <w:p w:rsidR="00683496" w:rsidRPr="002876EA" w:rsidRDefault="00683496" w:rsidP="00683496">
            <w:pPr>
              <w:jc w:val="center"/>
              <w:rPr>
                <w:rFonts w:ascii="Verdana" w:hAnsi="Verdana" w:cs="Arial"/>
              </w:rPr>
            </w:pPr>
            <w:r w:rsidRPr="002876EA">
              <w:rPr>
                <w:rFonts w:ascii="Verdana" w:hAnsi="Verdana" w:cs="Arial"/>
              </w:rPr>
              <w:t>Rodzaj mieszanki</w:t>
            </w:r>
          </w:p>
        </w:tc>
        <w:tc>
          <w:tcPr>
            <w:tcW w:w="7336" w:type="dxa"/>
            <w:gridSpan w:val="3"/>
            <w:vAlign w:val="center"/>
          </w:tcPr>
          <w:p w:rsidR="00683496" w:rsidRPr="002876EA" w:rsidRDefault="00683496" w:rsidP="00683496">
            <w:pPr>
              <w:jc w:val="center"/>
              <w:rPr>
                <w:rFonts w:ascii="Verdana" w:hAnsi="Verdana" w:cs="Arial"/>
              </w:rPr>
            </w:pPr>
            <w:r w:rsidRPr="002876EA">
              <w:rPr>
                <w:rFonts w:ascii="Verdana" w:hAnsi="Verdana" w:cs="Arial"/>
              </w:rPr>
              <w:t>Odchyłki od wartości projektowanej</w:t>
            </w:r>
          </w:p>
        </w:tc>
      </w:tr>
      <w:tr w:rsidR="00683496" w:rsidRPr="002876EA" w:rsidTr="00683496">
        <w:trPr>
          <w:trHeight w:val="340"/>
        </w:trPr>
        <w:tc>
          <w:tcPr>
            <w:tcW w:w="2445" w:type="dxa"/>
            <w:vMerge/>
            <w:vAlign w:val="center"/>
          </w:tcPr>
          <w:p w:rsidR="00683496" w:rsidRPr="002876EA" w:rsidRDefault="00683496" w:rsidP="00683496">
            <w:pPr>
              <w:jc w:val="center"/>
              <w:rPr>
                <w:rFonts w:ascii="Verdana" w:hAnsi="Verdana" w:cs="Arial"/>
              </w:rPr>
            </w:pPr>
          </w:p>
        </w:tc>
        <w:tc>
          <w:tcPr>
            <w:tcW w:w="2445" w:type="dxa"/>
            <w:vAlign w:val="center"/>
          </w:tcPr>
          <w:p w:rsidR="00683496" w:rsidRPr="002876EA" w:rsidRDefault="00683496" w:rsidP="00683496">
            <w:pPr>
              <w:jc w:val="center"/>
              <w:rPr>
                <w:rFonts w:ascii="Verdana" w:hAnsi="Verdana" w:cs="Arial"/>
              </w:rPr>
            </w:pPr>
            <w:r w:rsidRPr="002876EA">
              <w:rPr>
                <w:rFonts w:ascii="Verdana" w:hAnsi="Verdana" w:cs="Arial"/>
              </w:rPr>
              <w:t>Bez potrąceń</w:t>
            </w:r>
          </w:p>
        </w:tc>
        <w:tc>
          <w:tcPr>
            <w:tcW w:w="2445" w:type="dxa"/>
            <w:vAlign w:val="center"/>
          </w:tcPr>
          <w:p w:rsidR="00683496" w:rsidRPr="002876EA" w:rsidRDefault="00683496" w:rsidP="00683496">
            <w:pPr>
              <w:jc w:val="center"/>
              <w:rPr>
                <w:rFonts w:ascii="Verdana" w:hAnsi="Verdana" w:cs="Arial"/>
              </w:rPr>
            </w:pPr>
            <w:r w:rsidRPr="002876EA">
              <w:rPr>
                <w:rFonts w:ascii="Verdana" w:hAnsi="Verdana" w:cs="Arial"/>
              </w:rPr>
              <w:t>Stosuje się potrącenia</w:t>
            </w:r>
          </w:p>
        </w:tc>
        <w:tc>
          <w:tcPr>
            <w:tcW w:w="2446" w:type="dxa"/>
            <w:vAlign w:val="center"/>
          </w:tcPr>
          <w:p w:rsidR="00683496" w:rsidRPr="002876EA" w:rsidRDefault="00683496" w:rsidP="00683496">
            <w:pPr>
              <w:jc w:val="center"/>
              <w:rPr>
                <w:rFonts w:ascii="Verdana" w:hAnsi="Verdana" w:cs="Arial"/>
              </w:rPr>
            </w:pPr>
            <w:r w:rsidRPr="002876EA">
              <w:rPr>
                <w:rFonts w:ascii="Verdana" w:hAnsi="Verdana" w:cs="Arial"/>
              </w:rPr>
              <w:t>Nie do odbioru</w:t>
            </w:r>
          </w:p>
        </w:tc>
      </w:tr>
      <w:tr w:rsidR="00683496" w:rsidRPr="002876EA" w:rsidTr="00683496">
        <w:trPr>
          <w:trHeight w:val="340"/>
        </w:trPr>
        <w:tc>
          <w:tcPr>
            <w:tcW w:w="2445" w:type="dxa"/>
            <w:vAlign w:val="center"/>
          </w:tcPr>
          <w:p w:rsidR="00683496" w:rsidRPr="002876EA" w:rsidRDefault="00683496" w:rsidP="00683496">
            <w:pPr>
              <w:jc w:val="center"/>
              <w:rPr>
                <w:rFonts w:ascii="Verdana" w:hAnsi="Verdana" w:cs="Arial"/>
              </w:rPr>
            </w:pPr>
            <w:r>
              <w:rPr>
                <w:rFonts w:ascii="Verdana" w:hAnsi="Verdana" w:cs="Arial"/>
              </w:rPr>
              <w:t>AC S</w:t>
            </w:r>
          </w:p>
        </w:tc>
        <w:tc>
          <w:tcPr>
            <w:tcW w:w="2445" w:type="dxa"/>
            <w:vAlign w:val="center"/>
          </w:tcPr>
          <w:p w:rsidR="00683496" w:rsidRPr="002876EA" w:rsidRDefault="00683496" w:rsidP="00683496">
            <w:pPr>
              <w:jc w:val="center"/>
              <w:rPr>
                <w:rFonts w:ascii="Verdana" w:hAnsi="Verdana" w:cs="Arial"/>
              </w:rPr>
            </w:pPr>
            <w:r w:rsidRPr="002876EA">
              <w:rPr>
                <w:rFonts w:ascii="Verdana" w:hAnsi="Verdana" w:cs="Arial"/>
              </w:rPr>
              <w:t>≤ ±0,3</w:t>
            </w:r>
          </w:p>
        </w:tc>
        <w:tc>
          <w:tcPr>
            <w:tcW w:w="2445" w:type="dxa"/>
            <w:vAlign w:val="center"/>
          </w:tcPr>
          <w:p w:rsidR="00683496" w:rsidRPr="002876EA" w:rsidRDefault="00683496" w:rsidP="00683496">
            <w:pPr>
              <w:jc w:val="center"/>
              <w:rPr>
                <w:rFonts w:ascii="Verdana" w:hAnsi="Verdana" w:cs="Arial"/>
              </w:rPr>
            </w:pPr>
            <w:r w:rsidRPr="002876EA">
              <w:rPr>
                <w:rFonts w:ascii="Verdana" w:hAnsi="Verdana" w:cs="Arial"/>
              </w:rPr>
              <w:t>±0,4 ÷ ±0,5</w:t>
            </w:r>
          </w:p>
        </w:tc>
        <w:tc>
          <w:tcPr>
            <w:tcW w:w="2446" w:type="dxa"/>
            <w:vAlign w:val="center"/>
          </w:tcPr>
          <w:p w:rsidR="00683496" w:rsidRPr="002876EA" w:rsidRDefault="00683496" w:rsidP="00683496">
            <w:pPr>
              <w:jc w:val="center"/>
              <w:rPr>
                <w:rFonts w:ascii="Verdana" w:hAnsi="Verdana" w:cs="Arial"/>
              </w:rPr>
            </w:pPr>
            <w:r w:rsidRPr="002876EA">
              <w:rPr>
                <w:rFonts w:ascii="Verdana" w:hAnsi="Verdana" w:cs="Arial"/>
              </w:rPr>
              <w:t>≥ ±0,6</w:t>
            </w:r>
          </w:p>
        </w:tc>
      </w:tr>
    </w:tbl>
    <w:p w:rsidR="00683496" w:rsidRDefault="00683496" w:rsidP="00683496">
      <w:pPr>
        <w:jc w:val="both"/>
        <w:rPr>
          <w:rFonts w:ascii="Verdana" w:hAnsi="Verdana" w:cs="Arial"/>
        </w:rPr>
      </w:pPr>
    </w:p>
    <w:p w:rsidR="00683496" w:rsidRDefault="00683496" w:rsidP="00683496">
      <w:pPr>
        <w:jc w:val="both"/>
        <w:rPr>
          <w:rFonts w:ascii="Verdana" w:hAnsi="Verdana" w:cs="Arial"/>
        </w:rPr>
      </w:pPr>
    </w:p>
    <w:p w:rsidR="00683496" w:rsidRPr="002876EA" w:rsidRDefault="00683496" w:rsidP="00683496">
      <w:pPr>
        <w:jc w:val="both"/>
        <w:rPr>
          <w:rFonts w:ascii="Verdana" w:hAnsi="Verdana" w:cs="Arial"/>
        </w:rPr>
      </w:pPr>
    </w:p>
    <w:p w:rsidR="00683496" w:rsidRPr="002876EA" w:rsidRDefault="00683496" w:rsidP="00683496">
      <w:pPr>
        <w:ind w:left="1134" w:hanging="1134"/>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1</w:t>
      </w:r>
      <w:r>
        <w:rPr>
          <w:rFonts w:ascii="Verdana" w:hAnsi="Verdana" w:cs="Arial"/>
        </w:rPr>
        <w:t>6</w:t>
      </w:r>
      <w:r w:rsidRPr="002876EA">
        <w:rPr>
          <w:rFonts w:ascii="Verdana" w:hAnsi="Verdana" w:cs="Arial"/>
        </w:rPr>
        <w:t xml:space="preserve">. Dopuszczalne odchyłki dotyczące zawartości kruszywa o wymiarze </w:t>
      </w:r>
      <w:r>
        <w:rPr>
          <w:rFonts w:ascii="Verdana" w:hAnsi="Verdana" w:cs="Arial"/>
        </w:rPr>
        <w:br/>
      </w:r>
      <w:r w:rsidRPr="002876EA">
        <w:rPr>
          <w:rFonts w:ascii="Verdana" w:hAnsi="Verdana" w:cs="Arial"/>
        </w:rPr>
        <w:t>&lt; 0,063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71"/>
        <w:gridCol w:w="3384"/>
      </w:tblGrid>
      <w:tr w:rsidR="00683496" w:rsidRPr="002876EA" w:rsidTr="00683496">
        <w:trPr>
          <w:trHeight w:val="340"/>
        </w:trPr>
        <w:tc>
          <w:tcPr>
            <w:tcW w:w="2552" w:type="dxa"/>
            <w:vMerge w:val="restart"/>
            <w:vAlign w:val="center"/>
          </w:tcPr>
          <w:p w:rsidR="00683496" w:rsidRPr="002876EA" w:rsidRDefault="00683496" w:rsidP="00683496">
            <w:pPr>
              <w:jc w:val="center"/>
              <w:rPr>
                <w:rFonts w:ascii="Verdana" w:hAnsi="Verdana" w:cs="Arial"/>
              </w:rPr>
            </w:pPr>
          </w:p>
          <w:p w:rsidR="00683496" w:rsidRPr="002876EA" w:rsidRDefault="00683496" w:rsidP="00683496">
            <w:pPr>
              <w:jc w:val="center"/>
              <w:rPr>
                <w:rFonts w:ascii="Verdana" w:hAnsi="Verdana" w:cs="Arial"/>
              </w:rPr>
            </w:pPr>
            <w:r w:rsidRPr="002876EA">
              <w:rPr>
                <w:rFonts w:ascii="Verdana" w:hAnsi="Verdana" w:cs="Arial"/>
              </w:rPr>
              <w:t>Rodzaj mieszanki</w:t>
            </w:r>
          </w:p>
          <w:p w:rsidR="00683496" w:rsidRPr="002876EA" w:rsidRDefault="00683496" w:rsidP="00683496">
            <w:pPr>
              <w:jc w:val="center"/>
              <w:rPr>
                <w:rFonts w:ascii="Verdana" w:hAnsi="Verdana" w:cs="Arial"/>
              </w:rPr>
            </w:pPr>
          </w:p>
        </w:tc>
        <w:tc>
          <w:tcPr>
            <w:tcW w:w="7229" w:type="dxa"/>
            <w:gridSpan w:val="2"/>
            <w:vAlign w:val="center"/>
          </w:tcPr>
          <w:p w:rsidR="00683496" w:rsidRPr="002876EA" w:rsidRDefault="00683496" w:rsidP="00683496">
            <w:pPr>
              <w:jc w:val="center"/>
              <w:rPr>
                <w:rFonts w:ascii="Verdana" w:hAnsi="Verdana" w:cs="Arial"/>
              </w:rPr>
            </w:pPr>
            <w:r w:rsidRPr="002876EA">
              <w:rPr>
                <w:rFonts w:ascii="Verdana" w:hAnsi="Verdana" w:cs="Arial"/>
              </w:rPr>
              <w:t>Odchyłka od wartości projektowanej</w:t>
            </w:r>
          </w:p>
        </w:tc>
      </w:tr>
      <w:tr w:rsidR="00683496" w:rsidRPr="002876EA" w:rsidTr="00683496">
        <w:trPr>
          <w:trHeight w:val="340"/>
        </w:trPr>
        <w:tc>
          <w:tcPr>
            <w:tcW w:w="2552" w:type="dxa"/>
            <w:vMerge/>
            <w:vAlign w:val="center"/>
          </w:tcPr>
          <w:p w:rsidR="00683496" w:rsidRPr="002876EA" w:rsidRDefault="00683496" w:rsidP="00683496">
            <w:pPr>
              <w:jc w:val="center"/>
              <w:rPr>
                <w:rFonts w:ascii="Verdana" w:hAnsi="Verdana" w:cs="Arial"/>
              </w:rPr>
            </w:pPr>
          </w:p>
        </w:tc>
        <w:tc>
          <w:tcPr>
            <w:tcW w:w="3669" w:type="dxa"/>
            <w:vAlign w:val="center"/>
          </w:tcPr>
          <w:p w:rsidR="00683496" w:rsidRPr="002876EA" w:rsidRDefault="00683496" w:rsidP="00683496">
            <w:pPr>
              <w:jc w:val="center"/>
              <w:rPr>
                <w:rFonts w:ascii="Verdana" w:hAnsi="Verdana" w:cs="Arial"/>
              </w:rPr>
            </w:pPr>
            <w:r w:rsidRPr="002876EA">
              <w:rPr>
                <w:rFonts w:ascii="Verdana" w:hAnsi="Verdana" w:cs="Arial"/>
              </w:rPr>
              <w:t>Bez potrąceń</w:t>
            </w:r>
          </w:p>
        </w:tc>
        <w:tc>
          <w:tcPr>
            <w:tcW w:w="3560" w:type="dxa"/>
            <w:vAlign w:val="center"/>
          </w:tcPr>
          <w:p w:rsidR="00683496" w:rsidRPr="002876EA" w:rsidRDefault="00683496" w:rsidP="00683496">
            <w:pPr>
              <w:jc w:val="center"/>
              <w:rPr>
                <w:rFonts w:ascii="Verdana" w:hAnsi="Verdana" w:cs="Arial"/>
              </w:rPr>
            </w:pPr>
            <w:r w:rsidRPr="002876EA">
              <w:rPr>
                <w:rFonts w:ascii="Verdana" w:hAnsi="Verdana" w:cs="Arial"/>
              </w:rPr>
              <w:t>Stosuje się potrącenia</w:t>
            </w:r>
          </w:p>
        </w:tc>
      </w:tr>
      <w:tr w:rsidR="00683496" w:rsidRPr="002876EA" w:rsidTr="00683496">
        <w:trPr>
          <w:trHeight w:val="340"/>
        </w:trPr>
        <w:tc>
          <w:tcPr>
            <w:tcW w:w="2552" w:type="dxa"/>
            <w:vAlign w:val="center"/>
          </w:tcPr>
          <w:p w:rsidR="00683496" w:rsidRPr="002876EA" w:rsidRDefault="00683496" w:rsidP="00683496">
            <w:pPr>
              <w:jc w:val="center"/>
              <w:rPr>
                <w:rFonts w:ascii="Verdana" w:hAnsi="Verdana" w:cs="Arial"/>
              </w:rPr>
            </w:pPr>
            <w:r>
              <w:rPr>
                <w:rFonts w:ascii="Verdana" w:hAnsi="Verdana" w:cs="Arial"/>
              </w:rPr>
              <w:t>AC S</w:t>
            </w:r>
          </w:p>
        </w:tc>
        <w:tc>
          <w:tcPr>
            <w:tcW w:w="3669" w:type="dxa"/>
            <w:vAlign w:val="center"/>
          </w:tcPr>
          <w:p w:rsidR="00683496" w:rsidRPr="002876EA" w:rsidRDefault="00683496" w:rsidP="00683496">
            <w:pPr>
              <w:jc w:val="center"/>
              <w:rPr>
                <w:rFonts w:ascii="Verdana" w:hAnsi="Verdana" w:cs="Arial"/>
              </w:rPr>
            </w:pPr>
            <w:r w:rsidRPr="002876EA">
              <w:rPr>
                <w:rFonts w:ascii="Verdana" w:hAnsi="Verdana" w:cs="Arial"/>
              </w:rPr>
              <w:t>≤ ±1,5</w:t>
            </w:r>
          </w:p>
        </w:tc>
        <w:tc>
          <w:tcPr>
            <w:tcW w:w="3560" w:type="dxa"/>
            <w:vAlign w:val="center"/>
          </w:tcPr>
          <w:p w:rsidR="00683496" w:rsidRPr="002876EA" w:rsidRDefault="00683496" w:rsidP="00683496">
            <w:pPr>
              <w:jc w:val="center"/>
              <w:rPr>
                <w:rFonts w:ascii="Verdana" w:hAnsi="Verdana" w:cs="Arial"/>
              </w:rPr>
            </w:pPr>
            <w:r w:rsidRPr="002876EA">
              <w:rPr>
                <w:rFonts w:ascii="Verdana" w:hAnsi="Verdana" w:cs="Arial"/>
              </w:rPr>
              <w:t>±1,6 ÷ ±3,0</w:t>
            </w:r>
          </w:p>
        </w:tc>
      </w:tr>
    </w:tbl>
    <w:p w:rsidR="00683496" w:rsidRPr="002876EA" w:rsidRDefault="00683496" w:rsidP="00683496">
      <w:pPr>
        <w:jc w:val="both"/>
        <w:rPr>
          <w:rFonts w:ascii="Verdana" w:hAnsi="Verdana" w:cs="Arial"/>
        </w:rPr>
      </w:pPr>
    </w:p>
    <w:p w:rsidR="00683496" w:rsidRPr="002876EA" w:rsidRDefault="00683496" w:rsidP="00683496">
      <w:pPr>
        <w:ind w:left="1134" w:hanging="1134"/>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1</w:t>
      </w:r>
      <w:r>
        <w:rPr>
          <w:rFonts w:ascii="Verdana" w:hAnsi="Verdana" w:cs="Arial"/>
        </w:rPr>
        <w:t>7</w:t>
      </w:r>
      <w:r w:rsidRPr="002876EA">
        <w:rPr>
          <w:rFonts w:ascii="Verdana" w:hAnsi="Verdana" w:cs="Arial"/>
        </w:rPr>
        <w:t xml:space="preserve">. Dopuszczalne odchyłki dotyczące zawartości kruszywa o wymiarze </w:t>
      </w:r>
      <w:r>
        <w:rPr>
          <w:rFonts w:ascii="Verdana" w:hAnsi="Verdana" w:cs="Arial"/>
        </w:rPr>
        <w:br/>
      </w:r>
      <w:r w:rsidRPr="002876EA">
        <w:rPr>
          <w:rFonts w:ascii="Verdana" w:hAnsi="Verdana" w:cs="Arial"/>
        </w:rPr>
        <w:t>&lt; 0,125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87"/>
        <w:gridCol w:w="3368"/>
      </w:tblGrid>
      <w:tr w:rsidR="00683496" w:rsidRPr="002876EA" w:rsidTr="00683496">
        <w:trPr>
          <w:trHeight w:val="340"/>
        </w:trPr>
        <w:tc>
          <w:tcPr>
            <w:tcW w:w="2552" w:type="dxa"/>
            <w:vMerge w:val="restart"/>
            <w:vAlign w:val="center"/>
          </w:tcPr>
          <w:p w:rsidR="00683496" w:rsidRPr="002876EA" w:rsidRDefault="00683496" w:rsidP="00683496">
            <w:pPr>
              <w:jc w:val="center"/>
              <w:rPr>
                <w:rFonts w:ascii="Verdana" w:hAnsi="Verdana" w:cs="Arial"/>
              </w:rPr>
            </w:pPr>
          </w:p>
          <w:p w:rsidR="00683496" w:rsidRPr="002876EA" w:rsidRDefault="00683496" w:rsidP="00683496">
            <w:pPr>
              <w:jc w:val="center"/>
              <w:rPr>
                <w:rFonts w:ascii="Verdana" w:hAnsi="Verdana" w:cs="Arial"/>
              </w:rPr>
            </w:pPr>
            <w:r w:rsidRPr="002876EA">
              <w:rPr>
                <w:rFonts w:ascii="Verdana" w:hAnsi="Verdana" w:cs="Arial"/>
              </w:rPr>
              <w:t>Rodzaj mieszanki</w:t>
            </w:r>
          </w:p>
          <w:p w:rsidR="00683496" w:rsidRPr="002876EA" w:rsidRDefault="00683496" w:rsidP="00683496">
            <w:pPr>
              <w:jc w:val="center"/>
              <w:rPr>
                <w:rFonts w:ascii="Verdana" w:hAnsi="Verdana" w:cs="Arial"/>
              </w:rPr>
            </w:pPr>
          </w:p>
        </w:tc>
        <w:tc>
          <w:tcPr>
            <w:tcW w:w="7229" w:type="dxa"/>
            <w:gridSpan w:val="2"/>
            <w:vAlign w:val="center"/>
          </w:tcPr>
          <w:p w:rsidR="00683496" w:rsidRPr="002876EA" w:rsidRDefault="00683496" w:rsidP="00683496">
            <w:pPr>
              <w:jc w:val="center"/>
              <w:rPr>
                <w:rFonts w:ascii="Verdana" w:hAnsi="Verdana" w:cs="Arial"/>
              </w:rPr>
            </w:pPr>
            <w:r w:rsidRPr="002876EA">
              <w:rPr>
                <w:rFonts w:ascii="Verdana" w:hAnsi="Verdana" w:cs="Arial"/>
              </w:rPr>
              <w:t>Odchyłka od wartości projektowanej</w:t>
            </w:r>
          </w:p>
        </w:tc>
      </w:tr>
      <w:tr w:rsidR="00683496" w:rsidRPr="002876EA" w:rsidTr="00683496">
        <w:trPr>
          <w:trHeight w:val="340"/>
        </w:trPr>
        <w:tc>
          <w:tcPr>
            <w:tcW w:w="2552" w:type="dxa"/>
            <w:vMerge/>
            <w:vAlign w:val="center"/>
          </w:tcPr>
          <w:p w:rsidR="00683496" w:rsidRPr="002876EA" w:rsidRDefault="00683496" w:rsidP="00683496">
            <w:pPr>
              <w:jc w:val="center"/>
              <w:rPr>
                <w:rFonts w:ascii="Verdana" w:hAnsi="Verdana" w:cs="Arial"/>
              </w:rPr>
            </w:pP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Bez potrąceń</w:t>
            </w:r>
          </w:p>
        </w:tc>
        <w:tc>
          <w:tcPr>
            <w:tcW w:w="3543" w:type="dxa"/>
            <w:tcBorders>
              <w:right w:val="single" w:sz="4" w:space="0" w:color="auto"/>
            </w:tcBorders>
            <w:vAlign w:val="center"/>
          </w:tcPr>
          <w:p w:rsidR="00683496" w:rsidRPr="002876EA" w:rsidRDefault="00683496" w:rsidP="00683496">
            <w:pPr>
              <w:jc w:val="center"/>
              <w:rPr>
                <w:rFonts w:ascii="Verdana" w:hAnsi="Verdana" w:cs="Arial"/>
              </w:rPr>
            </w:pPr>
            <w:r w:rsidRPr="002876EA">
              <w:rPr>
                <w:rFonts w:ascii="Verdana" w:hAnsi="Verdana" w:cs="Arial"/>
              </w:rPr>
              <w:t>Stosuje się potrącenia</w:t>
            </w:r>
          </w:p>
        </w:tc>
      </w:tr>
      <w:tr w:rsidR="00683496" w:rsidRPr="002876EA" w:rsidTr="00683496">
        <w:trPr>
          <w:trHeight w:val="340"/>
        </w:trPr>
        <w:tc>
          <w:tcPr>
            <w:tcW w:w="2552" w:type="dxa"/>
            <w:vAlign w:val="center"/>
          </w:tcPr>
          <w:p w:rsidR="00683496" w:rsidRPr="002876EA" w:rsidRDefault="00683496" w:rsidP="00683496">
            <w:pPr>
              <w:jc w:val="center"/>
              <w:rPr>
                <w:rFonts w:ascii="Verdana" w:hAnsi="Verdana" w:cs="Arial"/>
              </w:rPr>
            </w:pPr>
            <w:r>
              <w:rPr>
                <w:rFonts w:ascii="Verdana" w:hAnsi="Verdana" w:cs="Arial"/>
              </w:rPr>
              <w:t>AC</w:t>
            </w:r>
            <w:r w:rsidRPr="002876EA">
              <w:rPr>
                <w:rFonts w:ascii="Verdana" w:hAnsi="Verdana" w:cs="Arial"/>
              </w:rPr>
              <w:t xml:space="preserve"> </w:t>
            </w:r>
            <w:r>
              <w:rPr>
                <w:rFonts w:ascii="Verdana" w:hAnsi="Verdana" w:cs="Arial"/>
              </w:rPr>
              <w:t>S</w:t>
            </w: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 ±2</w:t>
            </w:r>
          </w:p>
        </w:tc>
        <w:tc>
          <w:tcPr>
            <w:tcW w:w="3543" w:type="dxa"/>
            <w:tcBorders>
              <w:right w:val="single" w:sz="4" w:space="0" w:color="auto"/>
            </w:tcBorders>
            <w:vAlign w:val="center"/>
          </w:tcPr>
          <w:p w:rsidR="00683496" w:rsidRPr="002876EA" w:rsidRDefault="00683496" w:rsidP="00683496">
            <w:pPr>
              <w:jc w:val="center"/>
              <w:rPr>
                <w:rFonts w:ascii="Verdana" w:hAnsi="Verdana" w:cs="Arial"/>
              </w:rPr>
            </w:pPr>
            <w:r w:rsidRPr="002876EA">
              <w:rPr>
                <w:rFonts w:ascii="Verdana" w:hAnsi="Verdana" w:cs="Arial"/>
              </w:rPr>
              <w:t>±3 ÷ ±4</w:t>
            </w:r>
          </w:p>
        </w:tc>
      </w:tr>
    </w:tbl>
    <w:p w:rsidR="00683496" w:rsidRDefault="00683496" w:rsidP="00683496">
      <w:pPr>
        <w:jc w:val="both"/>
        <w:rPr>
          <w:rFonts w:ascii="Verdana" w:hAnsi="Verdana" w:cs="Arial"/>
        </w:rPr>
      </w:pPr>
    </w:p>
    <w:p w:rsidR="00683496" w:rsidRPr="002876EA" w:rsidRDefault="00683496" w:rsidP="00683496">
      <w:pPr>
        <w:ind w:left="1276" w:hanging="1276"/>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w:t>
      </w:r>
      <w:r>
        <w:rPr>
          <w:rFonts w:ascii="Verdana" w:hAnsi="Verdana" w:cs="Arial"/>
        </w:rPr>
        <w:t>18</w:t>
      </w:r>
      <w:r w:rsidRPr="002876EA">
        <w:rPr>
          <w:rFonts w:ascii="Verdana" w:hAnsi="Verdana" w:cs="Arial"/>
        </w:rPr>
        <w:t xml:space="preserve">. Dopuszczalne odchyłki dotyczące zawartości kruszywa o wymiarze </w:t>
      </w:r>
      <w:r>
        <w:rPr>
          <w:rFonts w:ascii="Verdana" w:hAnsi="Verdana" w:cs="Arial"/>
        </w:rPr>
        <w:br/>
      </w:r>
      <w:r w:rsidRPr="002876EA">
        <w:rPr>
          <w:rFonts w:ascii="Verdana" w:hAnsi="Verdana" w:cs="Arial"/>
        </w:rPr>
        <w:t>&lt; 2,0 mm, [%(m/m)]</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87"/>
        <w:gridCol w:w="3368"/>
      </w:tblGrid>
      <w:tr w:rsidR="00683496" w:rsidRPr="002876EA" w:rsidTr="00683496">
        <w:trPr>
          <w:trHeight w:val="340"/>
        </w:trPr>
        <w:tc>
          <w:tcPr>
            <w:tcW w:w="2552" w:type="dxa"/>
            <w:vMerge w:val="restart"/>
            <w:vAlign w:val="center"/>
          </w:tcPr>
          <w:p w:rsidR="00683496" w:rsidRPr="002876EA" w:rsidRDefault="00683496" w:rsidP="00683496">
            <w:pPr>
              <w:jc w:val="center"/>
              <w:rPr>
                <w:rFonts w:ascii="Verdana" w:hAnsi="Verdana" w:cs="Arial"/>
              </w:rPr>
            </w:pPr>
          </w:p>
          <w:p w:rsidR="00683496" w:rsidRPr="002876EA" w:rsidRDefault="00683496" w:rsidP="00683496">
            <w:pPr>
              <w:jc w:val="center"/>
              <w:rPr>
                <w:rFonts w:ascii="Verdana" w:hAnsi="Verdana" w:cs="Arial"/>
              </w:rPr>
            </w:pPr>
            <w:r w:rsidRPr="002876EA">
              <w:rPr>
                <w:rFonts w:ascii="Verdana" w:hAnsi="Verdana" w:cs="Arial"/>
              </w:rPr>
              <w:t>Rodzaj mieszanki</w:t>
            </w:r>
          </w:p>
          <w:p w:rsidR="00683496" w:rsidRPr="002876EA" w:rsidRDefault="00683496" w:rsidP="00683496">
            <w:pPr>
              <w:jc w:val="center"/>
              <w:rPr>
                <w:rFonts w:ascii="Verdana" w:hAnsi="Verdana" w:cs="Arial"/>
              </w:rPr>
            </w:pPr>
          </w:p>
        </w:tc>
        <w:tc>
          <w:tcPr>
            <w:tcW w:w="7229" w:type="dxa"/>
            <w:gridSpan w:val="2"/>
            <w:vAlign w:val="center"/>
          </w:tcPr>
          <w:p w:rsidR="00683496" w:rsidRPr="002876EA" w:rsidRDefault="00683496" w:rsidP="00683496">
            <w:pPr>
              <w:jc w:val="center"/>
              <w:rPr>
                <w:rFonts w:ascii="Verdana" w:hAnsi="Verdana" w:cs="Arial"/>
              </w:rPr>
            </w:pPr>
            <w:r w:rsidRPr="002876EA">
              <w:rPr>
                <w:rFonts w:ascii="Verdana" w:hAnsi="Verdana" w:cs="Arial"/>
              </w:rPr>
              <w:t>Odchyłka od wartości projektowanej</w:t>
            </w:r>
          </w:p>
        </w:tc>
      </w:tr>
      <w:tr w:rsidR="00683496" w:rsidRPr="002876EA" w:rsidTr="00683496">
        <w:trPr>
          <w:trHeight w:val="340"/>
        </w:trPr>
        <w:tc>
          <w:tcPr>
            <w:tcW w:w="2552" w:type="dxa"/>
            <w:vMerge/>
            <w:vAlign w:val="center"/>
          </w:tcPr>
          <w:p w:rsidR="00683496" w:rsidRPr="002876EA" w:rsidRDefault="00683496" w:rsidP="00683496">
            <w:pPr>
              <w:jc w:val="center"/>
              <w:rPr>
                <w:rFonts w:ascii="Verdana" w:hAnsi="Verdana" w:cs="Arial"/>
              </w:rPr>
            </w:pP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Bez potrąceń</w:t>
            </w:r>
          </w:p>
        </w:tc>
        <w:tc>
          <w:tcPr>
            <w:tcW w:w="3543" w:type="dxa"/>
            <w:vAlign w:val="center"/>
          </w:tcPr>
          <w:p w:rsidR="00683496" w:rsidRPr="002876EA" w:rsidRDefault="00683496" w:rsidP="00683496">
            <w:pPr>
              <w:jc w:val="center"/>
              <w:rPr>
                <w:rFonts w:ascii="Verdana" w:hAnsi="Verdana" w:cs="Arial"/>
              </w:rPr>
            </w:pPr>
            <w:r w:rsidRPr="002876EA">
              <w:rPr>
                <w:rFonts w:ascii="Verdana" w:hAnsi="Verdana" w:cs="Arial"/>
              </w:rPr>
              <w:t>Stosuje się potrącenia</w:t>
            </w:r>
          </w:p>
        </w:tc>
      </w:tr>
      <w:tr w:rsidR="00683496" w:rsidRPr="002876EA" w:rsidTr="00683496">
        <w:trPr>
          <w:trHeight w:val="340"/>
        </w:trPr>
        <w:tc>
          <w:tcPr>
            <w:tcW w:w="2552" w:type="dxa"/>
            <w:vAlign w:val="center"/>
          </w:tcPr>
          <w:p w:rsidR="00683496" w:rsidRPr="002876EA" w:rsidRDefault="00683496" w:rsidP="00683496">
            <w:pPr>
              <w:jc w:val="center"/>
              <w:rPr>
                <w:rFonts w:ascii="Verdana" w:hAnsi="Verdana" w:cs="Arial"/>
              </w:rPr>
            </w:pPr>
            <w:r>
              <w:rPr>
                <w:rFonts w:ascii="Verdana" w:hAnsi="Verdana" w:cs="Arial"/>
              </w:rPr>
              <w:t>AC</w:t>
            </w:r>
            <w:r w:rsidRPr="002876EA">
              <w:rPr>
                <w:rFonts w:ascii="Verdana" w:hAnsi="Verdana" w:cs="Arial"/>
              </w:rPr>
              <w:t xml:space="preserve"> </w:t>
            </w:r>
            <w:r>
              <w:rPr>
                <w:rFonts w:ascii="Verdana" w:hAnsi="Verdana" w:cs="Arial"/>
              </w:rPr>
              <w:t>S</w:t>
            </w: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 ±3</w:t>
            </w:r>
          </w:p>
        </w:tc>
        <w:tc>
          <w:tcPr>
            <w:tcW w:w="3543" w:type="dxa"/>
            <w:vAlign w:val="center"/>
          </w:tcPr>
          <w:p w:rsidR="00683496" w:rsidRPr="002876EA" w:rsidRDefault="00683496" w:rsidP="00683496">
            <w:pPr>
              <w:jc w:val="center"/>
              <w:rPr>
                <w:rFonts w:ascii="Verdana" w:hAnsi="Verdana" w:cs="Arial"/>
              </w:rPr>
            </w:pPr>
            <w:r w:rsidRPr="002876EA">
              <w:rPr>
                <w:rFonts w:ascii="Verdana" w:hAnsi="Verdana" w:cs="Arial"/>
              </w:rPr>
              <w:t>±4 ÷ ±6</w:t>
            </w:r>
          </w:p>
        </w:tc>
      </w:tr>
    </w:tbl>
    <w:p w:rsidR="00683496" w:rsidRPr="002876EA" w:rsidRDefault="00683496" w:rsidP="00683496">
      <w:pPr>
        <w:jc w:val="both"/>
        <w:rPr>
          <w:rFonts w:ascii="Verdana" w:hAnsi="Verdana" w:cs="Arial"/>
        </w:rPr>
      </w:pPr>
    </w:p>
    <w:p w:rsidR="00683496" w:rsidRPr="002876EA" w:rsidRDefault="00683496" w:rsidP="00683496">
      <w:pPr>
        <w:ind w:left="1134" w:hanging="1134"/>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w:t>
      </w:r>
      <w:r>
        <w:rPr>
          <w:rFonts w:ascii="Verdana" w:hAnsi="Verdana" w:cs="Arial"/>
        </w:rPr>
        <w:t>19</w:t>
      </w:r>
      <w:r w:rsidRPr="002876EA">
        <w:rPr>
          <w:rFonts w:ascii="Verdana" w:hAnsi="Verdana" w:cs="Arial"/>
        </w:rPr>
        <w:t xml:space="preserve">. Dopuszczalne odchyłki dotyczące zawartości kruszywa o wymiarze </w:t>
      </w:r>
      <w:r>
        <w:rPr>
          <w:rFonts w:ascii="Verdana" w:hAnsi="Verdana" w:cs="Arial"/>
        </w:rPr>
        <w:br/>
      </w:r>
      <w:r w:rsidRPr="002876EA">
        <w:rPr>
          <w:rFonts w:ascii="Verdana" w:hAnsi="Verdana" w:cs="Arial"/>
        </w:rPr>
        <w:t xml:space="preserve">&lt; D/2 mm, [%(m/m)]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87"/>
        <w:gridCol w:w="3368"/>
      </w:tblGrid>
      <w:tr w:rsidR="00683496" w:rsidRPr="002876EA" w:rsidTr="00683496">
        <w:trPr>
          <w:trHeight w:val="340"/>
        </w:trPr>
        <w:tc>
          <w:tcPr>
            <w:tcW w:w="2552" w:type="dxa"/>
            <w:vMerge w:val="restart"/>
            <w:vAlign w:val="center"/>
          </w:tcPr>
          <w:p w:rsidR="00683496" w:rsidRPr="002876EA" w:rsidRDefault="00683496" w:rsidP="00683496">
            <w:pPr>
              <w:jc w:val="center"/>
              <w:rPr>
                <w:rFonts w:ascii="Verdana" w:hAnsi="Verdana" w:cs="Arial"/>
              </w:rPr>
            </w:pPr>
          </w:p>
          <w:p w:rsidR="00683496" w:rsidRPr="002876EA" w:rsidRDefault="00683496" w:rsidP="00683496">
            <w:pPr>
              <w:jc w:val="center"/>
              <w:rPr>
                <w:rFonts w:ascii="Verdana" w:hAnsi="Verdana" w:cs="Arial"/>
              </w:rPr>
            </w:pPr>
            <w:r w:rsidRPr="002876EA">
              <w:rPr>
                <w:rFonts w:ascii="Verdana" w:hAnsi="Verdana" w:cs="Arial"/>
              </w:rPr>
              <w:t>Rodzaj mieszanki</w:t>
            </w:r>
          </w:p>
          <w:p w:rsidR="00683496" w:rsidRPr="002876EA" w:rsidRDefault="00683496" w:rsidP="00683496">
            <w:pPr>
              <w:jc w:val="center"/>
              <w:rPr>
                <w:rFonts w:ascii="Verdana" w:hAnsi="Verdana" w:cs="Arial"/>
              </w:rPr>
            </w:pPr>
          </w:p>
        </w:tc>
        <w:tc>
          <w:tcPr>
            <w:tcW w:w="7229" w:type="dxa"/>
            <w:gridSpan w:val="2"/>
            <w:vAlign w:val="center"/>
          </w:tcPr>
          <w:p w:rsidR="00683496" w:rsidRPr="002876EA" w:rsidRDefault="00683496" w:rsidP="00683496">
            <w:pPr>
              <w:jc w:val="center"/>
              <w:rPr>
                <w:rFonts w:ascii="Verdana" w:hAnsi="Verdana" w:cs="Arial"/>
              </w:rPr>
            </w:pPr>
            <w:r w:rsidRPr="002876EA">
              <w:rPr>
                <w:rFonts w:ascii="Verdana" w:hAnsi="Verdana" w:cs="Arial"/>
              </w:rPr>
              <w:t>Odchyłka od wartości projektowanej</w:t>
            </w:r>
          </w:p>
        </w:tc>
      </w:tr>
      <w:tr w:rsidR="00683496" w:rsidRPr="002876EA" w:rsidTr="00683496">
        <w:trPr>
          <w:trHeight w:val="340"/>
        </w:trPr>
        <w:tc>
          <w:tcPr>
            <w:tcW w:w="2552" w:type="dxa"/>
            <w:vMerge/>
            <w:vAlign w:val="center"/>
          </w:tcPr>
          <w:p w:rsidR="00683496" w:rsidRPr="002876EA" w:rsidRDefault="00683496" w:rsidP="00683496">
            <w:pPr>
              <w:jc w:val="center"/>
              <w:rPr>
                <w:rFonts w:ascii="Verdana" w:hAnsi="Verdana" w:cs="Arial"/>
              </w:rPr>
            </w:pP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Bez potrąceń</w:t>
            </w:r>
          </w:p>
        </w:tc>
        <w:tc>
          <w:tcPr>
            <w:tcW w:w="3543" w:type="dxa"/>
            <w:vAlign w:val="center"/>
          </w:tcPr>
          <w:p w:rsidR="00683496" w:rsidRPr="002876EA" w:rsidRDefault="00683496" w:rsidP="00683496">
            <w:pPr>
              <w:jc w:val="center"/>
              <w:rPr>
                <w:rFonts w:ascii="Verdana" w:hAnsi="Verdana" w:cs="Arial"/>
              </w:rPr>
            </w:pPr>
            <w:r w:rsidRPr="002876EA">
              <w:rPr>
                <w:rFonts w:ascii="Verdana" w:hAnsi="Verdana" w:cs="Arial"/>
              </w:rPr>
              <w:t>Stosuje się potrącenia</w:t>
            </w:r>
          </w:p>
        </w:tc>
      </w:tr>
      <w:tr w:rsidR="00683496" w:rsidRPr="002876EA" w:rsidTr="00683496">
        <w:trPr>
          <w:trHeight w:val="340"/>
        </w:trPr>
        <w:tc>
          <w:tcPr>
            <w:tcW w:w="2552" w:type="dxa"/>
            <w:vAlign w:val="center"/>
          </w:tcPr>
          <w:p w:rsidR="00683496" w:rsidRPr="002876EA" w:rsidRDefault="00683496" w:rsidP="00683496">
            <w:pPr>
              <w:jc w:val="center"/>
              <w:rPr>
                <w:rFonts w:ascii="Verdana" w:hAnsi="Verdana" w:cs="Arial"/>
              </w:rPr>
            </w:pPr>
            <w:r>
              <w:rPr>
                <w:rFonts w:ascii="Verdana" w:hAnsi="Verdana" w:cs="Arial"/>
              </w:rPr>
              <w:t>AC S</w:t>
            </w: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 ±3</w:t>
            </w:r>
          </w:p>
        </w:tc>
        <w:tc>
          <w:tcPr>
            <w:tcW w:w="3543" w:type="dxa"/>
            <w:vAlign w:val="center"/>
          </w:tcPr>
          <w:p w:rsidR="00683496" w:rsidRPr="002876EA" w:rsidRDefault="00683496" w:rsidP="00683496">
            <w:pPr>
              <w:jc w:val="center"/>
              <w:rPr>
                <w:rFonts w:ascii="Verdana" w:hAnsi="Verdana" w:cs="Arial"/>
              </w:rPr>
            </w:pPr>
            <w:r w:rsidRPr="002876EA">
              <w:rPr>
                <w:rFonts w:ascii="Verdana" w:hAnsi="Verdana" w:cs="Arial"/>
              </w:rPr>
              <w:t>±4 ÷ ±6</w:t>
            </w:r>
          </w:p>
        </w:tc>
      </w:tr>
    </w:tbl>
    <w:p w:rsidR="00683496" w:rsidRDefault="00683496" w:rsidP="00683496">
      <w:pPr>
        <w:rPr>
          <w:rFonts w:ascii="Verdana" w:hAnsi="Verdana" w:cs="Arial"/>
        </w:rPr>
      </w:pPr>
    </w:p>
    <w:p w:rsidR="00683496" w:rsidRPr="002876EA" w:rsidRDefault="00683496" w:rsidP="00683496">
      <w:pPr>
        <w:ind w:left="1134" w:hanging="1134"/>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2</w:t>
      </w:r>
      <w:r>
        <w:rPr>
          <w:rFonts w:ascii="Verdana" w:hAnsi="Verdana" w:cs="Arial"/>
        </w:rPr>
        <w:t>0</w:t>
      </w:r>
      <w:r w:rsidRPr="002876EA">
        <w:rPr>
          <w:rFonts w:ascii="Verdana" w:hAnsi="Verdana" w:cs="Arial"/>
        </w:rPr>
        <w:t xml:space="preserve">. Dopuszczalne odchyłki dotyczące zawartości kruszywa o wymiarze </w:t>
      </w:r>
      <w:r>
        <w:rPr>
          <w:rFonts w:ascii="Verdana" w:hAnsi="Verdana" w:cs="Arial"/>
        </w:rPr>
        <w:br/>
      </w:r>
      <w:r w:rsidRPr="002876EA">
        <w:rPr>
          <w:rFonts w:ascii="Verdana" w:hAnsi="Verdana" w:cs="Arial"/>
        </w:rPr>
        <w:t xml:space="preserve">&lt; D mm, [%(m/m)]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87"/>
        <w:gridCol w:w="3368"/>
      </w:tblGrid>
      <w:tr w:rsidR="00683496" w:rsidRPr="002876EA" w:rsidTr="00683496">
        <w:trPr>
          <w:trHeight w:val="340"/>
        </w:trPr>
        <w:tc>
          <w:tcPr>
            <w:tcW w:w="2552" w:type="dxa"/>
            <w:vMerge w:val="restart"/>
            <w:vAlign w:val="center"/>
          </w:tcPr>
          <w:p w:rsidR="00683496" w:rsidRPr="002876EA" w:rsidRDefault="00683496" w:rsidP="00683496">
            <w:pPr>
              <w:jc w:val="center"/>
              <w:rPr>
                <w:rFonts w:ascii="Verdana" w:hAnsi="Verdana" w:cs="Arial"/>
              </w:rPr>
            </w:pPr>
          </w:p>
          <w:p w:rsidR="00683496" w:rsidRPr="002876EA" w:rsidRDefault="00683496" w:rsidP="00683496">
            <w:pPr>
              <w:jc w:val="center"/>
              <w:rPr>
                <w:rFonts w:ascii="Verdana" w:hAnsi="Verdana" w:cs="Arial"/>
              </w:rPr>
            </w:pPr>
            <w:r w:rsidRPr="002876EA">
              <w:rPr>
                <w:rFonts w:ascii="Verdana" w:hAnsi="Verdana" w:cs="Arial"/>
              </w:rPr>
              <w:t>Rodzaj mieszanki</w:t>
            </w:r>
          </w:p>
          <w:p w:rsidR="00683496" w:rsidRPr="002876EA" w:rsidRDefault="00683496" w:rsidP="00683496">
            <w:pPr>
              <w:jc w:val="center"/>
              <w:rPr>
                <w:rFonts w:ascii="Verdana" w:hAnsi="Verdana" w:cs="Arial"/>
              </w:rPr>
            </w:pPr>
          </w:p>
        </w:tc>
        <w:tc>
          <w:tcPr>
            <w:tcW w:w="7229" w:type="dxa"/>
            <w:gridSpan w:val="2"/>
            <w:vAlign w:val="center"/>
          </w:tcPr>
          <w:p w:rsidR="00683496" w:rsidRPr="002876EA" w:rsidRDefault="00683496" w:rsidP="00683496">
            <w:pPr>
              <w:jc w:val="center"/>
              <w:rPr>
                <w:rFonts w:ascii="Verdana" w:hAnsi="Verdana" w:cs="Arial"/>
              </w:rPr>
            </w:pPr>
            <w:r w:rsidRPr="002876EA">
              <w:rPr>
                <w:rFonts w:ascii="Verdana" w:hAnsi="Verdana" w:cs="Arial"/>
              </w:rPr>
              <w:t>Odchyłka od wartości projektowanej</w:t>
            </w:r>
          </w:p>
        </w:tc>
      </w:tr>
      <w:tr w:rsidR="00683496" w:rsidRPr="002876EA" w:rsidTr="00683496">
        <w:trPr>
          <w:trHeight w:val="340"/>
        </w:trPr>
        <w:tc>
          <w:tcPr>
            <w:tcW w:w="2552" w:type="dxa"/>
            <w:vMerge/>
            <w:vAlign w:val="center"/>
          </w:tcPr>
          <w:p w:rsidR="00683496" w:rsidRPr="002876EA" w:rsidRDefault="00683496" w:rsidP="00683496">
            <w:pPr>
              <w:jc w:val="center"/>
              <w:rPr>
                <w:rFonts w:ascii="Verdana" w:hAnsi="Verdana" w:cs="Arial"/>
              </w:rPr>
            </w:pP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Bez potrąceń</w:t>
            </w:r>
          </w:p>
        </w:tc>
        <w:tc>
          <w:tcPr>
            <w:tcW w:w="3543" w:type="dxa"/>
            <w:vAlign w:val="center"/>
          </w:tcPr>
          <w:p w:rsidR="00683496" w:rsidRPr="002876EA" w:rsidRDefault="00683496" w:rsidP="00683496">
            <w:pPr>
              <w:jc w:val="center"/>
              <w:rPr>
                <w:rFonts w:ascii="Verdana" w:hAnsi="Verdana" w:cs="Arial"/>
              </w:rPr>
            </w:pPr>
            <w:r w:rsidRPr="002876EA">
              <w:rPr>
                <w:rFonts w:ascii="Verdana" w:hAnsi="Verdana" w:cs="Arial"/>
              </w:rPr>
              <w:t>Stosuje się potrącenia</w:t>
            </w:r>
          </w:p>
        </w:tc>
      </w:tr>
      <w:tr w:rsidR="00683496" w:rsidRPr="002876EA" w:rsidTr="00683496">
        <w:trPr>
          <w:trHeight w:val="340"/>
        </w:trPr>
        <w:tc>
          <w:tcPr>
            <w:tcW w:w="2552" w:type="dxa"/>
            <w:vAlign w:val="center"/>
          </w:tcPr>
          <w:p w:rsidR="00683496" w:rsidRPr="002876EA" w:rsidRDefault="00683496" w:rsidP="00683496">
            <w:pPr>
              <w:jc w:val="center"/>
              <w:rPr>
                <w:rFonts w:ascii="Verdana" w:hAnsi="Verdana" w:cs="Arial"/>
              </w:rPr>
            </w:pPr>
            <w:r>
              <w:rPr>
                <w:rFonts w:ascii="Verdana" w:hAnsi="Verdana" w:cs="Arial"/>
              </w:rPr>
              <w:t>AC S</w:t>
            </w:r>
          </w:p>
        </w:tc>
        <w:tc>
          <w:tcPr>
            <w:tcW w:w="3686" w:type="dxa"/>
            <w:vAlign w:val="center"/>
          </w:tcPr>
          <w:p w:rsidR="00683496" w:rsidRPr="002876EA" w:rsidRDefault="00683496" w:rsidP="00683496">
            <w:pPr>
              <w:jc w:val="center"/>
              <w:rPr>
                <w:rFonts w:ascii="Verdana" w:hAnsi="Verdana" w:cs="Arial"/>
              </w:rPr>
            </w:pPr>
            <w:r w:rsidRPr="002876EA">
              <w:rPr>
                <w:rFonts w:ascii="Verdana" w:hAnsi="Verdana" w:cs="Arial"/>
              </w:rPr>
              <w:t>≤ ±3</w:t>
            </w:r>
          </w:p>
        </w:tc>
        <w:tc>
          <w:tcPr>
            <w:tcW w:w="3543" w:type="dxa"/>
            <w:vAlign w:val="center"/>
          </w:tcPr>
          <w:p w:rsidR="00683496" w:rsidRPr="002876EA" w:rsidRDefault="00683496" w:rsidP="00683496">
            <w:pPr>
              <w:jc w:val="center"/>
              <w:rPr>
                <w:rFonts w:ascii="Verdana" w:hAnsi="Verdana" w:cs="Arial"/>
              </w:rPr>
            </w:pPr>
            <w:r w:rsidRPr="002876EA">
              <w:rPr>
                <w:rFonts w:ascii="Verdana" w:hAnsi="Verdana" w:cs="Arial"/>
              </w:rPr>
              <w:t>±4 ÷ ±6</w:t>
            </w:r>
          </w:p>
        </w:tc>
      </w:tr>
    </w:tbl>
    <w:p w:rsidR="00683496" w:rsidRPr="002876EA" w:rsidRDefault="00683496" w:rsidP="00683496">
      <w:pPr>
        <w:jc w:val="both"/>
        <w:rPr>
          <w:rFonts w:ascii="Verdana" w:hAnsi="Verdana" w:cs="Arial"/>
        </w:rPr>
      </w:pPr>
    </w:p>
    <w:p w:rsidR="00683496" w:rsidRPr="002876EA" w:rsidRDefault="00683496" w:rsidP="00683496">
      <w:pPr>
        <w:jc w:val="both"/>
        <w:rPr>
          <w:rFonts w:ascii="Verdana" w:hAnsi="Verdana" w:cs="Arial"/>
        </w:rPr>
      </w:pPr>
      <w:r w:rsidRPr="002876EA">
        <w:rPr>
          <w:rFonts w:ascii="Verdana" w:hAnsi="Verdana" w:cs="Arial"/>
        </w:rPr>
        <w:t xml:space="preserve">Uziarnienie każdej próbki pobranej z luźnej mieszanki mineralno-asfaltowej nie może odbiegać od wartości projektowanej, z uwzględnieniem dopuszczalnych odchyłek podanych w </w:t>
      </w:r>
      <w:r>
        <w:rPr>
          <w:rFonts w:ascii="Verdana" w:hAnsi="Verdana" w:cs="Arial"/>
        </w:rPr>
        <w:t>tabelach</w:t>
      </w:r>
      <w:r w:rsidRPr="002876EA">
        <w:rPr>
          <w:rFonts w:ascii="Verdana" w:hAnsi="Verdana" w:cs="Arial"/>
        </w:rPr>
        <w:t xml:space="preserve"> 1</w:t>
      </w:r>
      <w:r>
        <w:rPr>
          <w:rFonts w:ascii="Verdana" w:hAnsi="Verdana" w:cs="Arial"/>
        </w:rPr>
        <w:t>6</w:t>
      </w:r>
      <w:r w:rsidRPr="002876EA">
        <w:rPr>
          <w:rFonts w:ascii="Verdana" w:hAnsi="Verdana" w:cs="Arial"/>
        </w:rPr>
        <w:t>-2</w:t>
      </w:r>
      <w:r>
        <w:rPr>
          <w:rFonts w:ascii="Verdana" w:hAnsi="Verdana" w:cs="Arial"/>
        </w:rPr>
        <w:t>0</w:t>
      </w:r>
      <w:r w:rsidRPr="002876EA">
        <w:rPr>
          <w:rFonts w:ascii="Verdana" w:hAnsi="Verdana" w:cs="Arial"/>
        </w:rPr>
        <w:t>.</w:t>
      </w:r>
    </w:p>
    <w:p w:rsidR="00683496" w:rsidRPr="002876EA" w:rsidRDefault="00683496" w:rsidP="00683496">
      <w:pPr>
        <w:jc w:val="both"/>
        <w:rPr>
          <w:rFonts w:ascii="Verdana" w:hAnsi="Verdana" w:cs="Arial"/>
        </w:rPr>
      </w:pPr>
      <w:r w:rsidRPr="002876EA">
        <w:rPr>
          <w:rFonts w:ascii="Verdana" w:hAnsi="Verdana" w:cs="Arial"/>
        </w:rPr>
        <w:lastRenderedPageBreak/>
        <w:t>Wymagania dotyczące udziału kruszywa grubego, drobnego i wypełniacza powinny być spełnione jednocześnie.</w:t>
      </w:r>
    </w:p>
    <w:p w:rsidR="00683496" w:rsidRPr="002876EA" w:rsidRDefault="00683496" w:rsidP="00683496">
      <w:pPr>
        <w:jc w:val="both"/>
        <w:rPr>
          <w:rFonts w:ascii="Verdana" w:hAnsi="Verdana" w:cs="Arial"/>
        </w:rPr>
      </w:pPr>
      <w:r w:rsidRPr="002876EA">
        <w:rPr>
          <w:rFonts w:ascii="Verdana" w:hAnsi="Verdana" w:cs="Arial"/>
        </w:rPr>
        <w:t xml:space="preserve">Zawartość </w:t>
      </w:r>
      <w:r>
        <w:rPr>
          <w:rFonts w:ascii="Verdana" w:hAnsi="Verdana" w:cs="Arial"/>
        </w:rPr>
        <w:t xml:space="preserve">asfaltu </w:t>
      </w:r>
      <w:r w:rsidRPr="002876EA">
        <w:rPr>
          <w:rFonts w:ascii="Verdana" w:hAnsi="Verdana" w:cs="Arial"/>
        </w:rPr>
        <w:t>rozpuszczalnego z każdej próbki pobranej z mieszanki mineralno-asfaltowej lub wyjątkowo z próbki pobranej z nawierzchni nie może odbiegać od wartości asfaltu rozpuszczalnego określonego w recepcie, z uwzględnieniem podanych dopuszczalnych odchyłek w tab</w:t>
      </w:r>
      <w:r>
        <w:rPr>
          <w:rFonts w:ascii="Verdana" w:hAnsi="Verdana" w:cs="Arial"/>
        </w:rPr>
        <w:t>eli</w:t>
      </w:r>
      <w:r w:rsidRPr="002876EA">
        <w:rPr>
          <w:rFonts w:ascii="Verdana" w:hAnsi="Verdana" w:cs="Arial"/>
        </w:rPr>
        <w:t xml:space="preserve"> 1</w:t>
      </w:r>
      <w:r>
        <w:rPr>
          <w:rFonts w:ascii="Verdana" w:hAnsi="Verdana" w:cs="Arial"/>
        </w:rPr>
        <w:t>5</w:t>
      </w:r>
      <w:r w:rsidRPr="002876EA">
        <w:rPr>
          <w:rFonts w:ascii="Verdana" w:hAnsi="Verdana" w:cs="Arial"/>
        </w:rPr>
        <w:t>.</w:t>
      </w:r>
    </w:p>
    <w:p w:rsidR="00683496" w:rsidRPr="00846861" w:rsidRDefault="00683496" w:rsidP="00683496">
      <w:pPr>
        <w:jc w:val="both"/>
        <w:rPr>
          <w:rFonts w:ascii="Verdana" w:hAnsi="Verdana" w:cs="Arial"/>
          <w:u w:val="single"/>
        </w:rPr>
      </w:pPr>
      <w:r w:rsidRPr="00846861">
        <w:rPr>
          <w:rFonts w:ascii="Verdana" w:hAnsi="Verdana" w:cs="Arial"/>
          <w:u w:val="single"/>
        </w:rPr>
        <w:t>UWAGA!</w:t>
      </w:r>
    </w:p>
    <w:p w:rsidR="00683496" w:rsidRPr="00971093" w:rsidRDefault="00683496" w:rsidP="00683496">
      <w:pPr>
        <w:ind w:left="567"/>
        <w:jc w:val="both"/>
        <w:rPr>
          <w:rFonts w:ascii="Verdana" w:hAnsi="Verdana" w:cs="Arial"/>
        </w:rPr>
      </w:pPr>
      <w:r w:rsidRPr="00971093">
        <w:rPr>
          <w:rFonts w:ascii="Verdana" w:hAnsi="Verdana" w:cs="Arial"/>
        </w:rPr>
        <w:t>Po przekroczeniu odchyłek dopuszczalnych Wykonawca przedstawi program naprawczy lub usunie warstwy niewłaściwie wykonane.</w:t>
      </w:r>
    </w:p>
    <w:p w:rsidR="00683496" w:rsidRPr="002876EA" w:rsidRDefault="00683496" w:rsidP="00683496">
      <w:pPr>
        <w:jc w:val="both"/>
        <w:rPr>
          <w:rFonts w:ascii="Verdana" w:hAnsi="Verdana" w:cs="Arial"/>
        </w:rPr>
      </w:pPr>
    </w:p>
    <w:p w:rsidR="00683496" w:rsidRPr="002876EA" w:rsidRDefault="00683496" w:rsidP="00683496">
      <w:pPr>
        <w:jc w:val="both"/>
        <w:rPr>
          <w:rFonts w:ascii="Verdana" w:hAnsi="Verdana" w:cs="Arial"/>
        </w:rPr>
      </w:pPr>
      <w:r w:rsidRPr="002876EA">
        <w:rPr>
          <w:rFonts w:ascii="Verdana" w:hAnsi="Verdana" w:cs="Arial"/>
        </w:rPr>
        <w:t>Potrącenia na nieprawidłową zawartość asfaltu</w:t>
      </w:r>
      <w:r>
        <w:rPr>
          <w:rFonts w:ascii="Verdana" w:hAnsi="Verdana" w:cs="Arial"/>
        </w:rPr>
        <w:t xml:space="preserve"> rozpuszczalnego</w:t>
      </w:r>
      <w:r w:rsidRPr="002876EA">
        <w:rPr>
          <w:rFonts w:ascii="Verdana" w:hAnsi="Verdana" w:cs="Arial"/>
        </w:rPr>
        <w:t xml:space="preserve"> oblicza się na podstawie następującego wzoru</w:t>
      </w:r>
      <w:r>
        <w:rPr>
          <w:rFonts w:ascii="Verdana" w:hAnsi="Verdana" w:cs="Arial"/>
        </w:rPr>
        <w:t>:</w:t>
      </w:r>
    </w:p>
    <w:p w:rsidR="00683496" w:rsidRPr="002876EA" w:rsidRDefault="00683496" w:rsidP="00683496">
      <w:pPr>
        <w:jc w:val="both"/>
        <w:rPr>
          <w:rFonts w:ascii="Verdana" w:hAnsi="Verdana" w:cs="Arial"/>
        </w:rPr>
      </w:pPr>
      <w:r w:rsidRPr="002876EA">
        <w:rPr>
          <w:rFonts w:ascii="Verdana" w:hAnsi="Verdana" w:cs="Arial"/>
        </w:rPr>
        <w:t>P = A*p</w:t>
      </w:r>
      <w:r w:rsidRPr="002876EA">
        <w:rPr>
          <w:rFonts w:ascii="Verdana" w:hAnsi="Verdana" w:cs="Arial"/>
          <w:vertAlign w:val="subscript"/>
        </w:rPr>
        <w:t>a</w:t>
      </w:r>
      <w:r w:rsidRPr="002876EA">
        <w:rPr>
          <w:rFonts w:ascii="Verdana" w:hAnsi="Verdana" w:cs="Arial"/>
        </w:rPr>
        <w:t>*</w:t>
      </w:r>
      <w:proofErr w:type="spellStart"/>
      <w:r w:rsidRPr="002876EA">
        <w:rPr>
          <w:rFonts w:ascii="Verdana" w:hAnsi="Verdana" w:cs="Arial"/>
        </w:rPr>
        <w:t>c</w:t>
      </w:r>
      <w:r w:rsidRPr="002876EA">
        <w:rPr>
          <w:rFonts w:ascii="Verdana" w:hAnsi="Verdana" w:cs="Arial"/>
          <w:vertAlign w:val="subscript"/>
        </w:rPr>
        <w:t>j</w:t>
      </w:r>
      <w:proofErr w:type="spellEnd"/>
      <w:r w:rsidRPr="002876EA">
        <w:rPr>
          <w:rFonts w:ascii="Verdana" w:hAnsi="Verdana" w:cs="Arial"/>
          <w:vertAlign w:val="subscript"/>
        </w:rPr>
        <w:t xml:space="preserve"> </w:t>
      </w:r>
    </w:p>
    <w:p w:rsidR="00683496" w:rsidRPr="002876EA" w:rsidRDefault="00683496" w:rsidP="00683496">
      <w:pPr>
        <w:jc w:val="both"/>
        <w:rPr>
          <w:rFonts w:ascii="Verdana" w:hAnsi="Verdana" w:cs="Arial"/>
        </w:rPr>
      </w:pPr>
      <w:r w:rsidRPr="002876EA">
        <w:rPr>
          <w:rFonts w:ascii="Verdana" w:hAnsi="Verdana" w:cs="Arial"/>
        </w:rPr>
        <w:t xml:space="preserve">A </w:t>
      </w:r>
      <w:r>
        <w:rPr>
          <w:rFonts w:ascii="Verdana" w:hAnsi="Verdana" w:cs="Arial"/>
        </w:rPr>
        <w:t>–</w:t>
      </w:r>
      <w:r w:rsidRPr="002876EA">
        <w:rPr>
          <w:rFonts w:ascii="Verdana" w:hAnsi="Verdana" w:cs="Arial"/>
        </w:rPr>
        <w:t xml:space="preserve"> powierzchnia</w:t>
      </w:r>
      <w:r>
        <w:rPr>
          <w:rFonts w:ascii="Verdana" w:hAnsi="Verdana" w:cs="Arial"/>
        </w:rPr>
        <w:t xml:space="preserve"> w m</w:t>
      </w:r>
      <w:r>
        <w:rPr>
          <w:rFonts w:ascii="Verdana" w:hAnsi="Verdana" w:cs="Arial"/>
          <w:vertAlign w:val="superscript"/>
        </w:rPr>
        <w:t>2</w:t>
      </w:r>
      <w:r w:rsidRPr="002876EA">
        <w:rPr>
          <w:rFonts w:ascii="Verdana" w:hAnsi="Verdana" w:cs="Arial"/>
        </w:rPr>
        <w:t xml:space="preserve"> </w:t>
      </w:r>
    </w:p>
    <w:p w:rsidR="00683496" w:rsidRPr="002876EA" w:rsidRDefault="00683496" w:rsidP="00683496">
      <w:pPr>
        <w:jc w:val="both"/>
        <w:rPr>
          <w:rFonts w:ascii="Verdana" w:hAnsi="Verdana" w:cs="Arial"/>
        </w:rPr>
      </w:pPr>
      <w:r w:rsidRPr="002876EA">
        <w:rPr>
          <w:rFonts w:ascii="Verdana" w:hAnsi="Verdana" w:cs="Arial"/>
        </w:rPr>
        <w:t>p</w:t>
      </w:r>
      <w:r w:rsidRPr="002876EA">
        <w:rPr>
          <w:rFonts w:ascii="Verdana" w:hAnsi="Verdana" w:cs="Arial"/>
          <w:vertAlign w:val="subscript"/>
        </w:rPr>
        <w:t>a</w:t>
      </w:r>
      <w:r w:rsidRPr="002876EA">
        <w:rPr>
          <w:rFonts w:ascii="Verdana" w:hAnsi="Verdana" w:cs="Arial"/>
        </w:rPr>
        <w:t xml:space="preserve"> - współczynnik do obliczania potrąceń za niewłaściwą ilość </w:t>
      </w:r>
      <w:r>
        <w:rPr>
          <w:rFonts w:ascii="Verdana" w:hAnsi="Verdana" w:cs="Arial"/>
        </w:rPr>
        <w:t>asfaltu rozpuszczalnego</w:t>
      </w:r>
    </w:p>
    <w:p w:rsidR="00683496" w:rsidRPr="002876EA" w:rsidRDefault="00683496" w:rsidP="00683496">
      <w:pPr>
        <w:jc w:val="both"/>
        <w:rPr>
          <w:rFonts w:ascii="Verdana" w:hAnsi="Verdana" w:cs="Arial"/>
        </w:rPr>
      </w:pPr>
      <w:proofErr w:type="spellStart"/>
      <w:r w:rsidRPr="002876EA">
        <w:rPr>
          <w:rFonts w:ascii="Verdana" w:hAnsi="Verdana" w:cs="Arial"/>
        </w:rPr>
        <w:t>c</w:t>
      </w:r>
      <w:r w:rsidRPr="002876EA">
        <w:rPr>
          <w:rFonts w:ascii="Verdana" w:hAnsi="Verdana" w:cs="Arial"/>
          <w:vertAlign w:val="subscript"/>
        </w:rPr>
        <w:t>j</w:t>
      </w:r>
      <w:proofErr w:type="spellEnd"/>
      <w:r w:rsidRPr="002876EA">
        <w:rPr>
          <w:rFonts w:ascii="Verdana" w:hAnsi="Verdana" w:cs="Arial"/>
        </w:rPr>
        <w:t xml:space="preserve"> - cena jednostkowa </w:t>
      </w:r>
    </w:p>
    <w:p w:rsidR="00683496" w:rsidRPr="002876EA" w:rsidRDefault="00683496" w:rsidP="00683496">
      <w:pPr>
        <w:jc w:val="both"/>
        <w:rPr>
          <w:rFonts w:ascii="Verdana" w:hAnsi="Verdana" w:cs="Arial"/>
        </w:rPr>
      </w:pPr>
      <w:r w:rsidRPr="002876EA">
        <w:rPr>
          <w:rFonts w:ascii="Verdana" w:hAnsi="Verdana" w:cs="Arial"/>
        </w:rPr>
        <w:t>P - potrącenia</w:t>
      </w:r>
    </w:p>
    <w:tbl>
      <w:tblPr>
        <w:tblW w:w="7568" w:type="dxa"/>
        <w:jc w:val="center"/>
        <w:tblCellMar>
          <w:left w:w="70" w:type="dxa"/>
          <w:right w:w="70" w:type="dxa"/>
        </w:tblCellMar>
        <w:tblLook w:val="0000" w:firstRow="0" w:lastRow="0" w:firstColumn="0" w:lastColumn="0" w:noHBand="0" w:noVBand="0"/>
      </w:tblPr>
      <w:tblGrid>
        <w:gridCol w:w="5073"/>
        <w:gridCol w:w="858"/>
        <w:gridCol w:w="858"/>
        <w:gridCol w:w="779"/>
      </w:tblGrid>
      <w:tr w:rsidR="00683496" w:rsidRPr="002876EA" w:rsidTr="00683496">
        <w:trPr>
          <w:trHeight w:val="255"/>
          <w:jc w:val="center"/>
        </w:trPr>
        <w:tc>
          <w:tcPr>
            <w:tcW w:w="7568" w:type="dxa"/>
            <w:gridSpan w:val="4"/>
            <w:tcBorders>
              <w:top w:val="nil"/>
              <w:left w:val="nil"/>
              <w:bottom w:val="nil"/>
              <w:right w:val="nil"/>
            </w:tcBorders>
            <w:noWrap/>
            <w:vAlign w:val="bottom"/>
          </w:tcPr>
          <w:p w:rsidR="00683496" w:rsidRPr="002876EA" w:rsidRDefault="00683496" w:rsidP="00683496">
            <w:pPr>
              <w:jc w:val="both"/>
              <w:rPr>
                <w:rFonts w:ascii="Verdana" w:hAnsi="Verdana" w:cs="Arial"/>
              </w:rPr>
            </w:pPr>
          </w:p>
          <w:p w:rsidR="00683496" w:rsidRPr="002876EA" w:rsidRDefault="00683496" w:rsidP="00683496">
            <w:pPr>
              <w:jc w:val="both"/>
              <w:rPr>
                <w:rFonts w:ascii="Verdana" w:hAnsi="Verdana" w:cs="Arial"/>
              </w:rPr>
            </w:pPr>
            <w:r w:rsidRPr="002876EA">
              <w:rPr>
                <w:rFonts w:ascii="Verdana" w:hAnsi="Verdana" w:cs="Arial"/>
              </w:rPr>
              <w:t>Współczynnik "p</w:t>
            </w:r>
            <w:r w:rsidRPr="002876EA">
              <w:rPr>
                <w:rFonts w:ascii="Verdana" w:hAnsi="Verdana" w:cs="Arial"/>
                <w:vertAlign w:val="subscript"/>
              </w:rPr>
              <w:t>a</w:t>
            </w:r>
            <w:r w:rsidRPr="002876EA">
              <w:rPr>
                <w:rFonts w:ascii="Verdana" w:hAnsi="Verdana" w:cs="Arial"/>
              </w:rPr>
              <w:t xml:space="preserve">" do obliczania potrąceń za niewłaściwą ilość </w:t>
            </w:r>
            <w:r>
              <w:rPr>
                <w:rFonts w:ascii="Verdana" w:hAnsi="Verdana" w:cs="Arial"/>
              </w:rPr>
              <w:t>asfaltu rozpuszczalnego</w:t>
            </w:r>
          </w:p>
        </w:tc>
      </w:tr>
      <w:tr w:rsidR="00683496" w:rsidRPr="002876EA" w:rsidTr="00683496">
        <w:trPr>
          <w:trHeight w:val="255"/>
          <w:jc w:val="center"/>
        </w:trPr>
        <w:tc>
          <w:tcPr>
            <w:tcW w:w="5073" w:type="dxa"/>
            <w:tcBorders>
              <w:top w:val="nil"/>
              <w:left w:val="nil"/>
              <w:bottom w:val="nil"/>
              <w:right w:val="nil"/>
            </w:tcBorders>
            <w:noWrap/>
            <w:vAlign w:val="bottom"/>
          </w:tcPr>
          <w:p w:rsidR="00683496" w:rsidRPr="002876EA" w:rsidRDefault="00683496" w:rsidP="00683496">
            <w:pPr>
              <w:jc w:val="both"/>
              <w:rPr>
                <w:rFonts w:ascii="Verdana" w:hAnsi="Verdana" w:cs="Arial"/>
              </w:rPr>
            </w:pPr>
          </w:p>
        </w:tc>
        <w:tc>
          <w:tcPr>
            <w:tcW w:w="858" w:type="dxa"/>
            <w:tcBorders>
              <w:top w:val="nil"/>
              <w:left w:val="nil"/>
              <w:bottom w:val="nil"/>
              <w:right w:val="nil"/>
            </w:tcBorders>
            <w:noWrap/>
            <w:vAlign w:val="bottom"/>
          </w:tcPr>
          <w:p w:rsidR="00683496" w:rsidRPr="002876EA" w:rsidRDefault="00683496" w:rsidP="00683496">
            <w:pPr>
              <w:jc w:val="both"/>
              <w:rPr>
                <w:rFonts w:ascii="Verdana" w:hAnsi="Verdana" w:cs="Arial"/>
              </w:rPr>
            </w:pPr>
          </w:p>
        </w:tc>
        <w:tc>
          <w:tcPr>
            <w:tcW w:w="858" w:type="dxa"/>
            <w:tcBorders>
              <w:top w:val="nil"/>
              <w:left w:val="nil"/>
              <w:bottom w:val="nil"/>
              <w:right w:val="nil"/>
            </w:tcBorders>
            <w:noWrap/>
            <w:vAlign w:val="bottom"/>
          </w:tcPr>
          <w:p w:rsidR="00683496" w:rsidRPr="002876EA" w:rsidRDefault="00683496" w:rsidP="00683496">
            <w:pPr>
              <w:jc w:val="both"/>
              <w:rPr>
                <w:rFonts w:ascii="Verdana" w:hAnsi="Verdana" w:cs="Arial"/>
              </w:rPr>
            </w:pPr>
          </w:p>
        </w:tc>
        <w:tc>
          <w:tcPr>
            <w:tcW w:w="779" w:type="dxa"/>
            <w:tcBorders>
              <w:top w:val="nil"/>
              <w:left w:val="nil"/>
              <w:bottom w:val="nil"/>
              <w:right w:val="nil"/>
            </w:tcBorders>
            <w:noWrap/>
            <w:vAlign w:val="bottom"/>
          </w:tcPr>
          <w:p w:rsidR="00683496" w:rsidRPr="002876EA" w:rsidRDefault="00683496" w:rsidP="00683496">
            <w:pPr>
              <w:jc w:val="both"/>
              <w:rPr>
                <w:rFonts w:ascii="Verdana" w:hAnsi="Verdana" w:cs="Arial"/>
              </w:rPr>
            </w:pPr>
          </w:p>
        </w:tc>
      </w:tr>
      <w:tr w:rsidR="00683496" w:rsidRPr="002876EA" w:rsidTr="00683496">
        <w:trPr>
          <w:trHeight w:val="255"/>
          <w:jc w:val="center"/>
        </w:trPr>
        <w:tc>
          <w:tcPr>
            <w:tcW w:w="5073" w:type="dxa"/>
            <w:tcBorders>
              <w:top w:val="single" w:sz="4" w:space="0" w:color="auto"/>
              <w:left w:val="single" w:sz="4" w:space="0" w:color="auto"/>
              <w:bottom w:val="single" w:sz="4" w:space="0" w:color="auto"/>
              <w:right w:val="single" w:sz="4" w:space="0" w:color="auto"/>
            </w:tcBorders>
            <w:noWrap/>
            <w:vAlign w:val="bottom"/>
          </w:tcPr>
          <w:p w:rsidR="00683496" w:rsidRPr="002876EA" w:rsidRDefault="00683496" w:rsidP="00683496">
            <w:pPr>
              <w:jc w:val="both"/>
              <w:rPr>
                <w:rFonts w:ascii="Verdana" w:hAnsi="Verdana" w:cs="Arial"/>
              </w:rPr>
            </w:pPr>
            <w:r w:rsidRPr="002876EA">
              <w:rPr>
                <w:rFonts w:ascii="Verdana" w:hAnsi="Verdana" w:cs="Arial"/>
              </w:rPr>
              <w:t>Odchylenie od recepty w %</w:t>
            </w:r>
          </w:p>
        </w:tc>
        <w:tc>
          <w:tcPr>
            <w:tcW w:w="858" w:type="dxa"/>
            <w:tcBorders>
              <w:top w:val="single" w:sz="4" w:space="0" w:color="auto"/>
              <w:left w:val="nil"/>
              <w:bottom w:val="single" w:sz="4" w:space="0" w:color="auto"/>
              <w:right w:val="single" w:sz="4" w:space="0" w:color="auto"/>
            </w:tcBorders>
            <w:noWrap/>
            <w:vAlign w:val="bottom"/>
          </w:tcPr>
          <w:p w:rsidR="00683496" w:rsidRPr="002876EA" w:rsidRDefault="00683496" w:rsidP="00683496">
            <w:pPr>
              <w:jc w:val="center"/>
              <w:rPr>
                <w:rFonts w:ascii="Verdana" w:hAnsi="Verdana" w:cs="Arial"/>
                <w:bCs/>
              </w:rPr>
            </w:pPr>
            <w:r w:rsidRPr="002876EA">
              <w:rPr>
                <w:rFonts w:ascii="Verdana" w:hAnsi="Verdana" w:cs="Arial"/>
                <w:bCs/>
              </w:rPr>
              <w:t>0,4</w:t>
            </w:r>
          </w:p>
        </w:tc>
        <w:tc>
          <w:tcPr>
            <w:tcW w:w="858" w:type="dxa"/>
            <w:tcBorders>
              <w:top w:val="single" w:sz="4" w:space="0" w:color="auto"/>
              <w:left w:val="nil"/>
              <w:bottom w:val="single" w:sz="4" w:space="0" w:color="auto"/>
              <w:right w:val="single" w:sz="4" w:space="0" w:color="auto"/>
            </w:tcBorders>
            <w:noWrap/>
            <w:vAlign w:val="bottom"/>
          </w:tcPr>
          <w:p w:rsidR="00683496" w:rsidRPr="002876EA" w:rsidRDefault="00683496" w:rsidP="00683496">
            <w:pPr>
              <w:jc w:val="center"/>
              <w:rPr>
                <w:rFonts w:ascii="Verdana" w:hAnsi="Verdana" w:cs="Arial"/>
                <w:bCs/>
              </w:rPr>
            </w:pPr>
            <w:r w:rsidRPr="002876EA">
              <w:rPr>
                <w:rFonts w:ascii="Verdana" w:hAnsi="Verdana" w:cs="Arial"/>
                <w:bCs/>
              </w:rPr>
              <w:t>0,5</w:t>
            </w:r>
          </w:p>
        </w:tc>
        <w:tc>
          <w:tcPr>
            <w:tcW w:w="779" w:type="dxa"/>
            <w:tcBorders>
              <w:top w:val="single" w:sz="4" w:space="0" w:color="auto"/>
              <w:left w:val="nil"/>
              <w:bottom w:val="single" w:sz="4" w:space="0" w:color="auto"/>
              <w:right w:val="single" w:sz="4" w:space="0" w:color="auto"/>
            </w:tcBorders>
            <w:noWrap/>
            <w:vAlign w:val="bottom"/>
          </w:tcPr>
          <w:p w:rsidR="00683496" w:rsidRPr="002876EA" w:rsidRDefault="00683496" w:rsidP="00683496">
            <w:pPr>
              <w:jc w:val="center"/>
              <w:rPr>
                <w:rFonts w:ascii="Verdana" w:hAnsi="Verdana" w:cs="Arial"/>
                <w:i/>
                <w:iCs/>
              </w:rPr>
            </w:pPr>
            <w:r w:rsidRPr="002876EA">
              <w:rPr>
                <w:rFonts w:ascii="Verdana" w:hAnsi="Verdana" w:cs="Arial"/>
                <w:i/>
                <w:iCs/>
              </w:rPr>
              <w:t>-</w:t>
            </w:r>
          </w:p>
        </w:tc>
      </w:tr>
      <w:tr w:rsidR="00683496" w:rsidRPr="002876EA" w:rsidTr="00683496">
        <w:trPr>
          <w:trHeight w:val="255"/>
          <w:jc w:val="center"/>
        </w:trPr>
        <w:tc>
          <w:tcPr>
            <w:tcW w:w="5073" w:type="dxa"/>
            <w:tcBorders>
              <w:top w:val="nil"/>
              <w:left w:val="single" w:sz="4" w:space="0" w:color="auto"/>
              <w:bottom w:val="single" w:sz="4" w:space="0" w:color="auto"/>
              <w:right w:val="single" w:sz="4" w:space="0" w:color="auto"/>
            </w:tcBorders>
            <w:noWrap/>
            <w:vAlign w:val="bottom"/>
          </w:tcPr>
          <w:p w:rsidR="00683496" w:rsidRPr="002876EA" w:rsidRDefault="00683496" w:rsidP="00683496">
            <w:pPr>
              <w:jc w:val="both"/>
              <w:rPr>
                <w:rFonts w:ascii="Verdana" w:hAnsi="Verdana" w:cs="Arial"/>
              </w:rPr>
            </w:pPr>
            <w:r w:rsidRPr="002876EA">
              <w:rPr>
                <w:rFonts w:ascii="Verdana" w:hAnsi="Verdana" w:cs="Arial"/>
              </w:rPr>
              <w:t>p</w:t>
            </w:r>
            <w:r w:rsidRPr="002876EA">
              <w:rPr>
                <w:rFonts w:ascii="Verdana" w:hAnsi="Verdana" w:cs="Arial"/>
                <w:vertAlign w:val="subscript"/>
              </w:rPr>
              <w:t>a</w:t>
            </w:r>
          </w:p>
        </w:tc>
        <w:tc>
          <w:tcPr>
            <w:tcW w:w="858" w:type="dxa"/>
            <w:tcBorders>
              <w:top w:val="nil"/>
              <w:left w:val="nil"/>
              <w:bottom w:val="single" w:sz="4" w:space="0" w:color="auto"/>
              <w:right w:val="single" w:sz="4" w:space="0" w:color="auto"/>
            </w:tcBorders>
            <w:noWrap/>
            <w:vAlign w:val="bottom"/>
          </w:tcPr>
          <w:p w:rsidR="00683496" w:rsidRPr="002876EA" w:rsidRDefault="00683496" w:rsidP="00683496">
            <w:pPr>
              <w:jc w:val="center"/>
              <w:rPr>
                <w:rFonts w:ascii="Verdana" w:hAnsi="Verdana" w:cs="Arial"/>
                <w:bCs/>
              </w:rPr>
            </w:pPr>
            <w:r w:rsidRPr="002876EA">
              <w:rPr>
                <w:rFonts w:ascii="Verdana" w:hAnsi="Verdana" w:cs="Arial"/>
                <w:bCs/>
              </w:rPr>
              <w:t>0,08</w:t>
            </w:r>
          </w:p>
        </w:tc>
        <w:tc>
          <w:tcPr>
            <w:tcW w:w="858" w:type="dxa"/>
            <w:tcBorders>
              <w:top w:val="nil"/>
              <w:left w:val="nil"/>
              <w:bottom w:val="single" w:sz="4" w:space="0" w:color="auto"/>
              <w:right w:val="single" w:sz="4" w:space="0" w:color="auto"/>
            </w:tcBorders>
            <w:noWrap/>
            <w:vAlign w:val="bottom"/>
          </w:tcPr>
          <w:p w:rsidR="00683496" w:rsidRPr="002876EA" w:rsidRDefault="00683496" w:rsidP="00683496">
            <w:pPr>
              <w:jc w:val="center"/>
              <w:rPr>
                <w:rFonts w:ascii="Verdana" w:hAnsi="Verdana" w:cs="Arial"/>
                <w:bCs/>
              </w:rPr>
            </w:pPr>
            <w:r w:rsidRPr="002876EA">
              <w:rPr>
                <w:rFonts w:ascii="Verdana" w:hAnsi="Verdana" w:cs="Arial"/>
                <w:bCs/>
              </w:rPr>
              <w:t>0,16</w:t>
            </w:r>
          </w:p>
        </w:tc>
        <w:tc>
          <w:tcPr>
            <w:tcW w:w="779" w:type="dxa"/>
            <w:tcBorders>
              <w:top w:val="nil"/>
              <w:left w:val="nil"/>
              <w:bottom w:val="single" w:sz="4" w:space="0" w:color="auto"/>
              <w:right w:val="single" w:sz="4" w:space="0" w:color="auto"/>
            </w:tcBorders>
            <w:noWrap/>
            <w:vAlign w:val="bottom"/>
          </w:tcPr>
          <w:p w:rsidR="00683496" w:rsidRPr="002876EA" w:rsidRDefault="00683496" w:rsidP="00683496">
            <w:pPr>
              <w:jc w:val="center"/>
              <w:rPr>
                <w:rFonts w:ascii="Verdana" w:hAnsi="Verdana" w:cs="Arial"/>
                <w:i/>
                <w:iCs/>
              </w:rPr>
            </w:pPr>
            <w:r w:rsidRPr="002876EA">
              <w:rPr>
                <w:rFonts w:ascii="Verdana" w:hAnsi="Verdana" w:cs="Arial"/>
                <w:i/>
                <w:iCs/>
              </w:rPr>
              <w:t>-</w:t>
            </w:r>
          </w:p>
        </w:tc>
      </w:tr>
    </w:tbl>
    <w:p w:rsidR="00683496" w:rsidRPr="002876EA" w:rsidRDefault="00683496" w:rsidP="00683496">
      <w:pPr>
        <w:jc w:val="both"/>
        <w:rPr>
          <w:rFonts w:ascii="Verdana" w:hAnsi="Verdana" w:cs="Arial"/>
          <w:highlight w:val="red"/>
        </w:rPr>
      </w:pPr>
    </w:p>
    <w:p w:rsidR="00683496" w:rsidRPr="002876EA" w:rsidRDefault="00683496" w:rsidP="00683496">
      <w:pPr>
        <w:jc w:val="both"/>
        <w:rPr>
          <w:rFonts w:ascii="Verdana" w:hAnsi="Verdana" w:cs="Arial"/>
        </w:rPr>
      </w:pPr>
      <w:r w:rsidRPr="002876EA">
        <w:rPr>
          <w:rFonts w:ascii="Verdana" w:hAnsi="Verdana" w:cs="Arial"/>
        </w:rPr>
        <w:t>Potrącenia na nieprawidłową zawartość kruszyw w mieszance mineralno-asfaltowej oblicza się na podstawie następującego wzoru</w:t>
      </w:r>
      <w:r>
        <w:rPr>
          <w:rFonts w:ascii="Verdana" w:hAnsi="Verdana" w:cs="Arial"/>
        </w:rPr>
        <w:t>:</w:t>
      </w:r>
    </w:p>
    <w:p w:rsidR="00683496" w:rsidRPr="002876EA" w:rsidRDefault="00683496" w:rsidP="00683496">
      <w:pPr>
        <w:jc w:val="both"/>
        <w:rPr>
          <w:rFonts w:ascii="Verdana" w:hAnsi="Verdana" w:cs="Arial"/>
        </w:rPr>
      </w:pPr>
      <w:r w:rsidRPr="002876EA">
        <w:rPr>
          <w:rFonts w:ascii="Verdana" w:hAnsi="Verdana" w:cs="Arial"/>
        </w:rPr>
        <w:t>P = A*</w:t>
      </w:r>
      <w:proofErr w:type="spellStart"/>
      <w:r w:rsidRPr="002876EA">
        <w:rPr>
          <w:rFonts w:ascii="Verdana" w:hAnsi="Verdana" w:cs="Arial"/>
        </w:rPr>
        <w:t>p</w:t>
      </w:r>
      <w:r>
        <w:rPr>
          <w:rFonts w:ascii="Verdana" w:hAnsi="Verdana" w:cs="Arial"/>
          <w:vertAlign w:val="subscript"/>
        </w:rPr>
        <w:t>k</w:t>
      </w:r>
      <w:proofErr w:type="spellEnd"/>
      <w:r w:rsidRPr="002876EA">
        <w:rPr>
          <w:rFonts w:ascii="Verdana" w:hAnsi="Verdana" w:cs="Arial"/>
          <w:vertAlign w:val="subscript"/>
        </w:rPr>
        <w:t>(w)*</w:t>
      </w:r>
      <w:proofErr w:type="spellStart"/>
      <w:r w:rsidRPr="002876EA">
        <w:rPr>
          <w:rFonts w:ascii="Verdana" w:hAnsi="Verdana" w:cs="Arial"/>
        </w:rPr>
        <w:t>c</w:t>
      </w:r>
      <w:r w:rsidRPr="002876EA">
        <w:rPr>
          <w:rFonts w:ascii="Verdana" w:hAnsi="Verdana" w:cs="Arial"/>
          <w:vertAlign w:val="subscript"/>
        </w:rPr>
        <w:t>j</w:t>
      </w:r>
      <w:proofErr w:type="spellEnd"/>
    </w:p>
    <w:p w:rsidR="00683496" w:rsidRPr="006E1A84" w:rsidRDefault="00683496" w:rsidP="00683496">
      <w:pPr>
        <w:jc w:val="both"/>
        <w:rPr>
          <w:rFonts w:ascii="Verdana" w:hAnsi="Verdana" w:cs="Arial"/>
          <w:vertAlign w:val="superscript"/>
        </w:rPr>
      </w:pPr>
      <w:r w:rsidRPr="002876EA">
        <w:rPr>
          <w:rFonts w:ascii="Verdana" w:hAnsi="Verdana" w:cs="Arial"/>
        </w:rPr>
        <w:t xml:space="preserve">A - powierzchnia </w:t>
      </w:r>
      <w:r>
        <w:rPr>
          <w:rFonts w:ascii="Verdana" w:hAnsi="Verdana" w:cs="Arial"/>
        </w:rPr>
        <w:t>w m</w:t>
      </w:r>
      <w:r>
        <w:rPr>
          <w:rFonts w:ascii="Verdana" w:hAnsi="Verdana" w:cs="Arial"/>
          <w:vertAlign w:val="superscript"/>
        </w:rPr>
        <w:t>2</w:t>
      </w:r>
    </w:p>
    <w:p w:rsidR="00683496" w:rsidRPr="002876EA" w:rsidRDefault="00683496" w:rsidP="00683496">
      <w:pPr>
        <w:jc w:val="both"/>
        <w:rPr>
          <w:rFonts w:ascii="Verdana" w:hAnsi="Verdana" w:cs="Arial"/>
        </w:rPr>
      </w:pPr>
      <w:proofErr w:type="spellStart"/>
      <w:r w:rsidRPr="002876EA">
        <w:rPr>
          <w:rFonts w:ascii="Verdana" w:hAnsi="Verdana" w:cs="Arial"/>
        </w:rPr>
        <w:t>p</w:t>
      </w:r>
      <w:r>
        <w:rPr>
          <w:rFonts w:ascii="Verdana" w:hAnsi="Verdana" w:cs="Arial"/>
          <w:vertAlign w:val="subscript"/>
        </w:rPr>
        <w:t>k</w:t>
      </w:r>
      <w:proofErr w:type="spellEnd"/>
      <w:r w:rsidRPr="002876EA">
        <w:rPr>
          <w:rFonts w:ascii="Verdana" w:hAnsi="Verdana" w:cs="Arial"/>
        </w:rPr>
        <w:t xml:space="preserve"> - współczynnik do obliczania potrąceń za niewłaściwą ilość kruszywa </w:t>
      </w:r>
    </w:p>
    <w:p w:rsidR="00683496" w:rsidRPr="002876EA" w:rsidRDefault="00683496" w:rsidP="00683496">
      <w:pPr>
        <w:jc w:val="both"/>
        <w:rPr>
          <w:rFonts w:ascii="Verdana" w:hAnsi="Verdana" w:cs="Arial"/>
        </w:rPr>
      </w:pPr>
      <w:proofErr w:type="spellStart"/>
      <w:r w:rsidRPr="002876EA">
        <w:rPr>
          <w:rFonts w:ascii="Verdana" w:hAnsi="Verdana" w:cs="Arial"/>
        </w:rPr>
        <w:t>p</w:t>
      </w:r>
      <w:r w:rsidRPr="002876EA">
        <w:rPr>
          <w:rFonts w:ascii="Verdana" w:hAnsi="Verdana" w:cs="Arial"/>
          <w:vertAlign w:val="subscript"/>
        </w:rPr>
        <w:t>w</w:t>
      </w:r>
      <w:proofErr w:type="spellEnd"/>
      <w:r w:rsidRPr="002876EA">
        <w:rPr>
          <w:rFonts w:ascii="Verdana" w:hAnsi="Verdana" w:cs="Arial"/>
        </w:rPr>
        <w:t xml:space="preserve"> - współczynnik do obliczania potrąceń za niewłaściwą ilość kruszywa</w:t>
      </w:r>
      <w:r>
        <w:rPr>
          <w:rFonts w:ascii="Verdana" w:hAnsi="Verdana" w:cs="Arial"/>
        </w:rPr>
        <w:t xml:space="preserve"> </w:t>
      </w:r>
      <w:r w:rsidRPr="002876EA">
        <w:rPr>
          <w:rFonts w:ascii="Verdana" w:hAnsi="Verdana" w:cs="Arial"/>
        </w:rPr>
        <w:t xml:space="preserve">&lt; </w:t>
      </w:r>
      <w:r>
        <w:rPr>
          <w:rFonts w:ascii="Verdana" w:hAnsi="Verdana" w:cs="Arial"/>
        </w:rPr>
        <w:t>0,063</w:t>
      </w:r>
      <w:r w:rsidRPr="002876EA">
        <w:rPr>
          <w:rFonts w:ascii="Verdana" w:hAnsi="Verdana" w:cs="Arial"/>
        </w:rPr>
        <w:t xml:space="preserve"> mm</w:t>
      </w:r>
    </w:p>
    <w:p w:rsidR="00683496" w:rsidRPr="002876EA" w:rsidRDefault="00683496" w:rsidP="00683496">
      <w:pPr>
        <w:jc w:val="both"/>
        <w:rPr>
          <w:rFonts w:ascii="Verdana" w:hAnsi="Verdana" w:cs="Arial"/>
        </w:rPr>
      </w:pPr>
      <w:proofErr w:type="spellStart"/>
      <w:r w:rsidRPr="002876EA">
        <w:rPr>
          <w:rFonts w:ascii="Verdana" w:hAnsi="Verdana" w:cs="Arial"/>
        </w:rPr>
        <w:t>c</w:t>
      </w:r>
      <w:r w:rsidRPr="002876EA">
        <w:rPr>
          <w:rFonts w:ascii="Verdana" w:hAnsi="Verdana" w:cs="Arial"/>
          <w:vertAlign w:val="subscript"/>
        </w:rPr>
        <w:t>j</w:t>
      </w:r>
      <w:proofErr w:type="spellEnd"/>
      <w:r w:rsidRPr="002876EA">
        <w:rPr>
          <w:rFonts w:ascii="Verdana" w:hAnsi="Verdana" w:cs="Arial"/>
        </w:rPr>
        <w:t xml:space="preserve"> - cena jednostkowa </w:t>
      </w:r>
    </w:p>
    <w:p w:rsidR="00683496" w:rsidRPr="002876EA" w:rsidRDefault="00683496" w:rsidP="00683496">
      <w:pPr>
        <w:jc w:val="both"/>
        <w:rPr>
          <w:rFonts w:ascii="Verdana" w:hAnsi="Verdana" w:cs="Arial"/>
        </w:rPr>
      </w:pPr>
      <w:r w:rsidRPr="002876EA">
        <w:rPr>
          <w:rFonts w:ascii="Verdana" w:hAnsi="Verdana" w:cs="Arial"/>
        </w:rPr>
        <w:t>P - potrącenia</w:t>
      </w:r>
    </w:p>
    <w:p w:rsidR="00683496" w:rsidRPr="002876EA" w:rsidRDefault="00683496" w:rsidP="00683496">
      <w:pPr>
        <w:jc w:val="both"/>
        <w:rPr>
          <w:rFonts w:ascii="Verdana" w:hAnsi="Verdana" w:cs="Arial"/>
        </w:rPr>
      </w:pPr>
    </w:p>
    <w:p w:rsidR="00683496" w:rsidRPr="002876EA" w:rsidRDefault="00683496" w:rsidP="00683496">
      <w:pPr>
        <w:ind w:left="142"/>
        <w:rPr>
          <w:rFonts w:ascii="Verdana" w:eastAsia="Calibri" w:hAnsi="Verdana" w:cs="Arial"/>
          <w:lang w:eastAsia="en-US"/>
        </w:rPr>
      </w:pPr>
      <w:r w:rsidRPr="002876EA">
        <w:rPr>
          <w:rFonts w:ascii="Verdana" w:eastAsia="Calibri" w:hAnsi="Verdana" w:cs="Arial"/>
          <w:lang w:eastAsia="en-US"/>
        </w:rPr>
        <w:t>Współczynnik "</w:t>
      </w:r>
      <w:proofErr w:type="spellStart"/>
      <w:r w:rsidRPr="002876EA">
        <w:rPr>
          <w:rFonts w:ascii="Verdana" w:eastAsia="Calibri" w:hAnsi="Verdana" w:cs="Arial"/>
          <w:lang w:eastAsia="en-US"/>
        </w:rPr>
        <w:t>p</w:t>
      </w:r>
      <w:r w:rsidRPr="002876EA">
        <w:rPr>
          <w:rFonts w:ascii="Verdana" w:eastAsia="Calibri" w:hAnsi="Verdana" w:cs="Arial"/>
          <w:vertAlign w:val="subscript"/>
          <w:lang w:eastAsia="en-US"/>
        </w:rPr>
        <w:t>w</w:t>
      </w:r>
      <w:proofErr w:type="spellEnd"/>
      <w:r w:rsidRPr="002876EA">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br/>
      </w:r>
      <w:r w:rsidRPr="002876EA">
        <w:rPr>
          <w:rFonts w:ascii="Verdana" w:eastAsia="Calibri" w:hAnsi="Verdana" w:cs="Arial"/>
          <w:lang w:eastAsia="en-US"/>
        </w:rPr>
        <w:t>&lt; 0,063 mm</w:t>
      </w:r>
    </w:p>
    <w:tbl>
      <w:tblPr>
        <w:tblW w:w="9640" w:type="dxa"/>
        <w:tblCellMar>
          <w:left w:w="0" w:type="dxa"/>
          <w:right w:w="0" w:type="dxa"/>
        </w:tblCellMar>
        <w:tblLook w:val="04A0" w:firstRow="1" w:lastRow="0" w:firstColumn="1" w:lastColumn="0" w:noHBand="0" w:noVBand="1"/>
      </w:tblPr>
      <w:tblGrid>
        <w:gridCol w:w="160"/>
        <w:gridCol w:w="3177"/>
        <w:gridCol w:w="1338"/>
        <w:gridCol w:w="1418"/>
        <w:gridCol w:w="1276"/>
        <w:gridCol w:w="1429"/>
        <w:gridCol w:w="842"/>
      </w:tblGrid>
      <w:tr w:rsidR="00683496" w:rsidRPr="002876EA" w:rsidTr="00683496">
        <w:trPr>
          <w:gridAfter w:val="1"/>
          <w:wAfter w:w="842" w:type="dxa"/>
          <w:trHeight w:val="255"/>
        </w:trPr>
        <w:tc>
          <w:tcPr>
            <w:tcW w:w="3337"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1,6 – 1,7</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1,8 – 1,9</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2,0 – 2,4</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2,5 – 3,0</w:t>
            </w:r>
          </w:p>
        </w:tc>
      </w:tr>
      <w:tr w:rsidR="00683496" w:rsidRPr="002876EA" w:rsidTr="00683496">
        <w:trPr>
          <w:gridAfter w:val="1"/>
          <w:wAfter w:w="842" w:type="dxa"/>
          <w:trHeight w:val="255"/>
        </w:trPr>
        <w:tc>
          <w:tcPr>
            <w:tcW w:w="3337"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proofErr w:type="spellStart"/>
            <w:r w:rsidRPr="002876EA">
              <w:rPr>
                <w:rFonts w:ascii="Verdana" w:eastAsia="Calibri" w:hAnsi="Verdana" w:cs="Arial"/>
                <w:lang w:eastAsia="en-US"/>
              </w:rPr>
              <w:t>p</w:t>
            </w:r>
            <w:r w:rsidRPr="002876EA">
              <w:rPr>
                <w:rFonts w:ascii="Verdana" w:eastAsia="Calibri" w:hAnsi="Verdana" w:cs="Arial"/>
                <w:vertAlign w:val="subscript"/>
                <w:lang w:eastAsia="en-US"/>
              </w:rPr>
              <w:t>w</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0,13</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0,15</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0,17</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0,2</w:t>
            </w:r>
          </w:p>
        </w:tc>
      </w:tr>
      <w:tr w:rsidR="00683496" w:rsidRPr="002876EA" w:rsidTr="00683496">
        <w:trPr>
          <w:trHeight w:val="255"/>
        </w:trPr>
        <w:tc>
          <w:tcPr>
            <w:tcW w:w="160" w:type="dxa"/>
            <w:tcMar>
              <w:top w:w="0" w:type="dxa"/>
              <w:left w:w="70" w:type="dxa"/>
              <w:bottom w:w="0" w:type="dxa"/>
              <w:right w:w="70" w:type="dxa"/>
            </w:tcMar>
          </w:tcPr>
          <w:p w:rsidR="00683496" w:rsidRPr="002876EA" w:rsidRDefault="00683496" w:rsidP="00683496">
            <w:pPr>
              <w:rPr>
                <w:rFonts w:ascii="Verdana" w:eastAsia="Calibri" w:hAnsi="Verdana" w:cs="Arial"/>
                <w:lang w:eastAsia="en-US"/>
              </w:rPr>
            </w:pPr>
          </w:p>
        </w:tc>
        <w:tc>
          <w:tcPr>
            <w:tcW w:w="9480" w:type="dxa"/>
            <w:gridSpan w:val="6"/>
            <w:noWrap/>
            <w:tcMar>
              <w:top w:w="0" w:type="dxa"/>
              <w:left w:w="70" w:type="dxa"/>
              <w:bottom w:w="0" w:type="dxa"/>
              <w:right w:w="70" w:type="dxa"/>
            </w:tcMar>
            <w:vAlign w:val="bottom"/>
          </w:tcPr>
          <w:p w:rsidR="00683496" w:rsidRPr="002876EA" w:rsidRDefault="00683496" w:rsidP="00683496">
            <w:pPr>
              <w:rPr>
                <w:rFonts w:ascii="Verdana" w:eastAsia="Calibri" w:hAnsi="Verdana" w:cs="Arial"/>
                <w:lang w:eastAsia="en-US"/>
              </w:rPr>
            </w:pPr>
          </w:p>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Współczynnik "</w:t>
            </w: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r w:rsidRPr="002876EA">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t xml:space="preserve">                         </w:t>
            </w:r>
            <w:r w:rsidRPr="002876EA">
              <w:rPr>
                <w:rFonts w:ascii="Verdana" w:eastAsia="Calibri" w:hAnsi="Verdana" w:cs="Arial"/>
                <w:lang w:eastAsia="en-US"/>
              </w:rPr>
              <w:t>&lt; 0,125 mm</w:t>
            </w:r>
          </w:p>
        </w:tc>
      </w:tr>
      <w:tr w:rsidR="00683496" w:rsidRPr="002876EA" w:rsidTr="00683496">
        <w:trPr>
          <w:gridAfter w:val="1"/>
          <w:wAfter w:w="842" w:type="dxa"/>
          <w:trHeight w:val="255"/>
        </w:trPr>
        <w:tc>
          <w:tcPr>
            <w:tcW w:w="3337"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3</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4</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r w:rsidR="00683496" w:rsidRPr="002876EA" w:rsidTr="00683496">
        <w:trPr>
          <w:gridAfter w:val="1"/>
          <w:wAfter w:w="842" w:type="dxa"/>
          <w:trHeight w:val="255"/>
        </w:trPr>
        <w:tc>
          <w:tcPr>
            <w:tcW w:w="3337"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0,2</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r w:rsidR="00683496" w:rsidRPr="002876EA" w:rsidTr="00683496">
        <w:trPr>
          <w:trHeight w:val="255"/>
        </w:trPr>
        <w:tc>
          <w:tcPr>
            <w:tcW w:w="160" w:type="dxa"/>
            <w:tcMar>
              <w:top w:w="0" w:type="dxa"/>
              <w:left w:w="70" w:type="dxa"/>
              <w:bottom w:w="0" w:type="dxa"/>
              <w:right w:w="70" w:type="dxa"/>
            </w:tcMar>
          </w:tcPr>
          <w:p w:rsidR="00683496" w:rsidRPr="002876EA" w:rsidRDefault="00683496" w:rsidP="00683496">
            <w:pPr>
              <w:rPr>
                <w:rFonts w:ascii="Verdana" w:eastAsia="Calibri" w:hAnsi="Verdana" w:cs="Arial"/>
                <w:lang w:eastAsia="en-US"/>
              </w:rPr>
            </w:pPr>
          </w:p>
        </w:tc>
        <w:tc>
          <w:tcPr>
            <w:tcW w:w="9480" w:type="dxa"/>
            <w:gridSpan w:val="6"/>
            <w:noWrap/>
            <w:tcMar>
              <w:top w:w="0" w:type="dxa"/>
              <w:left w:w="70" w:type="dxa"/>
              <w:bottom w:w="0" w:type="dxa"/>
              <w:right w:w="70" w:type="dxa"/>
            </w:tcMar>
            <w:vAlign w:val="bottom"/>
            <w:hideMark/>
          </w:tcPr>
          <w:p w:rsidR="00683496" w:rsidRDefault="00683496" w:rsidP="00683496">
            <w:pPr>
              <w:rPr>
                <w:rFonts w:ascii="Verdana" w:eastAsia="Calibri" w:hAnsi="Verdana" w:cs="Arial"/>
                <w:lang w:eastAsia="en-US"/>
              </w:rPr>
            </w:pPr>
          </w:p>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Współczynnik "</w:t>
            </w: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r w:rsidRPr="002876EA">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t xml:space="preserve">                            </w:t>
            </w:r>
            <w:r w:rsidRPr="002876EA">
              <w:rPr>
                <w:rFonts w:ascii="Verdana" w:eastAsia="Calibri" w:hAnsi="Verdana" w:cs="Arial"/>
                <w:lang w:eastAsia="en-US"/>
              </w:rPr>
              <w:t>&lt; 2,0 mm</w:t>
            </w:r>
          </w:p>
        </w:tc>
      </w:tr>
      <w:tr w:rsidR="00683496" w:rsidRPr="002876EA" w:rsidTr="00683496">
        <w:trPr>
          <w:gridAfter w:val="1"/>
          <w:wAfter w:w="842" w:type="dxa"/>
          <w:trHeight w:val="255"/>
        </w:trPr>
        <w:tc>
          <w:tcPr>
            <w:tcW w:w="3337"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r w:rsidR="00683496" w:rsidRPr="002876EA" w:rsidTr="00683496">
        <w:trPr>
          <w:gridAfter w:val="1"/>
          <w:wAfter w:w="842" w:type="dxa"/>
          <w:trHeight w:val="255"/>
        </w:trPr>
        <w:tc>
          <w:tcPr>
            <w:tcW w:w="3337"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r w:rsidR="00683496" w:rsidRPr="002876EA" w:rsidTr="00683496">
        <w:trPr>
          <w:trHeight w:val="255"/>
        </w:trPr>
        <w:tc>
          <w:tcPr>
            <w:tcW w:w="160" w:type="dxa"/>
            <w:tcMar>
              <w:top w:w="0" w:type="dxa"/>
              <w:left w:w="70" w:type="dxa"/>
              <w:bottom w:w="0" w:type="dxa"/>
              <w:right w:w="70" w:type="dxa"/>
            </w:tcMar>
          </w:tcPr>
          <w:p w:rsidR="00683496" w:rsidRPr="002876EA" w:rsidRDefault="00683496" w:rsidP="00683496">
            <w:pPr>
              <w:rPr>
                <w:rFonts w:ascii="Verdana" w:eastAsia="Calibri" w:hAnsi="Verdana" w:cs="Arial"/>
                <w:lang w:eastAsia="en-US"/>
              </w:rPr>
            </w:pPr>
          </w:p>
          <w:p w:rsidR="00683496" w:rsidRPr="002876EA" w:rsidRDefault="00683496" w:rsidP="00683496">
            <w:pPr>
              <w:rPr>
                <w:rFonts w:ascii="Verdana" w:eastAsia="Calibri" w:hAnsi="Verdana" w:cs="Arial"/>
                <w:lang w:eastAsia="en-US"/>
              </w:rPr>
            </w:pPr>
          </w:p>
        </w:tc>
        <w:tc>
          <w:tcPr>
            <w:tcW w:w="9480" w:type="dxa"/>
            <w:gridSpan w:val="6"/>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Współczynnik "</w:t>
            </w: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r w:rsidRPr="002876EA">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t xml:space="preserve">                              </w:t>
            </w:r>
            <w:r w:rsidRPr="002876EA">
              <w:rPr>
                <w:rFonts w:ascii="Verdana" w:eastAsia="Calibri" w:hAnsi="Verdana" w:cs="Arial"/>
                <w:lang w:eastAsia="en-US"/>
              </w:rPr>
              <w:t>&lt; D/2 mm</w:t>
            </w:r>
          </w:p>
        </w:tc>
      </w:tr>
      <w:tr w:rsidR="00683496" w:rsidRPr="002876EA" w:rsidTr="00683496">
        <w:trPr>
          <w:gridAfter w:val="1"/>
          <w:wAfter w:w="842" w:type="dxa"/>
          <w:trHeight w:val="255"/>
        </w:trPr>
        <w:tc>
          <w:tcPr>
            <w:tcW w:w="3337"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r w:rsidR="00683496" w:rsidRPr="002876EA" w:rsidTr="00683496">
        <w:trPr>
          <w:gridAfter w:val="1"/>
          <w:wAfter w:w="842" w:type="dxa"/>
          <w:trHeight w:val="255"/>
        </w:trPr>
        <w:tc>
          <w:tcPr>
            <w:tcW w:w="3337"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r w:rsidR="00683496" w:rsidRPr="002876EA" w:rsidTr="00683496">
        <w:trPr>
          <w:trHeight w:val="255"/>
        </w:trPr>
        <w:tc>
          <w:tcPr>
            <w:tcW w:w="160" w:type="dxa"/>
            <w:tcMar>
              <w:top w:w="0" w:type="dxa"/>
              <w:left w:w="70" w:type="dxa"/>
              <w:bottom w:w="0" w:type="dxa"/>
              <w:right w:w="70" w:type="dxa"/>
            </w:tcMar>
          </w:tcPr>
          <w:p w:rsidR="00683496" w:rsidRPr="002876EA" w:rsidRDefault="00683496" w:rsidP="00683496">
            <w:pPr>
              <w:rPr>
                <w:rFonts w:ascii="Verdana" w:eastAsia="Calibri" w:hAnsi="Verdana" w:cs="Arial"/>
                <w:lang w:eastAsia="en-US"/>
              </w:rPr>
            </w:pPr>
          </w:p>
        </w:tc>
        <w:tc>
          <w:tcPr>
            <w:tcW w:w="9480" w:type="dxa"/>
            <w:gridSpan w:val="6"/>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p>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Współczynnik "</w:t>
            </w: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r w:rsidRPr="002876EA">
              <w:rPr>
                <w:rFonts w:ascii="Verdana" w:eastAsia="Calibri" w:hAnsi="Verdana" w:cs="Arial"/>
                <w:lang w:eastAsia="en-US"/>
              </w:rPr>
              <w:t xml:space="preserve">" do obliczania potrąceń za niewłaściwą ilość kruszywa o wymiarze </w:t>
            </w:r>
            <w:r>
              <w:rPr>
                <w:rFonts w:ascii="Verdana" w:eastAsia="Calibri" w:hAnsi="Verdana" w:cs="Arial"/>
                <w:lang w:eastAsia="en-US"/>
              </w:rPr>
              <w:t xml:space="preserve">                          </w:t>
            </w:r>
            <w:r w:rsidRPr="002876EA">
              <w:rPr>
                <w:rFonts w:ascii="Verdana" w:eastAsia="Calibri" w:hAnsi="Verdana" w:cs="Arial"/>
                <w:lang w:eastAsia="en-US"/>
              </w:rPr>
              <w:t>&lt; D mm</w:t>
            </w:r>
          </w:p>
        </w:tc>
      </w:tr>
      <w:tr w:rsidR="00683496" w:rsidRPr="002876EA" w:rsidTr="00683496">
        <w:trPr>
          <w:gridAfter w:val="1"/>
          <w:wAfter w:w="842" w:type="dxa"/>
          <w:trHeight w:val="255"/>
        </w:trPr>
        <w:tc>
          <w:tcPr>
            <w:tcW w:w="3337"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r w:rsidRPr="002876EA">
              <w:rPr>
                <w:rFonts w:ascii="Verdana" w:eastAsia="Calibri" w:hAnsi="Verdana" w:cs="Arial"/>
                <w:lang w:eastAsia="en-US"/>
              </w:rPr>
              <w:t>Odchylenie od recepty w %</w:t>
            </w:r>
          </w:p>
        </w:tc>
        <w:tc>
          <w:tcPr>
            <w:tcW w:w="133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4</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5</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6</w:t>
            </w:r>
          </w:p>
        </w:tc>
        <w:tc>
          <w:tcPr>
            <w:tcW w:w="14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r w:rsidR="00683496" w:rsidRPr="002876EA" w:rsidTr="00683496">
        <w:trPr>
          <w:gridAfter w:val="1"/>
          <w:wAfter w:w="842" w:type="dxa"/>
          <w:trHeight w:val="255"/>
        </w:trPr>
        <w:tc>
          <w:tcPr>
            <w:tcW w:w="3337"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83496" w:rsidRPr="002876EA" w:rsidRDefault="00683496" w:rsidP="00683496">
            <w:pPr>
              <w:rPr>
                <w:rFonts w:ascii="Verdana" w:eastAsia="Calibri" w:hAnsi="Verdana" w:cs="Arial"/>
                <w:lang w:eastAsia="en-US"/>
              </w:rPr>
            </w:pPr>
            <w:proofErr w:type="spellStart"/>
            <w:r w:rsidRPr="002876EA">
              <w:rPr>
                <w:rFonts w:ascii="Verdana" w:eastAsia="Calibri" w:hAnsi="Verdana" w:cs="Arial"/>
                <w:lang w:eastAsia="en-US"/>
              </w:rPr>
              <w:t>p</w:t>
            </w:r>
            <w:r>
              <w:rPr>
                <w:rFonts w:ascii="Verdana" w:eastAsia="Calibri" w:hAnsi="Verdana" w:cs="Arial"/>
                <w:vertAlign w:val="subscript"/>
                <w:lang w:eastAsia="en-US"/>
              </w:rPr>
              <w:t>k</w:t>
            </w:r>
            <w:proofErr w:type="spellEnd"/>
          </w:p>
        </w:tc>
        <w:tc>
          <w:tcPr>
            <w:tcW w:w="133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0,3</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0,3</w:t>
            </w:r>
          </w:p>
        </w:tc>
        <w:tc>
          <w:tcPr>
            <w:tcW w:w="14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83496" w:rsidRPr="002876EA" w:rsidRDefault="00683496" w:rsidP="00683496">
            <w:pPr>
              <w:jc w:val="center"/>
              <w:rPr>
                <w:rFonts w:ascii="Verdana" w:eastAsia="Calibri" w:hAnsi="Verdana" w:cs="Arial"/>
                <w:lang w:eastAsia="en-US"/>
              </w:rPr>
            </w:pPr>
            <w:r w:rsidRPr="002876EA">
              <w:rPr>
                <w:rFonts w:ascii="Verdana" w:eastAsia="Calibri" w:hAnsi="Verdana" w:cs="Arial"/>
                <w:lang w:eastAsia="en-US"/>
              </w:rPr>
              <w:t>-</w:t>
            </w:r>
          </w:p>
        </w:tc>
      </w:tr>
    </w:tbl>
    <w:p w:rsidR="00683496" w:rsidRPr="006D2270" w:rsidRDefault="00683496" w:rsidP="00683496">
      <w:pPr>
        <w:rPr>
          <w:rFonts w:ascii="Verdana" w:hAnsi="Verdana" w:cs="Arial"/>
        </w:rPr>
      </w:pPr>
    </w:p>
    <w:p w:rsidR="00683496" w:rsidRDefault="00683496" w:rsidP="00683496">
      <w:pPr>
        <w:jc w:val="both"/>
        <w:rPr>
          <w:rFonts w:ascii="Verdana" w:hAnsi="Verdana" w:cs="Arial"/>
          <w:b/>
        </w:rPr>
      </w:pPr>
      <w:r w:rsidRPr="006D2270">
        <w:rPr>
          <w:rFonts w:ascii="Verdana" w:hAnsi="Verdana" w:cs="Arial"/>
          <w:b/>
        </w:rPr>
        <w:t xml:space="preserve">6.4.1.1. </w:t>
      </w:r>
      <w:r>
        <w:rPr>
          <w:rFonts w:ascii="Verdana" w:hAnsi="Verdana" w:cs="Arial"/>
          <w:b/>
        </w:rPr>
        <w:t>Zawartość wolnych przestrzeni w próbkach</w:t>
      </w:r>
      <w:r w:rsidRPr="00D20CFD">
        <w:rPr>
          <w:rFonts w:ascii="Verdana" w:hAnsi="Verdana" w:cs="Arial"/>
          <w:b/>
        </w:rPr>
        <w:t xml:space="preserve"> </w:t>
      </w:r>
      <w:proofErr w:type="spellStart"/>
      <w:r w:rsidRPr="00C20F1A">
        <w:rPr>
          <w:rFonts w:ascii="Verdana" w:hAnsi="Verdana" w:cs="Arial"/>
          <w:b/>
        </w:rPr>
        <w:t>Marshall’a</w:t>
      </w:r>
      <w:proofErr w:type="spellEnd"/>
      <w:r>
        <w:rPr>
          <w:rFonts w:ascii="Verdana" w:hAnsi="Verdana" w:cs="Arial"/>
          <w:b/>
        </w:rPr>
        <w:t xml:space="preserve"> </w:t>
      </w:r>
    </w:p>
    <w:p w:rsidR="00683496" w:rsidRPr="006D2270" w:rsidRDefault="00683496" w:rsidP="00683496">
      <w:pPr>
        <w:jc w:val="both"/>
        <w:rPr>
          <w:rFonts w:ascii="Verdana" w:hAnsi="Verdana" w:cs="Arial"/>
        </w:rPr>
      </w:pPr>
      <w:r w:rsidRPr="006D2270">
        <w:rPr>
          <w:rFonts w:ascii="Verdana" w:hAnsi="Verdana" w:cs="Arial"/>
        </w:rPr>
        <w:t xml:space="preserve">Zawartość wolnych przestrzeni w próbce </w:t>
      </w:r>
      <w:proofErr w:type="spellStart"/>
      <w:r w:rsidRPr="006D2270">
        <w:rPr>
          <w:rFonts w:ascii="Verdana" w:hAnsi="Verdana" w:cs="Arial"/>
        </w:rPr>
        <w:t>Marshall’a</w:t>
      </w:r>
      <w:proofErr w:type="spellEnd"/>
      <w:r w:rsidRPr="006D2270">
        <w:rPr>
          <w:rFonts w:ascii="Verdana" w:hAnsi="Verdana" w:cs="Arial"/>
        </w:rPr>
        <w:t xml:space="preserve"> pobranej z mieszanki AC 11</w:t>
      </w:r>
      <w:r>
        <w:rPr>
          <w:rFonts w:ascii="Verdana" w:hAnsi="Verdana" w:cs="Arial"/>
        </w:rPr>
        <w:t xml:space="preserve"> </w:t>
      </w:r>
      <w:r w:rsidRPr="006D2270">
        <w:rPr>
          <w:rFonts w:ascii="Verdana" w:hAnsi="Verdana" w:cs="Arial"/>
        </w:rPr>
        <w:t>S lub wyjątkowo powtórnie rozgrzanej próbki pobranej z nawierzchni, nie może wykroczyć poza wartości dopuszczalne podane w p. 5.2 tab</w:t>
      </w:r>
      <w:r>
        <w:rPr>
          <w:rFonts w:ascii="Verdana" w:hAnsi="Verdana" w:cs="Arial"/>
        </w:rPr>
        <w:t>eli</w:t>
      </w:r>
      <w:r w:rsidRPr="006D2270">
        <w:rPr>
          <w:rFonts w:ascii="Verdana" w:hAnsi="Verdana" w:cs="Arial"/>
        </w:rPr>
        <w:t xml:space="preserve"> </w:t>
      </w:r>
      <w:r>
        <w:rPr>
          <w:rFonts w:ascii="Verdana" w:hAnsi="Verdana" w:cs="Arial"/>
        </w:rPr>
        <w:t>8</w:t>
      </w:r>
      <w:r w:rsidRPr="006D2270">
        <w:rPr>
          <w:rFonts w:ascii="Verdana" w:hAnsi="Verdana" w:cs="Arial"/>
        </w:rPr>
        <w:t xml:space="preserve"> o więcej niż </w:t>
      </w:r>
      <w:r>
        <w:rPr>
          <w:rFonts w:ascii="Verdana" w:hAnsi="Verdana" w:cs="Arial"/>
        </w:rPr>
        <w:t>0,5</w:t>
      </w:r>
      <w:r w:rsidRPr="006D2270">
        <w:rPr>
          <w:rFonts w:ascii="Verdana" w:hAnsi="Verdana" w:cs="Arial"/>
        </w:rPr>
        <w:t xml:space="preserve"> %(v/v). </w:t>
      </w:r>
    </w:p>
    <w:p w:rsidR="00683496" w:rsidRDefault="00683496" w:rsidP="00683496">
      <w:pPr>
        <w:jc w:val="both"/>
        <w:rPr>
          <w:rFonts w:ascii="Verdana" w:hAnsi="Verdana" w:cs="Arial"/>
          <w:b/>
        </w:rPr>
      </w:pPr>
    </w:p>
    <w:p w:rsidR="00683496" w:rsidRPr="006D2270" w:rsidRDefault="00683496" w:rsidP="00683496">
      <w:pPr>
        <w:jc w:val="both"/>
        <w:rPr>
          <w:rFonts w:ascii="Verdana" w:hAnsi="Verdana" w:cs="Arial"/>
          <w:b/>
        </w:rPr>
      </w:pPr>
      <w:r w:rsidRPr="006D2270">
        <w:rPr>
          <w:rFonts w:ascii="Verdana" w:hAnsi="Verdana" w:cs="Arial"/>
          <w:b/>
        </w:rPr>
        <w:t>6.4.2. Warstwa asfaltowa</w:t>
      </w:r>
    </w:p>
    <w:p w:rsidR="00683496" w:rsidRPr="006D2270" w:rsidRDefault="00683496" w:rsidP="00683496">
      <w:pPr>
        <w:jc w:val="both"/>
        <w:rPr>
          <w:rFonts w:ascii="Verdana" w:hAnsi="Verdana" w:cs="Arial"/>
        </w:rPr>
      </w:pPr>
      <w:r w:rsidRPr="006D2270">
        <w:rPr>
          <w:rFonts w:ascii="Verdana" w:hAnsi="Verdana" w:cs="Arial"/>
          <w:b/>
        </w:rPr>
        <w:t>6.4.2.1. Grubość warstwy</w:t>
      </w:r>
      <w:r w:rsidRPr="006D2270">
        <w:rPr>
          <w:rFonts w:ascii="Verdana" w:hAnsi="Verdana" w:cs="Arial"/>
        </w:rPr>
        <w:t xml:space="preserve">                                                                                                                                                </w:t>
      </w:r>
    </w:p>
    <w:p w:rsidR="00683496" w:rsidRPr="002876EA" w:rsidRDefault="00683496" w:rsidP="00683496">
      <w:pPr>
        <w:jc w:val="both"/>
        <w:rPr>
          <w:rFonts w:ascii="Verdana" w:hAnsi="Verdana" w:cs="Arial"/>
        </w:rPr>
      </w:pPr>
      <w:r w:rsidRPr="002876EA">
        <w:rPr>
          <w:rFonts w:ascii="Verdana" w:hAnsi="Verdana" w:cs="Arial"/>
        </w:rPr>
        <w:t xml:space="preserve">Grubość wykonanej warstwy </w:t>
      </w:r>
      <w:r>
        <w:rPr>
          <w:rFonts w:ascii="Verdana" w:hAnsi="Verdana" w:cs="Arial"/>
        </w:rPr>
        <w:t xml:space="preserve">należy określać na podstawie wyciętych próbek </w:t>
      </w:r>
      <w:r>
        <w:rPr>
          <w:rFonts w:ascii="Verdana" w:hAnsi="Verdana" w:cs="Arial"/>
        </w:rPr>
        <w:br/>
        <w:t xml:space="preserve">i </w:t>
      </w:r>
      <w:r w:rsidRPr="002876EA">
        <w:rPr>
          <w:rFonts w:ascii="Verdana" w:hAnsi="Verdana" w:cs="Arial"/>
        </w:rPr>
        <w:t>oznaczana</w:t>
      </w:r>
      <w:r>
        <w:rPr>
          <w:rFonts w:ascii="Verdana" w:hAnsi="Verdana" w:cs="Arial"/>
        </w:rPr>
        <w:t xml:space="preserve"> się</w:t>
      </w:r>
      <w:r w:rsidRPr="002876EA">
        <w:rPr>
          <w:rFonts w:ascii="Verdana" w:hAnsi="Verdana" w:cs="Arial"/>
        </w:rPr>
        <w:t xml:space="preserve"> według PN-EN 12697-36 [40</w:t>
      </w:r>
      <w:r>
        <w:rPr>
          <w:rFonts w:ascii="Verdana" w:hAnsi="Verdana" w:cs="Arial"/>
        </w:rPr>
        <w:t>].</w:t>
      </w:r>
      <w:r w:rsidRPr="002876EA">
        <w:rPr>
          <w:rFonts w:ascii="Verdana" w:hAnsi="Verdana" w:cs="Arial"/>
        </w:rPr>
        <w:t xml:space="preserve"> </w:t>
      </w:r>
    </w:p>
    <w:p w:rsidR="00683496" w:rsidRPr="003E62F7" w:rsidRDefault="00683496" w:rsidP="00683496">
      <w:pPr>
        <w:tabs>
          <w:tab w:val="right" w:pos="0"/>
        </w:tabs>
        <w:jc w:val="both"/>
        <w:rPr>
          <w:rFonts w:ascii="Verdana" w:hAnsi="Verdana"/>
        </w:rPr>
      </w:pPr>
      <w:r w:rsidRPr="003E62F7">
        <w:rPr>
          <w:rFonts w:ascii="Verdana" w:hAnsi="Verdana"/>
        </w:rPr>
        <w:t xml:space="preserve">Za grubość warstwy przyjmuje się średnią arytmetyczną wielu oznaczeń grubości </w:t>
      </w:r>
      <w:r>
        <w:rPr>
          <w:rFonts w:ascii="Verdana" w:hAnsi="Verdana"/>
        </w:rPr>
        <w:br/>
      </w:r>
      <w:r w:rsidRPr="003E62F7">
        <w:rPr>
          <w:rFonts w:ascii="Verdana" w:hAnsi="Verdana"/>
        </w:rPr>
        <w:t xml:space="preserve">na całym odcinku budowy. </w:t>
      </w:r>
    </w:p>
    <w:p w:rsidR="00683496" w:rsidRDefault="00683496" w:rsidP="00683496">
      <w:pPr>
        <w:tabs>
          <w:tab w:val="right" w:pos="0"/>
        </w:tabs>
        <w:jc w:val="both"/>
        <w:rPr>
          <w:rFonts w:ascii="Verdana" w:hAnsi="Verdana" w:cs="Arial"/>
        </w:rPr>
      </w:pPr>
      <w:r w:rsidRPr="003E62F7">
        <w:rPr>
          <w:rFonts w:ascii="Verdana" w:hAnsi="Verdana"/>
        </w:rPr>
        <w:t xml:space="preserve">Odchyłki w zakresie grubości warstwy lub pakietu warstw oraz sposobu oceny jakości pojedynczego wyniku pomiaru </w:t>
      </w:r>
      <w:r>
        <w:rPr>
          <w:rFonts w:ascii="Verdana" w:hAnsi="Verdana" w:cs="Arial"/>
        </w:rPr>
        <w:t xml:space="preserve">należy </w:t>
      </w:r>
      <w:r w:rsidRPr="003E62F7">
        <w:rPr>
          <w:rFonts w:ascii="Verdana" w:hAnsi="Verdana" w:cs="Arial"/>
        </w:rPr>
        <w:t xml:space="preserve">przyjąć </w:t>
      </w:r>
      <w:r>
        <w:rPr>
          <w:rFonts w:ascii="Verdana" w:hAnsi="Verdana"/>
        </w:rPr>
        <w:t>zgodnie z</w:t>
      </w:r>
      <w:r w:rsidRPr="003E62F7">
        <w:rPr>
          <w:rFonts w:ascii="Verdana" w:hAnsi="Verdana" w:cs="Arial"/>
        </w:rPr>
        <w:t xml:space="preserve"> Instrukcj</w:t>
      </w:r>
      <w:r>
        <w:rPr>
          <w:rFonts w:ascii="Verdana" w:hAnsi="Verdana" w:cs="Arial"/>
        </w:rPr>
        <w:t>ą</w:t>
      </w:r>
      <w:r w:rsidRPr="003E62F7">
        <w:rPr>
          <w:rFonts w:ascii="Verdana" w:hAnsi="Verdana" w:cs="Arial"/>
        </w:rPr>
        <w:t xml:space="preserve"> D</w:t>
      </w:r>
      <w:r>
        <w:rPr>
          <w:rFonts w:ascii="Verdana" w:hAnsi="Verdana" w:cs="Arial"/>
        </w:rPr>
        <w:t xml:space="preserve">P-T 14 stanowiącą załącznik do zarządzenia </w:t>
      </w:r>
      <w:r w:rsidRPr="003E62F7">
        <w:rPr>
          <w:rFonts w:ascii="Verdana" w:hAnsi="Verdana" w:cs="Arial"/>
        </w:rPr>
        <w:t>nr 10 Generalnego Dyrektora Dróg Krajowych i Autostrad z dnia 30 marca 2017 r.</w:t>
      </w:r>
    </w:p>
    <w:p w:rsidR="00683496" w:rsidRPr="002876EA" w:rsidRDefault="00683496" w:rsidP="00683496">
      <w:pPr>
        <w:jc w:val="both"/>
        <w:rPr>
          <w:rFonts w:ascii="Verdana" w:hAnsi="Verdana" w:cs="Arial"/>
        </w:rPr>
      </w:pPr>
      <w:r w:rsidRPr="002876EA">
        <w:rPr>
          <w:rFonts w:ascii="Verdana" w:hAnsi="Verdana" w:cs="Arial"/>
        </w:rPr>
        <w:t xml:space="preserve">Dopuszcza się przy odbiorze warstwy przez Przedstawiciela Zamawiającego/Inspektora nadzoru pomiar grubości za pomocą </w:t>
      </w:r>
      <w:proofErr w:type="spellStart"/>
      <w:r w:rsidRPr="002876EA">
        <w:rPr>
          <w:rFonts w:ascii="Verdana" w:hAnsi="Verdana" w:cs="Arial"/>
        </w:rPr>
        <w:t>georadaru</w:t>
      </w:r>
      <w:proofErr w:type="spellEnd"/>
      <w:r w:rsidRPr="002876EA">
        <w:rPr>
          <w:rFonts w:ascii="Verdana" w:hAnsi="Verdana" w:cs="Arial"/>
        </w:rPr>
        <w:t xml:space="preserve"> GPR.</w:t>
      </w:r>
    </w:p>
    <w:p w:rsidR="00683496" w:rsidRDefault="00683496" w:rsidP="00683496">
      <w:pPr>
        <w:rPr>
          <w:rFonts w:ascii="Verdana" w:hAnsi="Verdana" w:cs="Arial"/>
          <w:b/>
        </w:rPr>
      </w:pPr>
    </w:p>
    <w:p w:rsidR="00683496" w:rsidRPr="006D2270" w:rsidRDefault="00683496" w:rsidP="00683496">
      <w:pPr>
        <w:rPr>
          <w:rFonts w:ascii="Verdana" w:hAnsi="Verdana" w:cs="Arial"/>
        </w:rPr>
      </w:pPr>
      <w:r w:rsidRPr="006D2270">
        <w:rPr>
          <w:rFonts w:ascii="Verdana" w:hAnsi="Verdana" w:cs="Arial"/>
          <w:b/>
        </w:rPr>
        <w:t>6.4.2.2. Wskaźnik zagęszczenia warstwy i wolna przestrzeń w warstwie</w:t>
      </w:r>
      <w:r w:rsidRPr="006D2270">
        <w:rPr>
          <w:rFonts w:ascii="Verdana" w:hAnsi="Verdana" w:cs="Arial"/>
        </w:rPr>
        <w:t xml:space="preserve">   </w:t>
      </w:r>
    </w:p>
    <w:p w:rsidR="00683496" w:rsidRPr="003E62F7" w:rsidRDefault="00683496" w:rsidP="00683496">
      <w:pPr>
        <w:tabs>
          <w:tab w:val="right" w:pos="0"/>
        </w:tabs>
        <w:jc w:val="both"/>
        <w:rPr>
          <w:rFonts w:ascii="Verdana" w:hAnsi="Verdana" w:cs="Arial"/>
        </w:rPr>
      </w:pPr>
      <w:r w:rsidRPr="003E62F7">
        <w:rPr>
          <w:rFonts w:ascii="Verdana" w:hAnsi="Verdana" w:cs="Arial"/>
        </w:rPr>
        <w:t>Zagęszczenie wykonanej warstwy, wyrażone wskaźnikiem zagęszczenia oraz zawartością wolnych przestrzeni, nie może przekroczyć wartości dopuszczalnych podanych w tabeli 1</w:t>
      </w:r>
      <w:r>
        <w:rPr>
          <w:rFonts w:ascii="Verdana" w:hAnsi="Verdana" w:cs="Arial"/>
        </w:rPr>
        <w:t>2</w:t>
      </w:r>
      <w:r w:rsidRPr="003E62F7">
        <w:rPr>
          <w:rFonts w:ascii="Verdana" w:hAnsi="Verdana" w:cs="Arial"/>
        </w:rPr>
        <w:t xml:space="preserve">. Odchyłki </w:t>
      </w:r>
      <w:r>
        <w:rPr>
          <w:rFonts w:ascii="Verdana" w:hAnsi="Verdana" w:cs="Arial"/>
        </w:rPr>
        <w:t xml:space="preserve">w zakresie wskaźnika zagęszczenia </w:t>
      </w:r>
      <w:r w:rsidRPr="003E62F7">
        <w:rPr>
          <w:rFonts w:ascii="Verdana" w:hAnsi="Verdana" w:cs="Arial"/>
        </w:rPr>
        <w:t xml:space="preserve">oraz sposób oceny </w:t>
      </w:r>
      <w:r>
        <w:rPr>
          <w:rFonts w:ascii="Verdana" w:hAnsi="Verdana" w:cs="Arial"/>
        </w:rPr>
        <w:t xml:space="preserve">należy </w:t>
      </w:r>
      <w:r w:rsidRPr="003E62F7">
        <w:rPr>
          <w:rFonts w:ascii="Verdana" w:hAnsi="Verdana" w:cs="Arial"/>
        </w:rPr>
        <w:t xml:space="preserve">przyjąć </w:t>
      </w:r>
      <w:r>
        <w:rPr>
          <w:rFonts w:ascii="Verdana" w:hAnsi="Verdana"/>
        </w:rPr>
        <w:t>zgodnie z</w:t>
      </w:r>
      <w:r w:rsidRPr="003E62F7">
        <w:rPr>
          <w:rFonts w:ascii="Verdana" w:hAnsi="Verdana" w:cs="Arial"/>
        </w:rPr>
        <w:t xml:space="preserve"> Instrukcj</w:t>
      </w:r>
      <w:r>
        <w:rPr>
          <w:rFonts w:ascii="Verdana" w:hAnsi="Verdana" w:cs="Arial"/>
        </w:rPr>
        <w:t>ą</w:t>
      </w:r>
      <w:r w:rsidRPr="003E62F7">
        <w:rPr>
          <w:rFonts w:ascii="Verdana" w:hAnsi="Verdana" w:cs="Arial"/>
        </w:rPr>
        <w:t xml:space="preserve"> D</w:t>
      </w:r>
      <w:r>
        <w:rPr>
          <w:rFonts w:ascii="Verdana" w:hAnsi="Verdana" w:cs="Arial"/>
        </w:rPr>
        <w:t xml:space="preserve">P-T 14 stanowiącą załącznik do zarządzenia </w:t>
      </w:r>
      <w:r w:rsidRPr="003E62F7">
        <w:rPr>
          <w:rFonts w:ascii="Verdana" w:hAnsi="Verdana" w:cs="Arial"/>
        </w:rPr>
        <w:t>nr 10 Generalnego Dyrektora Dróg Krajowych i Au</w:t>
      </w:r>
      <w:r>
        <w:rPr>
          <w:rFonts w:ascii="Verdana" w:hAnsi="Verdana" w:cs="Arial"/>
        </w:rPr>
        <w:t>tostrad z dnia 30 marca 2017 r.</w:t>
      </w:r>
    </w:p>
    <w:p w:rsidR="00683496" w:rsidRPr="003E62F7" w:rsidRDefault="00683496" w:rsidP="00683496">
      <w:pPr>
        <w:tabs>
          <w:tab w:val="right" w:pos="0"/>
        </w:tabs>
        <w:jc w:val="both"/>
        <w:rPr>
          <w:rFonts w:ascii="Verdana" w:hAnsi="Verdana" w:cs="Arial"/>
        </w:rPr>
      </w:pPr>
      <w:r w:rsidRPr="003E62F7">
        <w:rPr>
          <w:rFonts w:ascii="Verdana" w:hAnsi="Verdana" w:cs="Arial"/>
        </w:rPr>
        <w:t xml:space="preserve">Wskaźnik zagęszczenia warstwy należy obliczać z dokładnością do jednego miejsca </w:t>
      </w:r>
      <w:r>
        <w:rPr>
          <w:rFonts w:ascii="Verdana" w:hAnsi="Verdana" w:cs="Arial"/>
        </w:rPr>
        <w:br/>
      </w:r>
      <w:r w:rsidRPr="003E62F7">
        <w:rPr>
          <w:rFonts w:ascii="Verdana" w:hAnsi="Verdana" w:cs="Arial"/>
        </w:rPr>
        <w:t>po przecinku.</w:t>
      </w:r>
    </w:p>
    <w:p w:rsidR="00683496" w:rsidRPr="00F120FC" w:rsidRDefault="00683496" w:rsidP="00683496">
      <w:pPr>
        <w:tabs>
          <w:tab w:val="right" w:pos="0"/>
        </w:tabs>
        <w:jc w:val="both"/>
        <w:rPr>
          <w:rFonts w:ascii="Verdana" w:hAnsi="Verdana" w:cs="Arial"/>
        </w:rPr>
      </w:pPr>
      <w:r w:rsidRPr="003E62F7">
        <w:rPr>
          <w:rFonts w:ascii="Verdana" w:hAnsi="Verdana" w:cs="Arial"/>
        </w:rPr>
        <w:t>Określenie gęstości objętościowej należy wykonywać według PN-EN 12697-6 [32].</w:t>
      </w:r>
    </w:p>
    <w:p w:rsidR="00683496" w:rsidRPr="006D2270" w:rsidRDefault="00683496" w:rsidP="00683496">
      <w:pPr>
        <w:spacing w:before="120" w:after="120"/>
        <w:rPr>
          <w:rFonts w:ascii="Verdana" w:hAnsi="Verdana" w:cs="Arial"/>
        </w:rPr>
      </w:pPr>
      <w:r w:rsidRPr="006D2270">
        <w:rPr>
          <w:rFonts w:ascii="Verdana" w:hAnsi="Verdana" w:cs="Arial"/>
          <w:b/>
        </w:rPr>
        <w:t xml:space="preserve">6.4.2.3. Spadki poprzeczne                                                                                                                                                  </w:t>
      </w:r>
      <w:r w:rsidRPr="006D2270">
        <w:rPr>
          <w:rFonts w:ascii="Verdana" w:hAnsi="Verdana" w:cs="Arial"/>
        </w:rPr>
        <w:t xml:space="preserve">Spadki poprzeczne nawierzchni należy badać nie rzadziej niż co 50 m oraz w punktach głównych łuków poziomych.                                                                                                                                                                                          Spadki poprzeczne powinny być zgodne z ustaleniami Inspektora Nadzoru z tolerancją </w:t>
      </w:r>
      <w:r>
        <w:rPr>
          <w:rFonts w:ascii="Verdana" w:hAnsi="Verdana" w:cs="Arial"/>
        </w:rPr>
        <w:t xml:space="preserve">                  </w:t>
      </w:r>
      <w:r w:rsidRPr="006D2270">
        <w:rPr>
          <w:rFonts w:ascii="Verdana" w:hAnsi="Verdana" w:cs="Arial"/>
        </w:rPr>
        <w:t>± 0,5%.</w:t>
      </w:r>
    </w:p>
    <w:p w:rsidR="00683496" w:rsidRPr="006D2270" w:rsidRDefault="00683496" w:rsidP="00683496">
      <w:pPr>
        <w:jc w:val="both"/>
        <w:rPr>
          <w:rFonts w:ascii="Verdana" w:hAnsi="Verdana" w:cs="Arial"/>
          <w:b/>
        </w:rPr>
      </w:pPr>
      <w:r w:rsidRPr="006D2270">
        <w:rPr>
          <w:rFonts w:ascii="Verdana" w:hAnsi="Verdana" w:cs="Arial"/>
          <w:b/>
        </w:rPr>
        <w:t>6.4.2.4. Równość podłużna</w:t>
      </w:r>
    </w:p>
    <w:p w:rsidR="00683496" w:rsidRPr="006D2270" w:rsidRDefault="00683496" w:rsidP="00683496">
      <w:pPr>
        <w:jc w:val="both"/>
        <w:rPr>
          <w:rFonts w:ascii="Verdana" w:hAnsi="Verdana" w:cs="Arial"/>
          <w:b/>
        </w:rPr>
      </w:pPr>
      <w:r w:rsidRPr="006D2270">
        <w:rPr>
          <w:rFonts w:ascii="Verdana" w:hAnsi="Verdana" w:cs="Arial"/>
        </w:rPr>
        <w:t>Pomiary równości podłużnej należy wykonywać na każdym pasie ruchu w śladzie prawego koła.</w:t>
      </w:r>
    </w:p>
    <w:p w:rsidR="00683496" w:rsidRPr="006D2270" w:rsidRDefault="00683496" w:rsidP="00683496">
      <w:pPr>
        <w:jc w:val="both"/>
        <w:rPr>
          <w:rFonts w:ascii="Verdana" w:hAnsi="Verdana" w:cs="Arial"/>
        </w:rPr>
      </w:pPr>
      <w:r w:rsidRPr="006D2270">
        <w:rPr>
          <w:rFonts w:ascii="Verdana" w:hAnsi="Verdana" w:cs="Arial"/>
        </w:rPr>
        <w:t>Do oceny równości podłużnej warstwy ścieralnej nawierzchni dróg klasy Z i dróg wyższych klas należy stosować jedną z poniższych metod. Równość podłużna mierzona obiema metodami (metodą profilometryczną i łaty 4-metrowej) powinna być spełniona jednocześnie dla wykonanej warstwy ścieralnej.</w:t>
      </w:r>
    </w:p>
    <w:p w:rsidR="00683496" w:rsidRDefault="00683496" w:rsidP="00683496">
      <w:pPr>
        <w:jc w:val="both"/>
        <w:rPr>
          <w:rFonts w:ascii="Verdana" w:hAnsi="Verdana" w:cs="Arial"/>
          <w:b/>
        </w:rPr>
      </w:pPr>
    </w:p>
    <w:p w:rsidR="00683496" w:rsidRPr="006D2270" w:rsidRDefault="00683496" w:rsidP="00683496">
      <w:pPr>
        <w:jc w:val="both"/>
        <w:rPr>
          <w:rFonts w:ascii="Verdana" w:hAnsi="Verdana" w:cs="Arial"/>
          <w:b/>
        </w:rPr>
      </w:pPr>
      <w:r w:rsidRPr="006D2270">
        <w:rPr>
          <w:rFonts w:ascii="Verdana" w:hAnsi="Verdana" w:cs="Arial"/>
          <w:b/>
        </w:rPr>
        <w:t xml:space="preserve">6.4.2.4.1. Metoda profilometryczna </w:t>
      </w:r>
    </w:p>
    <w:p w:rsidR="00683496" w:rsidRPr="001D6A1B" w:rsidRDefault="00683496" w:rsidP="00683496">
      <w:pPr>
        <w:autoSpaceDE w:val="0"/>
        <w:autoSpaceDN w:val="0"/>
        <w:adjustRightInd w:val="0"/>
        <w:spacing w:line="260" w:lineRule="atLeast"/>
        <w:jc w:val="both"/>
        <w:rPr>
          <w:rFonts w:ascii="Verdana" w:hAnsi="Verdana"/>
        </w:rPr>
      </w:pPr>
      <w:r w:rsidRPr="001D6A1B">
        <w:rPr>
          <w:rFonts w:ascii="Verdana" w:hAnsi="Verdana"/>
        </w:rPr>
        <w:t xml:space="preserve">Do oceny równości podłużnej warstwy ścieralnej nawierzchni dróg klasy A, S, GP oraz G należy stosować metodę profilometryczną bazującą na wskaźnikach równości </w:t>
      </w:r>
      <w:r w:rsidRPr="001D6A1B">
        <w:rPr>
          <w:rFonts w:ascii="Verdana" w:hAnsi="Verdana"/>
          <w:i/>
        </w:rPr>
        <w:t>IRI</w:t>
      </w:r>
      <w:r w:rsidRPr="001D6A1B">
        <w:rPr>
          <w:rFonts w:ascii="Verdana" w:hAnsi="Verdana"/>
        </w:rPr>
        <w:t xml:space="preserve"> [mm/m].</w:t>
      </w:r>
      <w:r w:rsidRPr="001D6A1B">
        <w:rPr>
          <w:rFonts w:ascii="Verdana" w:hAnsi="Verdana"/>
          <w:b/>
        </w:rPr>
        <w:t xml:space="preserve"> </w:t>
      </w:r>
      <w:r w:rsidRPr="001D6A1B">
        <w:rPr>
          <w:rFonts w:ascii="Verdana" w:hAnsi="Verdana"/>
        </w:rPr>
        <w:t>Kierunek pomiaru powinien być zgodny z projektowanym kierunkiem jazdy.</w:t>
      </w:r>
      <w:r w:rsidRPr="001D6A1B">
        <w:rPr>
          <w:rFonts w:ascii="Verdana" w:hAnsi="Verdana"/>
          <w:b/>
        </w:rPr>
        <w:t xml:space="preserve"> </w:t>
      </w:r>
      <w:r w:rsidRPr="001D6A1B">
        <w:rPr>
          <w:rFonts w:ascii="Verdana" w:hAnsi="Verdana"/>
        </w:rPr>
        <w:t xml:space="preserve">Profil nierówności warstwy nawierzchni należy rejestrować z krokiem co 10 cm.  Wartość </w:t>
      </w:r>
      <w:r w:rsidRPr="001D6A1B">
        <w:rPr>
          <w:rFonts w:ascii="Verdana" w:hAnsi="Verdana"/>
          <w:i/>
        </w:rPr>
        <w:t>IRI</w:t>
      </w:r>
      <w:r w:rsidRPr="001D6A1B">
        <w:rPr>
          <w:rFonts w:ascii="Verdana" w:hAnsi="Verdana"/>
        </w:rPr>
        <w:t xml:space="preserve">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w:t>
      </w:r>
      <w:r w:rsidRPr="001D6A1B">
        <w:rPr>
          <w:rFonts w:ascii="Verdana" w:hAnsi="Verdana"/>
          <w:i/>
        </w:rPr>
        <w:t>IRI</w:t>
      </w:r>
      <w:r w:rsidRPr="001D6A1B">
        <w:rPr>
          <w:rFonts w:ascii="Verdana" w:hAnsi="Verdana"/>
        </w:rPr>
        <w:t xml:space="preserve"> równą 5. W przypadku odbioru robót na krótkich odcinkach nawierzchni, których całkowita długość jest mniejsza niż 250 m dopuszcza się wyznaczanie wskaźników </w:t>
      </w:r>
      <w:r w:rsidRPr="001D6A1B">
        <w:rPr>
          <w:rFonts w:ascii="Verdana" w:hAnsi="Verdana"/>
          <w:i/>
        </w:rPr>
        <w:t>IRI</w:t>
      </w:r>
      <w:r w:rsidRPr="001D6A1B">
        <w:rPr>
          <w:rFonts w:ascii="Verdana" w:hAnsi="Verdana"/>
        </w:rPr>
        <w:t xml:space="preserve"> z krokiem mniejszym niż 50 m, przy czym należy ustalać maksymalną możliwą długość kroku pomiarowego, z uwzględnieniem minimalnej wymaganej liczby wskaźników </w:t>
      </w:r>
      <w:r w:rsidRPr="001D6A1B">
        <w:rPr>
          <w:rFonts w:ascii="Verdana" w:hAnsi="Verdana"/>
          <w:i/>
        </w:rPr>
        <w:t>IRI</w:t>
      </w:r>
      <w:r w:rsidRPr="001D6A1B">
        <w:rPr>
          <w:rFonts w:ascii="Verdana" w:hAnsi="Verdana"/>
        </w:rPr>
        <w:t xml:space="preserve"> równej 5.</w:t>
      </w:r>
    </w:p>
    <w:p w:rsidR="00683496" w:rsidRDefault="00683496" w:rsidP="00683496">
      <w:pPr>
        <w:autoSpaceDE w:val="0"/>
        <w:autoSpaceDN w:val="0"/>
        <w:adjustRightInd w:val="0"/>
        <w:spacing w:line="260" w:lineRule="atLeast"/>
        <w:jc w:val="both"/>
        <w:rPr>
          <w:rFonts w:ascii="Verdana" w:hAnsi="Verdana"/>
        </w:rPr>
      </w:pPr>
      <w:r w:rsidRPr="001D6A1B">
        <w:rPr>
          <w:rFonts w:ascii="Verdana" w:hAnsi="Verdana"/>
        </w:rPr>
        <w:t xml:space="preserve">Wymagana równość podłużna jest określona przez dopuszczalną wartość średnią wyników pomiaru </w:t>
      </w:r>
      <w:proofErr w:type="spellStart"/>
      <w:r w:rsidRPr="001D6A1B">
        <w:rPr>
          <w:rFonts w:ascii="Verdana" w:hAnsi="Verdana"/>
          <w:i/>
        </w:rPr>
        <w:t>IRI</w:t>
      </w:r>
      <w:r w:rsidRPr="001D6A1B">
        <w:rPr>
          <w:rFonts w:ascii="Verdana" w:hAnsi="Verdana"/>
          <w:i/>
          <w:vertAlign w:val="subscript"/>
        </w:rPr>
        <w:t>śr</w:t>
      </w:r>
      <w:proofErr w:type="spellEnd"/>
      <w:r w:rsidRPr="001D6A1B">
        <w:rPr>
          <w:rFonts w:ascii="Verdana" w:hAnsi="Verdana"/>
        </w:rPr>
        <w:t xml:space="preserve"> oraz dopuszczalną wartość maksymalną pojedynczego pomiaru </w:t>
      </w:r>
      <w:proofErr w:type="spellStart"/>
      <w:r w:rsidRPr="001D6A1B">
        <w:rPr>
          <w:rFonts w:ascii="Verdana" w:hAnsi="Verdana"/>
          <w:i/>
        </w:rPr>
        <w:t>IRI</w:t>
      </w:r>
      <w:r w:rsidRPr="001D6A1B">
        <w:rPr>
          <w:rFonts w:ascii="Verdana" w:hAnsi="Verdana"/>
          <w:i/>
          <w:vertAlign w:val="subscript"/>
        </w:rPr>
        <w:t>max</w:t>
      </w:r>
      <w:proofErr w:type="spellEnd"/>
      <w:r w:rsidRPr="001D6A1B">
        <w:rPr>
          <w:rFonts w:ascii="Verdana" w:hAnsi="Verdana"/>
        </w:rPr>
        <w:t xml:space="preserve">, których </w:t>
      </w:r>
      <w:r w:rsidRPr="001D6A1B">
        <w:rPr>
          <w:rFonts w:ascii="Verdana" w:hAnsi="Verdana"/>
        </w:rPr>
        <w:lastRenderedPageBreak/>
        <w:t>nie można przekroczyć na długości ocenianego odcinka nawierzchni. Wartości dopuszczalne przy odbiorze warstwy ścieralnej metodą profilometryczną określa tabela 2</w:t>
      </w:r>
      <w:r>
        <w:rPr>
          <w:rFonts w:ascii="Verdana" w:hAnsi="Verdana"/>
        </w:rPr>
        <w:t>1</w:t>
      </w:r>
      <w:r w:rsidRPr="001D6A1B">
        <w:rPr>
          <w:rFonts w:ascii="Verdana" w:hAnsi="Verdana"/>
        </w:rPr>
        <w:t>:</w:t>
      </w:r>
    </w:p>
    <w:p w:rsidR="00683496" w:rsidRPr="001D6A1B" w:rsidRDefault="00683496" w:rsidP="00683496">
      <w:pPr>
        <w:autoSpaceDE w:val="0"/>
        <w:autoSpaceDN w:val="0"/>
        <w:adjustRightInd w:val="0"/>
        <w:spacing w:line="260" w:lineRule="atLeast"/>
        <w:jc w:val="both"/>
        <w:rPr>
          <w:rFonts w:ascii="Verdana" w:hAnsi="Verdana"/>
        </w:rPr>
      </w:pPr>
    </w:p>
    <w:p w:rsidR="00683496" w:rsidRPr="001D6A1B" w:rsidRDefault="00683496" w:rsidP="00683496">
      <w:pPr>
        <w:autoSpaceDE w:val="0"/>
        <w:autoSpaceDN w:val="0"/>
        <w:adjustRightInd w:val="0"/>
        <w:spacing w:after="120" w:line="260" w:lineRule="atLeast"/>
        <w:ind w:left="1560" w:hanging="1560"/>
        <w:jc w:val="both"/>
        <w:rPr>
          <w:rFonts w:ascii="Verdana" w:hAnsi="Verdana"/>
        </w:rPr>
      </w:pPr>
      <w:r w:rsidRPr="001D6A1B">
        <w:rPr>
          <w:rFonts w:ascii="Verdana" w:hAnsi="Verdana"/>
        </w:rPr>
        <w:t>Tabela 2</w:t>
      </w:r>
      <w:r>
        <w:rPr>
          <w:rFonts w:ascii="Verdana" w:hAnsi="Verdana"/>
        </w:rPr>
        <w:t>1</w:t>
      </w:r>
      <w:r w:rsidRPr="001D6A1B">
        <w:rPr>
          <w:rFonts w:ascii="Verdana" w:hAnsi="Verdana"/>
          <w:b/>
        </w:rPr>
        <w:t>.</w:t>
      </w:r>
      <w:r w:rsidRPr="001D6A1B">
        <w:rPr>
          <w:rFonts w:ascii="Verdana" w:hAnsi="Verdana"/>
        </w:rPr>
        <w:t xml:space="preserve"> Dopuszczalne wartości przy odbiorze warstwy ścieralnej metodą profilometryczną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9"/>
        <w:gridCol w:w="3599"/>
        <w:gridCol w:w="1722"/>
        <w:gridCol w:w="1722"/>
      </w:tblGrid>
      <w:tr w:rsidR="00683496" w:rsidRPr="001D6A1B" w:rsidTr="00683496">
        <w:trPr>
          <w:trHeight w:val="674"/>
        </w:trPr>
        <w:tc>
          <w:tcPr>
            <w:tcW w:w="2029" w:type="dxa"/>
            <w:vMerge w:val="restart"/>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Klasa drogi</w:t>
            </w:r>
          </w:p>
        </w:tc>
        <w:tc>
          <w:tcPr>
            <w:tcW w:w="3599" w:type="dxa"/>
            <w:vMerge w:val="restart"/>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Element nawierzchni</w:t>
            </w:r>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Dopuszczalne odbiorcze wartości wskaźników dla zadanego zakresu długości odcinka drogi [mm/m]</w:t>
            </w:r>
          </w:p>
        </w:tc>
      </w:tr>
      <w:tr w:rsidR="00683496" w:rsidRPr="001D6A1B" w:rsidTr="00683496">
        <w:trPr>
          <w:trHeight w:val="258"/>
        </w:trPr>
        <w:tc>
          <w:tcPr>
            <w:tcW w:w="2029" w:type="dxa"/>
            <w:vMerge/>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proofErr w:type="spellStart"/>
            <w:r w:rsidRPr="008307F7">
              <w:rPr>
                <w:rFonts w:ascii="Verdana" w:hAnsi="Verdana"/>
                <w:i/>
              </w:rPr>
              <w:t>IRI</w:t>
            </w:r>
            <w:r w:rsidRPr="008307F7">
              <w:rPr>
                <w:rFonts w:ascii="Verdana" w:hAnsi="Verdana"/>
                <w:i/>
                <w:vertAlign w:val="subscript"/>
              </w:rPr>
              <w:t>śr</w:t>
            </w:r>
            <w:proofErr w:type="spellEnd"/>
            <w:r w:rsidRPr="008307F7">
              <w:rPr>
                <w:rFonts w:ascii="Verdana" w:hAnsi="Verdana"/>
              </w:rPr>
              <w:t>*</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proofErr w:type="spellStart"/>
            <w:r w:rsidRPr="008307F7">
              <w:rPr>
                <w:rFonts w:ascii="Verdana" w:hAnsi="Verdana"/>
                <w:i/>
              </w:rPr>
              <w:t>IRI</w:t>
            </w:r>
            <w:r w:rsidRPr="008307F7">
              <w:rPr>
                <w:rFonts w:ascii="Verdana" w:hAnsi="Verdana"/>
                <w:i/>
                <w:vertAlign w:val="subscript"/>
              </w:rPr>
              <w:t>max</w:t>
            </w:r>
            <w:proofErr w:type="spellEnd"/>
          </w:p>
        </w:tc>
      </w:tr>
      <w:tr w:rsidR="00683496" w:rsidRPr="001D6A1B" w:rsidTr="00683496">
        <w:trPr>
          <w:trHeight w:val="53"/>
        </w:trPr>
        <w:tc>
          <w:tcPr>
            <w:tcW w:w="2029"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1</w:t>
            </w:r>
          </w:p>
        </w:tc>
        <w:tc>
          <w:tcPr>
            <w:tcW w:w="3599"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2</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3</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4</w:t>
            </w:r>
          </w:p>
        </w:tc>
      </w:tr>
      <w:tr w:rsidR="00683496" w:rsidRPr="001D6A1B" w:rsidTr="00683496">
        <w:tc>
          <w:tcPr>
            <w:tcW w:w="2029" w:type="dxa"/>
            <w:vMerge w:val="restart"/>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A, S, GP</w:t>
            </w:r>
          </w:p>
        </w:tc>
        <w:tc>
          <w:tcPr>
            <w:tcW w:w="3599"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Pasy ruchu zasadnicze, awaryjne, dodatkowe, włączenia i wyłączenia, jezdnie łącznic</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1,3</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2,4</w:t>
            </w:r>
          </w:p>
        </w:tc>
      </w:tr>
      <w:tr w:rsidR="00683496" w:rsidRPr="001D6A1B" w:rsidTr="00683496">
        <w:tc>
          <w:tcPr>
            <w:tcW w:w="2029" w:type="dxa"/>
            <w:vMerge/>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p>
        </w:tc>
        <w:tc>
          <w:tcPr>
            <w:tcW w:w="3599"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Jezdnie MOP,</w:t>
            </w:r>
          </w:p>
          <w:p w:rsidR="00683496" w:rsidRPr="008307F7" w:rsidRDefault="00683496" w:rsidP="00683496">
            <w:pPr>
              <w:autoSpaceDE w:val="0"/>
              <w:autoSpaceDN w:val="0"/>
              <w:adjustRightInd w:val="0"/>
              <w:jc w:val="center"/>
              <w:rPr>
                <w:rFonts w:ascii="Verdana" w:hAnsi="Verdana"/>
              </w:rPr>
            </w:pPr>
            <w:r w:rsidRPr="008307F7">
              <w:rPr>
                <w:rFonts w:ascii="Verdana" w:hAnsi="Verdana"/>
              </w:rPr>
              <w:t>utwardzone pobocza</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1,5</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2,7</w:t>
            </w:r>
          </w:p>
        </w:tc>
      </w:tr>
      <w:tr w:rsidR="00683496" w:rsidRPr="001D6A1B" w:rsidTr="00683496">
        <w:trPr>
          <w:cantSplit/>
          <w:trHeight w:val="499"/>
        </w:trPr>
        <w:tc>
          <w:tcPr>
            <w:tcW w:w="2029" w:type="dxa"/>
            <w:vMerge w:val="restart"/>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G</w:t>
            </w:r>
          </w:p>
        </w:tc>
        <w:tc>
          <w:tcPr>
            <w:tcW w:w="3599"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Pasy ruchu zasadnicze, dodatkowe, włączenia i wyłączenia, postojowe</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1,7</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3,4</w:t>
            </w:r>
          </w:p>
        </w:tc>
      </w:tr>
      <w:tr w:rsidR="00683496" w:rsidRPr="001D6A1B" w:rsidTr="00683496">
        <w:trPr>
          <w:cantSplit/>
          <w:trHeight w:val="266"/>
        </w:trPr>
        <w:tc>
          <w:tcPr>
            <w:tcW w:w="2029" w:type="dxa"/>
            <w:vMerge/>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p>
        </w:tc>
        <w:tc>
          <w:tcPr>
            <w:tcW w:w="3599"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Utwardzone pobocza</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2,0</w:t>
            </w:r>
          </w:p>
        </w:tc>
        <w:tc>
          <w:tcPr>
            <w:tcW w:w="1722" w:type="dxa"/>
            <w:tcBorders>
              <w:top w:val="single" w:sz="4" w:space="0" w:color="auto"/>
              <w:left w:val="single" w:sz="4" w:space="0" w:color="auto"/>
              <w:bottom w:val="single" w:sz="4" w:space="0" w:color="auto"/>
              <w:right w:val="single" w:sz="4"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3,8</w:t>
            </w:r>
          </w:p>
        </w:tc>
      </w:tr>
      <w:tr w:rsidR="00683496" w:rsidRPr="001D6A1B" w:rsidTr="00683496">
        <w:trPr>
          <w:cantSplit/>
          <w:trHeight w:val="266"/>
        </w:trPr>
        <w:tc>
          <w:tcPr>
            <w:tcW w:w="9072" w:type="dxa"/>
            <w:gridSpan w:val="4"/>
            <w:tcBorders>
              <w:top w:val="single" w:sz="4" w:space="0" w:color="auto"/>
              <w:left w:val="single" w:sz="4" w:space="0" w:color="auto"/>
              <w:bottom w:val="single" w:sz="4" w:space="0" w:color="auto"/>
              <w:right w:val="single" w:sz="4" w:space="0" w:color="auto"/>
            </w:tcBorders>
            <w:vAlign w:val="center"/>
          </w:tcPr>
          <w:p w:rsidR="00683496" w:rsidRPr="001D6A1B" w:rsidRDefault="00683496" w:rsidP="00683496">
            <w:pPr>
              <w:autoSpaceDE w:val="0"/>
              <w:autoSpaceDN w:val="0"/>
              <w:adjustRightInd w:val="0"/>
              <w:spacing w:line="260" w:lineRule="atLeast"/>
              <w:jc w:val="both"/>
              <w:rPr>
                <w:rFonts w:ascii="Verdana" w:hAnsi="Verdana"/>
              </w:rPr>
            </w:pPr>
            <w:r w:rsidRPr="001D6A1B">
              <w:rPr>
                <w:rFonts w:ascii="Verdana" w:hAnsi="Verdana"/>
              </w:rPr>
              <w:t>* w przypadku:</w:t>
            </w:r>
          </w:p>
          <w:p w:rsidR="00683496" w:rsidRPr="001D6A1B" w:rsidRDefault="00683496" w:rsidP="00683496">
            <w:pPr>
              <w:autoSpaceDE w:val="0"/>
              <w:autoSpaceDN w:val="0"/>
              <w:adjustRightInd w:val="0"/>
              <w:spacing w:line="260" w:lineRule="atLeast"/>
              <w:jc w:val="both"/>
              <w:rPr>
                <w:rFonts w:ascii="Verdana" w:hAnsi="Verdana"/>
              </w:rPr>
            </w:pPr>
            <w:r w:rsidRPr="001D6A1B">
              <w:rPr>
                <w:rFonts w:ascii="Verdana" w:hAnsi="Verdana"/>
              </w:rPr>
              <w:sym w:font="Symbol" w:char="F02D"/>
            </w:r>
            <w:r>
              <w:rPr>
                <w:rFonts w:ascii="Verdana" w:hAnsi="Verdana"/>
              </w:rPr>
              <w:t xml:space="preserve">    </w:t>
            </w:r>
            <w:r w:rsidRPr="001D6A1B">
              <w:rPr>
                <w:rFonts w:ascii="Verdana" w:hAnsi="Verdana"/>
              </w:rPr>
              <w:t>odbioru odcinków warstwy nawierzchni o całkowitej długości mniejszej niż 500 m,</w:t>
            </w:r>
          </w:p>
          <w:p w:rsidR="00683496" w:rsidRDefault="00683496" w:rsidP="00683496">
            <w:pPr>
              <w:autoSpaceDE w:val="0"/>
              <w:autoSpaceDN w:val="0"/>
              <w:adjustRightInd w:val="0"/>
              <w:spacing w:line="260" w:lineRule="atLeast"/>
              <w:ind w:left="426" w:hanging="426"/>
              <w:jc w:val="both"/>
              <w:rPr>
                <w:rFonts w:ascii="Verdana" w:hAnsi="Verdana"/>
              </w:rPr>
            </w:pPr>
            <w:r w:rsidRPr="001D6A1B">
              <w:rPr>
                <w:rFonts w:ascii="Verdana" w:hAnsi="Verdana"/>
              </w:rPr>
              <w:sym w:font="Symbol" w:char="F02D"/>
            </w:r>
            <w:r w:rsidRPr="001D6A1B">
              <w:rPr>
                <w:rFonts w:ascii="Verdana" w:hAnsi="Verdana"/>
              </w:rPr>
              <w:tab/>
              <w:t xml:space="preserve">odbioru robót polegających na ułożeniu na istniejącej nawierzchni jedynie warstwy ścieralnej (niezależnie od długości odcinka robót), </w:t>
            </w:r>
          </w:p>
          <w:p w:rsidR="00683496" w:rsidRPr="008307F7" w:rsidRDefault="00683496" w:rsidP="00683496">
            <w:pPr>
              <w:autoSpaceDE w:val="0"/>
              <w:autoSpaceDN w:val="0"/>
              <w:adjustRightInd w:val="0"/>
              <w:spacing w:line="260" w:lineRule="atLeast"/>
              <w:ind w:left="426" w:hanging="426"/>
              <w:jc w:val="both"/>
              <w:rPr>
                <w:rFonts w:ascii="Verdana" w:hAnsi="Verdana"/>
              </w:rPr>
            </w:pPr>
            <w:r w:rsidRPr="001D6A1B">
              <w:rPr>
                <w:rFonts w:ascii="Verdana" w:hAnsi="Verdana"/>
              </w:rPr>
              <w:t xml:space="preserve">dopuszczalną wartość </w:t>
            </w:r>
            <w:proofErr w:type="spellStart"/>
            <w:r w:rsidRPr="001D6A1B">
              <w:rPr>
                <w:rFonts w:ascii="Verdana" w:hAnsi="Verdana"/>
                <w:i/>
              </w:rPr>
              <w:t>IRI</w:t>
            </w:r>
            <w:r w:rsidRPr="001D6A1B">
              <w:rPr>
                <w:rFonts w:ascii="Verdana" w:hAnsi="Verdana"/>
                <w:i/>
                <w:vertAlign w:val="subscript"/>
              </w:rPr>
              <w:t>śr</w:t>
            </w:r>
            <w:proofErr w:type="spellEnd"/>
            <w:r w:rsidRPr="001D6A1B">
              <w:rPr>
                <w:rFonts w:ascii="Verdana" w:hAnsi="Verdana"/>
              </w:rPr>
              <w:t xml:space="preserve"> wg tabeli należy zwiększyć o 0,2 mm/m.</w:t>
            </w:r>
          </w:p>
        </w:tc>
      </w:tr>
    </w:tbl>
    <w:p w:rsidR="00683496" w:rsidRDefault="00683496" w:rsidP="00683496">
      <w:pPr>
        <w:jc w:val="both"/>
        <w:rPr>
          <w:rFonts w:ascii="Verdana" w:hAnsi="Verdana" w:cs="Arial"/>
          <w:b/>
        </w:rPr>
      </w:pPr>
    </w:p>
    <w:p w:rsidR="00683496" w:rsidRPr="006D2270" w:rsidRDefault="00683496" w:rsidP="00683496">
      <w:pPr>
        <w:jc w:val="both"/>
        <w:rPr>
          <w:rFonts w:ascii="Verdana" w:hAnsi="Verdana" w:cs="Arial"/>
          <w:b/>
        </w:rPr>
      </w:pPr>
      <w:r w:rsidRPr="006D2270">
        <w:rPr>
          <w:rFonts w:ascii="Verdana" w:hAnsi="Verdana" w:cs="Arial"/>
          <w:b/>
        </w:rPr>
        <w:t xml:space="preserve">6.4.2.4.2. Metoda równoważna metodzie czterometrowej łaty i klina </w:t>
      </w:r>
    </w:p>
    <w:p w:rsidR="00683496" w:rsidRDefault="00683496" w:rsidP="00683496">
      <w:pPr>
        <w:jc w:val="both"/>
        <w:rPr>
          <w:rFonts w:ascii="Verdana" w:hAnsi="Verdana" w:cs="Arial"/>
        </w:rPr>
      </w:pPr>
      <w:r w:rsidRPr="001D6A1B">
        <w:rPr>
          <w:rFonts w:ascii="Verdana" w:hAnsi="Verdana"/>
        </w:rPr>
        <w:t xml:space="preserve">Do oceny równości podłużnej warstwy ścieralnej nawierzchni dróg klasy Z, L, D oraz placów i parkingów należy stosować metodę pomiaru ciągłego równoważną użyciu łaty i klina z wykorzystaniem </w:t>
      </w:r>
      <w:proofErr w:type="spellStart"/>
      <w:r w:rsidRPr="001D6A1B">
        <w:rPr>
          <w:rFonts w:ascii="Verdana" w:hAnsi="Verdana"/>
        </w:rPr>
        <w:t>planografu</w:t>
      </w:r>
      <w:proofErr w:type="spellEnd"/>
      <w:r w:rsidRPr="001D6A1B">
        <w:rPr>
          <w:rFonts w:ascii="Verdana" w:hAnsi="Verdana"/>
        </w:rPr>
        <w:t xml:space="preserve">, umożliwiającego wyznaczanie odchyleń równości podłużnej jako największej odległości (prześwitu) pomiędzy teoretyczną linią łączącą spody kółek jezdnych urządzenia, a mierzoną powierzchnią warstwy [mm]. W miejscach niedostępnych dla </w:t>
      </w:r>
      <w:proofErr w:type="spellStart"/>
      <w:r w:rsidRPr="001D6A1B">
        <w:rPr>
          <w:rFonts w:ascii="Verdana" w:hAnsi="Verdana"/>
        </w:rPr>
        <w:t>planografu</w:t>
      </w:r>
      <w:proofErr w:type="spellEnd"/>
      <w:r w:rsidRPr="001D6A1B">
        <w:rPr>
          <w:rFonts w:ascii="Verdana" w:hAnsi="Verdana"/>
        </w:rPr>
        <w:t xml:space="preserve"> pomiar równości podłużnej warstw nawierzchni należy wykonać w sposób ciągły z użyciem łaty i klina.</w:t>
      </w:r>
      <w:r w:rsidRPr="00F76C31">
        <w:rPr>
          <w:rFonts w:ascii="Verdana" w:hAnsi="Verdana" w:cs="Arial"/>
        </w:rPr>
        <w:t xml:space="preserve"> </w:t>
      </w:r>
      <w:r w:rsidRPr="002876EA">
        <w:rPr>
          <w:rFonts w:ascii="Verdana" w:hAnsi="Verdana" w:cs="Arial"/>
        </w:rPr>
        <w:t>Dopuszczalne nierówności określa tabela:</w:t>
      </w:r>
    </w:p>
    <w:p w:rsidR="00683496" w:rsidRPr="002876EA" w:rsidRDefault="00683496" w:rsidP="00683496">
      <w:pPr>
        <w:jc w:val="both"/>
        <w:rPr>
          <w:rFonts w:ascii="Verdana" w:hAnsi="Verdana" w:cs="Arial"/>
        </w:rPr>
      </w:pPr>
      <w:r w:rsidRPr="002876EA">
        <w:rPr>
          <w:rFonts w:ascii="Verdana" w:hAnsi="Verdana" w:cs="Arial"/>
        </w:rPr>
        <w:tab/>
      </w:r>
    </w:p>
    <w:p w:rsidR="00683496" w:rsidRPr="002876EA" w:rsidRDefault="00683496" w:rsidP="00683496">
      <w:pPr>
        <w:jc w:val="both"/>
        <w:rPr>
          <w:rFonts w:ascii="Verdana" w:hAnsi="Verdana" w:cs="Arial"/>
        </w:rPr>
      </w:pPr>
      <w:r w:rsidRPr="002876EA">
        <w:rPr>
          <w:rFonts w:ascii="Verdana" w:hAnsi="Verdana" w:cs="Arial"/>
        </w:rPr>
        <w:t>Tab</w:t>
      </w:r>
      <w:r>
        <w:rPr>
          <w:rFonts w:ascii="Verdana" w:hAnsi="Verdana" w:cs="Arial"/>
        </w:rPr>
        <w:t>ela</w:t>
      </w:r>
      <w:r w:rsidRPr="002876EA">
        <w:rPr>
          <w:rFonts w:ascii="Verdana" w:hAnsi="Verdana" w:cs="Arial"/>
        </w:rPr>
        <w:t xml:space="preserve"> 2</w:t>
      </w:r>
      <w:r>
        <w:rPr>
          <w:rFonts w:ascii="Verdana" w:hAnsi="Verdana" w:cs="Arial"/>
        </w:rPr>
        <w:t>2</w:t>
      </w:r>
      <w:r w:rsidRPr="002876EA">
        <w:rPr>
          <w:rFonts w:ascii="Verdana" w:hAnsi="Verdana" w:cs="Arial"/>
        </w:rPr>
        <w:t>. Dopuszczalne nierówności podłużne dla warstwy ścieralnej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425"/>
        <w:gridCol w:w="2662"/>
      </w:tblGrid>
      <w:tr w:rsidR="00683496" w:rsidRPr="001D6A1B" w:rsidTr="00683496">
        <w:tc>
          <w:tcPr>
            <w:tcW w:w="1985" w:type="dxa"/>
            <w:vAlign w:val="center"/>
          </w:tcPr>
          <w:p w:rsidR="00683496" w:rsidRPr="001D6A1B" w:rsidRDefault="00683496" w:rsidP="00683496">
            <w:pPr>
              <w:spacing w:before="40" w:after="40"/>
              <w:jc w:val="center"/>
              <w:rPr>
                <w:rFonts w:ascii="Verdana" w:hAnsi="Verdana"/>
              </w:rPr>
            </w:pPr>
            <w:r w:rsidRPr="001D6A1B">
              <w:rPr>
                <w:rFonts w:ascii="Verdana" w:hAnsi="Verdana"/>
              </w:rPr>
              <w:t>Klasa drogi</w:t>
            </w:r>
          </w:p>
        </w:tc>
        <w:tc>
          <w:tcPr>
            <w:tcW w:w="4425"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Element nawierzchni</w:t>
            </w:r>
          </w:p>
        </w:tc>
        <w:tc>
          <w:tcPr>
            <w:tcW w:w="2662" w:type="dxa"/>
            <w:vAlign w:val="center"/>
          </w:tcPr>
          <w:p w:rsidR="00683496" w:rsidRPr="001D6A1B" w:rsidRDefault="00683496" w:rsidP="00683496">
            <w:pPr>
              <w:spacing w:before="40" w:after="40"/>
              <w:jc w:val="center"/>
              <w:rPr>
                <w:rFonts w:ascii="Verdana" w:hAnsi="Verdana"/>
              </w:rPr>
            </w:pPr>
            <w:r w:rsidRPr="001D6A1B">
              <w:rPr>
                <w:rFonts w:ascii="Verdana" w:hAnsi="Verdana"/>
              </w:rPr>
              <w:t>Dopuszczalne odbiorcze wartości odchyleń równości podłużnej warstwy ścieralnej [mm]</w:t>
            </w:r>
          </w:p>
        </w:tc>
      </w:tr>
      <w:tr w:rsidR="00683496" w:rsidRPr="001D6A1B" w:rsidTr="00683496">
        <w:tc>
          <w:tcPr>
            <w:tcW w:w="1985" w:type="dxa"/>
            <w:vMerge w:val="restart"/>
            <w:vAlign w:val="center"/>
          </w:tcPr>
          <w:p w:rsidR="00683496" w:rsidRPr="001D6A1B" w:rsidRDefault="00683496" w:rsidP="00683496">
            <w:pPr>
              <w:tabs>
                <w:tab w:val="left" w:pos="397"/>
                <w:tab w:val="left" w:pos="567"/>
                <w:tab w:val="left" w:pos="737"/>
              </w:tabs>
              <w:spacing w:before="40" w:after="40"/>
              <w:jc w:val="center"/>
              <w:rPr>
                <w:rFonts w:ascii="Verdana" w:hAnsi="Verdana"/>
              </w:rPr>
            </w:pPr>
            <w:r w:rsidRPr="001D6A1B">
              <w:rPr>
                <w:rFonts w:ascii="Verdana" w:hAnsi="Verdana"/>
              </w:rPr>
              <w:t>Z</w:t>
            </w:r>
          </w:p>
        </w:tc>
        <w:tc>
          <w:tcPr>
            <w:tcW w:w="4425"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Pasy ruchu zasadnicze, dodatkowe, włączenia i wyłączenia, postojowe</w:t>
            </w:r>
          </w:p>
        </w:tc>
        <w:tc>
          <w:tcPr>
            <w:tcW w:w="2662"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6</w:t>
            </w:r>
          </w:p>
        </w:tc>
      </w:tr>
      <w:tr w:rsidR="00683496" w:rsidRPr="001D6A1B" w:rsidTr="00683496">
        <w:tc>
          <w:tcPr>
            <w:tcW w:w="1985" w:type="dxa"/>
            <w:vMerge/>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p>
        </w:tc>
        <w:tc>
          <w:tcPr>
            <w:tcW w:w="4425"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Utwardzone pobocza</w:t>
            </w:r>
          </w:p>
        </w:tc>
        <w:tc>
          <w:tcPr>
            <w:tcW w:w="2662"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9</w:t>
            </w:r>
          </w:p>
        </w:tc>
      </w:tr>
      <w:tr w:rsidR="00683496" w:rsidRPr="001D6A1B" w:rsidTr="00683496">
        <w:trPr>
          <w:trHeight w:val="909"/>
        </w:trPr>
        <w:tc>
          <w:tcPr>
            <w:tcW w:w="1985"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L, D, place, parkingi</w:t>
            </w:r>
          </w:p>
        </w:tc>
        <w:tc>
          <w:tcPr>
            <w:tcW w:w="4425"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Wszystkie pasy ruchu i powierzchnie przeznaczone do ruchu i postoju pojazdów</w:t>
            </w:r>
          </w:p>
        </w:tc>
        <w:tc>
          <w:tcPr>
            <w:tcW w:w="2662" w:type="dxa"/>
            <w:vAlign w:val="center"/>
          </w:tcPr>
          <w:p w:rsidR="00683496" w:rsidRPr="001D6A1B" w:rsidRDefault="00683496" w:rsidP="002122BD">
            <w:pPr>
              <w:numPr>
                <w:ilvl w:val="0"/>
                <w:numId w:val="46"/>
              </w:numPr>
              <w:tabs>
                <w:tab w:val="left" w:pos="397"/>
                <w:tab w:val="left" w:pos="567"/>
                <w:tab w:val="left" w:pos="737"/>
              </w:tabs>
              <w:spacing w:before="40" w:after="40"/>
              <w:jc w:val="center"/>
              <w:rPr>
                <w:rFonts w:ascii="Verdana" w:hAnsi="Verdana"/>
              </w:rPr>
            </w:pPr>
            <w:r w:rsidRPr="001D6A1B">
              <w:rPr>
                <w:rFonts w:ascii="Verdana" w:hAnsi="Verdana"/>
              </w:rPr>
              <w:t>9</w:t>
            </w:r>
          </w:p>
        </w:tc>
      </w:tr>
    </w:tbl>
    <w:p w:rsidR="00683496" w:rsidRPr="00F56FA6" w:rsidRDefault="00683496" w:rsidP="00683496">
      <w:pPr>
        <w:jc w:val="both"/>
        <w:rPr>
          <w:rFonts w:ascii="Verdana" w:hAnsi="Verdana" w:cs="Arial"/>
        </w:rPr>
      </w:pPr>
      <w:r w:rsidRPr="006D2270">
        <w:rPr>
          <w:rFonts w:ascii="Verdana" w:hAnsi="Verdana" w:cs="Arial"/>
          <w:b/>
        </w:rPr>
        <w:t>6.4.2.5. Równość poprzeczna</w:t>
      </w:r>
    </w:p>
    <w:p w:rsidR="00683496" w:rsidRDefault="00683496" w:rsidP="00B718AA">
      <w:pPr>
        <w:spacing w:line="260" w:lineRule="atLeast"/>
        <w:jc w:val="both"/>
        <w:rPr>
          <w:rFonts w:ascii="Verdana" w:hAnsi="Verdana"/>
        </w:rPr>
      </w:pPr>
      <w:r w:rsidRPr="008307F7">
        <w:rPr>
          <w:rFonts w:ascii="Verdana" w:hAnsi="Verdana"/>
        </w:rPr>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t>
      </w:r>
      <w:r w:rsidRPr="008307F7">
        <w:rPr>
          <w:rFonts w:ascii="Verdana" w:hAnsi="Verdana"/>
        </w:rPr>
        <w:lastRenderedPageBreak/>
        <w:t>wyznaczać z krokiem co 1 m. W miejscach niedostępnych dla profilografu pomiar równości poprzecznej warstw nawierzchni należy wykonać z użyciem łaty i klina. Długość łaty w pomiarze równości poprzecznej powinna wynosić 2 m. Pomiar powinien być wykonywany nie rzadziej niż co 5 m. Wartości dopuszczalne odchyleń równości poprzecznej przy odbiorze warstwy określa tabela:</w:t>
      </w:r>
    </w:p>
    <w:p w:rsidR="00B718AA" w:rsidRPr="008307F7" w:rsidRDefault="00B718AA" w:rsidP="00B718AA">
      <w:pPr>
        <w:spacing w:line="260" w:lineRule="atLeast"/>
        <w:jc w:val="both"/>
        <w:rPr>
          <w:rFonts w:ascii="Verdana" w:hAnsi="Verdana"/>
        </w:rPr>
      </w:pPr>
    </w:p>
    <w:p w:rsidR="00683496" w:rsidRPr="008307F7" w:rsidRDefault="00683496" w:rsidP="00683496">
      <w:pPr>
        <w:spacing w:after="120" w:line="260" w:lineRule="atLeast"/>
        <w:rPr>
          <w:rFonts w:ascii="Verdana" w:hAnsi="Verdana"/>
        </w:rPr>
      </w:pPr>
      <w:r w:rsidRPr="008307F7">
        <w:rPr>
          <w:rFonts w:ascii="Verdana" w:hAnsi="Verdana"/>
        </w:rPr>
        <w:t>Tabela 2</w:t>
      </w:r>
      <w:r>
        <w:rPr>
          <w:rFonts w:ascii="Verdana" w:hAnsi="Verdana"/>
        </w:rPr>
        <w:t>3</w:t>
      </w:r>
      <w:r w:rsidRPr="008307F7">
        <w:rPr>
          <w:rFonts w:ascii="Verdana" w:hAnsi="Verdana"/>
        </w:rPr>
        <w:t>. Wartości dopuszczalne odchyleń równości poprzecznej przy odbiorze warstwy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3506"/>
        <w:gridCol w:w="2892"/>
      </w:tblGrid>
      <w:tr w:rsidR="00683496" w:rsidRPr="008307F7" w:rsidTr="00683496">
        <w:tc>
          <w:tcPr>
            <w:tcW w:w="2835" w:type="dxa"/>
            <w:vAlign w:val="center"/>
          </w:tcPr>
          <w:p w:rsidR="00683496" w:rsidRPr="008307F7" w:rsidRDefault="00683496" w:rsidP="00683496">
            <w:pPr>
              <w:jc w:val="center"/>
              <w:rPr>
                <w:rFonts w:ascii="Verdana" w:hAnsi="Verdana"/>
              </w:rPr>
            </w:pPr>
            <w:r w:rsidRPr="008307F7">
              <w:rPr>
                <w:rFonts w:ascii="Verdana" w:hAnsi="Verdana"/>
              </w:rPr>
              <w:t>Klasa drogi</w:t>
            </w:r>
          </w:p>
        </w:tc>
        <w:tc>
          <w:tcPr>
            <w:tcW w:w="3575" w:type="dxa"/>
            <w:vAlign w:val="center"/>
          </w:tcPr>
          <w:p w:rsidR="00683496" w:rsidRPr="008307F7" w:rsidRDefault="00683496" w:rsidP="00683496">
            <w:pPr>
              <w:jc w:val="center"/>
              <w:rPr>
                <w:rFonts w:ascii="Verdana" w:hAnsi="Verdana"/>
              </w:rPr>
            </w:pPr>
            <w:r w:rsidRPr="008307F7">
              <w:rPr>
                <w:rFonts w:ascii="Verdana" w:hAnsi="Verdana"/>
              </w:rPr>
              <w:t>Element nawierzchni</w:t>
            </w:r>
          </w:p>
        </w:tc>
        <w:tc>
          <w:tcPr>
            <w:tcW w:w="2946" w:type="dxa"/>
            <w:vAlign w:val="center"/>
          </w:tcPr>
          <w:p w:rsidR="00683496" w:rsidRPr="008307F7" w:rsidRDefault="00683496" w:rsidP="00683496">
            <w:pPr>
              <w:jc w:val="center"/>
              <w:rPr>
                <w:rFonts w:ascii="Verdana" w:hAnsi="Verdana"/>
              </w:rPr>
            </w:pPr>
            <w:r w:rsidRPr="008307F7">
              <w:rPr>
                <w:rFonts w:ascii="Verdana" w:hAnsi="Verdana"/>
              </w:rPr>
              <w:t xml:space="preserve">Dopuszczalne odbiorcze wartości odchyleń równości </w:t>
            </w:r>
            <w:r>
              <w:rPr>
                <w:rFonts w:ascii="Verdana" w:hAnsi="Verdana"/>
              </w:rPr>
              <w:t xml:space="preserve">poprzecznej </w:t>
            </w:r>
            <w:r w:rsidRPr="008307F7">
              <w:rPr>
                <w:rFonts w:ascii="Verdana" w:hAnsi="Verdana"/>
              </w:rPr>
              <w:t>warstwy ścieralnej [mm]</w:t>
            </w:r>
          </w:p>
        </w:tc>
      </w:tr>
      <w:tr w:rsidR="00683496" w:rsidRPr="008307F7" w:rsidTr="00683496">
        <w:tc>
          <w:tcPr>
            <w:tcW w:w="2835" w:type="dxa"/>
            <w:vMerge w:val="restart"/>
            <w:vAlign w:val="center"/>
          </w:tcPr>
          <w:p w:rsidR="00683496" w:rsidRPr="008307F7" w:rsidRDefault="00683496" w:rsidP="00683496">
            <w:pPr>
              <w:jc w:val="center"/>
              <w:rPr>
                <w:rFonts w:ascii="Verdana" w:hAnsi="Verdana"/>
              </w:rPr>
            </w:pPr>
            <w:r w:rsidRPr="008307F7">
              <w:rPr>
                <w:rFonts w:ascii="Verdana" w:hAnsi="Verdana"/>
              </w:rPr>
              <w:t>A, S, GP</w:t>
            </w: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Pasy ruchu zasadnicze, awaryjne, dodatkowe, włączenia i wyłączenia, jezdnie łącznic</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4</w:t>
            </w:r>
          </w:p>
        </w:tc>
      </w:tr>
      <w:tr w:rsidR="00683496" w:rsidRPr="008307F7" w:rsidTr="00683496">
        <w:tc>
          <w:tcPr>
            <w:tcW w:w="2835" w:type="dxa"/>
            <w:vMerge/>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Jezdnie MOP, utwardzone pobocza</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6</w:t>
            </w:r>
          </w:p>
        </w:tc>
      </w:tr>
      <w:tr w:rsidR="00683496" w:rsidRPr="008307F7" w:rsidTr="00683496">
        <w:trPr>
          <w:trHeight w:val="458"/>
        </w:trPr>
        <w:tc>
          <w:tcPr>
            <w:tcW w:w="2835" w:type="dxa"/>
            <w:vMerge w:val="restart"/>
            <w:vAlign w:val="center"/>
          </w:tcPr>
          <w:p w:rsidR="00683496" w:rsidRPr="008307F7" w:rsidRDefault="00683496" w:rsidP="00683496">
            <w:pPr>
              <w:jc w:val="center"/>
              <w:rPr>
                <w:rFonts w:ascii="Verdana" w:hAnsi="Verdana"/>
              </w:rPr>
            </w:pPr>
            <w:r w:rsidRPr="008307F7">
              <w:rPr>
                <w:rFonts w:ascii="Verdana" w:hAnsi="Verdana"/>
              </w:rPr>
              <w:t>G, Z</w:t>
            </w: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Pasy ruchu zasadnicze, dodatkowe, włączenia i wyłączenia, postojowe</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6</w:t>
            </w:r>
          </w:p>
        </w:tc>
      </w:tr>
      <w:tr w:rsidR="00683496" w:rsidRPr="008307F7" w:rsidTr="00683496">
        <w:trPr>
          <w:trHeight w:val="457"/>
        </w:trPr>
        <w:tc>
          <w:tcPr>
            <w:tcW w:w="2835" w:type="dxa"/>
            <w:vMerge/>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Utwardzone pobocza</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9</w:t>
            </w:r>
          </w:p>
        </w:tc>
      </w:tr>
      <w:tr w:rsidR="00683496" w:rsidRPr="008307F7" w:rsidTr="00683496">
        <w:trPr>
          <w:trHeight w:val="457"/>
        </w:trPr>
        <w:tc>
          <w:tcPr>
            <w:tcW w:w="2835" w:type="dxa"/>
            <w:vAlign w:val="center"/>
          </w:tcPr>
          <w:p w:rsidR="00683496" w:rsidRPr="008307F7" w:rsidRDefault="00683496" w:rsidP="00683496">
            <w:pPr>
              <w:jc w:val="center"/>
              <w:rPr>
                <w:rFonts w:ascii="Verdana" w:hAnsi="Verdana"/>
              </w:rPr>
            </w:pPr>
            <w:r w:rsidRPr="008307F7">
              <w:rPr>
                <w:rFonts w:ascii="Verdana" w:hAnsi="Verdana"/>
              </w:rPr>
              <w:t>L, D, place, parkingi</w:t>
            </w:r>
          </w:p>
        </w:tc>
        <w:tc>
          <w:tcPr>
            <w:tcW w:w="3575"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Wszystkie pasy ruchu i powierzchnie przeznaczone do ruchu i postoju pojazdów</w:t>
            </w:r>
          </w:p>
        </w:tc>
        <w:tc>
          <w:tcPr>
            <w:tcW w:w="2946" w:type="dxa"/>
            <w:vAlign w:val="center"/>
          </w:tcPr>
          <w:p w:rsidR="00683496" w:rsidRPr="008307F7" w:rsidRDefault="00683496" w:rsidP="002122BD">
            <w:pPr>
              <w:numPr>
                <w:ilvl w:val="0"/>
                <w:numId w:val="46"/>
              </w:numPr>
              <w:tabs>
                <w:tab w:val="left" w:pos="397"/>
                <w:tab w:val="left" w:pos="567"/>
                <w:tab w:val="left" w:pos="737"/>
              </w:tabs>
              <w:jc w:val="center"/>
              <w:rPr>
                <w:rFonts w:ascii="Verdana" w:hAnsi="Verdana"/>
              </w:rPr>
            </w:pPr>
            <w:r w:rsidRPr="008307F7">
              <w:rPr>
                <w:rFonts w:ascii="Verdana" w:hAnsi="Verdana"/>
              </w:rPr>
              <w:t>9</w:t>
            </w:r>
          </w:p>
        </w:tc>
      </w:tr>
    </w:tbl>
    <w:p w:rsidR="00683496" w:rsidRPr="006D2270" w:rsidRDefault="00683496" w:rsidP="00683496">
      <w:pPr>
        <w:jc w:val="both"/>
        <w:rPr>
          <w:rFonts w:ascii="Verdana" w:hAnsi="Verdana" w:cs="Arial"/>
        </w:rPr>
      </w:pPr>
    </w:p>
    <w:p w:rsidR="00683496" w:rsidRPr="006D2270" w:rsidRDefault="00683496" w:rsidP="00683496">
      <w:pPr>
        <w:jc w:val="both"/>
        <w:rPr>
          <w:rFonts w:ascii="Verdana" w:hAnsi="Verdana" w:cs="Arial"/>
          <w:b/>
        </w:rPr>
      </w:pPr>
      <w:r w:rsidRPr="006D2270">
        <w:rPr>
          <w:rFonts w:ascii="Verdana" w:hAnsi="Verdana" w:cs="Arial"/>
          <w:b/>
        </w:rPr>
        <w:t>6.4.2.6. Właściwości przeciwpoślizgowe</w:t>
      </w:r>
    </w:p>
    <w:p w:rsidR="00683496" w:rsidRPr="008307F7" w:rsidRDefault="00683496" w:rsidP="00683496">
      <w:pPr>
        <w:autoSpaceDE w:val="0"/>
        <w:autoSpaceDN w:val="0"/>
        <w:adjustRightInd w:val="0"/>
        <w:spacing w:line="260" w:lineRule="atLeast"/>
        <w:jc w:val="both"/>
        <w:rPr>
          <w:rFonts w:ascii="Verdana" w:hAnsi="Verdana"/>
        </w:rPr>
      </w:pPr>
      <w:r w:rsidRPr="008307F7">
        <w:rPr>
          <w:rFonts w:ascii="Verdana" w:hAnsi="Verdana"/>
        </w:rPr>
        <w:t>Przy ocenie właściwości przeciwpoślizgowych nawierzchni drogi klasy G i dróg wyższych klas powinien być określony współczynnik tarcia na mokrej nawierzchni przy całkowitym poślizgu opony testowej. Pomiar wykonuje się urządzeniem SRT-3 nie rzadziej niż co 50 m na nawierzchni zwilżanej wodą w ilości 0,5 l/m</w:t>
      </w:r>
      <w:r w:rsidRPr="008307F7">
        <w:rPr>
          <w:rFonts w:ascii="Verdana" w:hAnsi="Verdana"/>
          <w:vertAlign w:val="superscript"/>
        </w:rPr>
        <w:t>2</w:t>
      </w:r>
      <w:r w:rsidRPr="008307F7">
        <w:rPr>
          <w:rFonts w:ascii="Verdana" w:hAnsi="Verdana"/>
        </w:rPr>
        <w:t>, przy 100% poślizgu opony testowej rowkowanej (</w:t>
      </w:r>
      <w:proofErr w:type="spellStart"/>
      <w:r w:rsidRPr="008307F7">
        <w:rPr>
          <w:rFonts w:ascii="Verdana" w:hAnsi="Verdana"/>
        </w:rPr>
        <w:t>ribbed</w:t>
      </w:r>
      <w:proofErr w:type="spellEnd"/>
      <w:r w:rsidRPr="008307F7">
        <w:rPr>
          <w:rFonts w:ascii="Verdana" w:hAnsi="Verdana"/>
        </w:rPr>
        <w:t xml:space="preserve"> </w:t>
      </w:r>
      <w:proofErr w:type="spellStart"/>
      <w:r w:rsidRPr="008307F7">
        <w:rPr>
          <w:rFonts w:ascii="Verdana" w:hAnsi="Verdana"/>
        </w:rPr>
        <w:t>tyre</w:t>
      </w:r>
      <w:proofErr w:type="spellEnd"/>
      <w:r w:rsidRPr="008307F7">
        <w:rPr>
          <w:rFonts w:ascii="Verdana" w:hAnsi="Verdana"/>
        </w:rPr>
        <w:t xml:space="preserve">) rozmiaru 165 R 15 </w:t>
      </w:r>
      <w:r w:rsidRPr="008307F7">
        <w:rPr>
          <w:rFonts w:ascii="Verdana" w:hAnsi="Verdana"/>
        </w:rPr>
        <w:sym w:font="Symbol" w:char="F02D"/>
      </w:r>
      <w:r w:rsidRPr="008307F7">
        <w:rPr>
          <w:rFonts w:ascii="Verdana" w:hAnsi="Verdana"/>
        </w:rPr>
        <w:t xml:space="preserve"> zalecanej przez </w:t>
      </w:r>
      <w:r>
        <w:rPr>
          <w:rFonts w:ascii="Verdana" w:hAnsi="Verdana"/>
        </w:rPr>
        <w:t>Światową organizację (</w:t>
      </w:r>
      <w:r w:rsidRPr="008307F7">
        <w:rPr>
          <w:rFonts w:ascii="Verdana" w:hAnsi="Verdana"/>
        </w:rPr>
        <w:t xml:space="preserve">World Road </w:t>
      </w:r>
      <w:proofErr w:type="spellStart"/>
      <w:r w:rsidRPr="008307F7">
        <w:rPr>
          <w:rFonts w:ascii="Verdana" w:hAnsi="Verdana"/>
        </w:rPr>
        <w:t>Association</w:t>
      </w:r>
      <w:proofErr w:type="spellEnd"/>
      <w:r w:rsidRPr="008307F7">
        <w:rPr>
          <w:rFonts w:ascii="Verdana" w:hAnsi="Verdana"/>
        </w:rPr>
        <w:t xml:space="preserve"> PIARC</w:t>
      </w:r>
      <w:r>
        <w:rPr>
          <w:rFonts w:ascii="Verdana" w:hAnsi="Verdana"/>
        </w:rPr>
        <w:t>)</w:t>
      </w:r>
      <w:r w:rsidRPr="008307F7">
        <w:rPr>
          <w:rFonts w:ascii="Verdana" w:hAnsi="Verdana"/>
        </w:rPr>
        <w:t>.</w:t>
      </w:r>
    </w:p>
    <w:p w:rsidR="00683496" w:rsidRPr="008307F7" w:rsidRDefault="00683496" w:rsidP="00683496">
      <w:pPr>
        <w:suppressAutoHyphens/>
        <w:autoSpaceDE w:val="0"/>
        <w:autoSpaceDN w:val="0"/>
        <w:adjustRightInd w:val="0"/>
        <w:jc w:val="both"/>
        <w:rPr>
          <w:rFonts w:ascii="Verdana" w:hAnsi="Verdana"/>
        </w:rPr>
      </w:pPr>
      <w:r w:rsidRPr="008307F7">
        <w:rPr>
          <w:rFonts w:ascii="Verdana" w:hAnsi="Verdana"/>
        </w:rPr>
        <w:t xml:space="preserve">Badanie należy wykonać przed dopuszczeniem nawierzchni do ruchu drogowego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w:t>
      </w:r>
    </w:p>
    <w:p w:rsidR="00683496" w:rsidRPr="008307F7" w:rsidRDefault="00683496" w:rsidP="00683496">
      <w:pPr>
        <w:suppressAutoHyphens/>
        <w:autoSpaceDE w:val="0"/>
        <w:autoSpaceDN w:val="0"/>
        <w:adjustRightInd w:val="0"/>
        <w:jc w:val="both"/>
        <w:rPr>
          <w:rFonts w:ascii="Verdana" w:hAnsi="Verdana"/>
        </w:rPr>
      </w:pPr>
      <w:r w:rsidRPr="008307F7">
        <w:rPr>
          <w:rFonts w:ascii="Verdana" w:hAnsi="Verdana"/>
        </w:rPr>
        <w:t>Pomiar wykonuje si</w:t>
      </w:r>
      <w:r>
        <w:rPr>
          <w:rFonts w:ascii="Verdana" w:hAnsi="Verdana"/>
        </w:rPr>
        <w:t>ę</w:t>
      </w:r>
      <w:r w:rsidRPr="008307F7">
        <w:rPr>
          <w:rFonts w:ascii="Verdana" w:hAnsi="Verdana"/>
        </w:rPr>
        <w:t xml:space="preserve"> przy temperaturze otoczenia od 5 do 30</w:t>
      </w:r>
      <w:r w:rsidRPr="008307F7">
        <w:rPr>
          <w:rFonts w:ascii="Verdana" w:hAnsi="Verdana"/>
          <w:vertAlign w:val="superscript"/>
        </w:rPr>
        <w:t>o</w:t>
      </w:r>
      <w:r w:rsidRPr="008307F7">
        <w:rPr>
          <w:rFonts w:ascii="Verdana" w:hAnsi="Verdana"/>
        </w:rPr>
        <w:t>C, nie rzadziej niż co 50 m na nawierzchni zwilżanej woda w ilości 0,5 l/m</w:t>
      </w:r>
      <w:r w:rsidRPr="00845D39">
        <w:rPr>
          <w:rFonts w:ascii="Verdana" w:hAnsi="Verdana"/>
          <w:vertAlign w:val="superscript"/>
        </w:rPr>
        <w:t>2</w:t>
      </w:r>
      <w:r w:rsidRPr="008307F7">
        <w:rPr>
          <w:rFonts w:ascii="Verdana" w:hAnsi="Verdana"/>
        </w:rPr>
        <w:t>, a wynik pomiaru powinien być przeliczany na wartość przy 100% poślizgu opony testowej o rozmiarze 185/70 R14.</w:t>
      </w:r>
    </w:p>
    <w:p w:rsidR="00683496" w:rsidRDefault="00683496" w:rsidP="00683496">
      <w:pPr>
        <w:suppressAutoHyphens/>
        <w:autoSpaceDE w:val="0"/>
        <w:autoSpaceDN w:val="0"/>
        <w:adjustRightInd w:val="0"/>
        <w:jc w:val="both"/>
        <w:rPr>
          <w:rFonts w:ascii="Verdana" w:hAnsi="Verdana"/>
        </w:rPr>
      </w:pPr>
      <w:r w:rsidRPr="008307F7">
        <w:rPr>
          <w:rFonts w:ascii="Verdana" w:hAnsi="Verdana"/>
        </w:rPr>
        <w:t>Miara właściwości przeciwpoślizgowych jest miarodajny współczynnik tarcia. Za miarodajny współczynnik tarcia przyjmuje si</w:t>
      </w:r>
      <w:r>
        <w:rPr>
          <w:rFonts w:ascii="Verdana" w:hAnsi="Verdana"/>
        </w:rPr>
        <w:t>ę</w:t>
      </w:r>
      <w:r w:rsidRPr="008307F7">
        <w:rPr>
          <w:rFonts w:ascii="Verdana" w:hAnsi="Verdana"/>
        </w:rPr>
        <w:t xml:space="preserve"> różnice wartości średniej E(μ) i odchylenia standardowego D: E(μ) – D. Długość odcinka podlegającego odbiorowi nie powinna być większa niż 1000 m. Liczba pomiarów na ocenianym odcinku nie powinna być mniejsza niż 10.</w:t>
      </w:r>
      <w:r>
        <w:rPr>
          <w:rFonts w:ascii="Verdana" w:hAnsi="Verdana"/>
        </w:rPr>
        <w:t xml:space="preserve"> </w:t>
      </w:r>
    </w:p>
    <w:p w:rsidR="00683496" w:rsidRPr="008307F7" w:rsidRDefault="00683496" w:rsidP="00683496">
      <w:pPr>
        <w:suppressAutoHyphens/>
        <w:autoSpaceDE w:val="0"/>
        <w:autoSpaceDN w:val="0"/>
        <w:adjustRightInd w:val="0"/>
        <w:jc w:val="both"/>
        <w:rPr>
          <w:rFonts w:ascii="Verdana" w:hAnsi="Verdana"/>
        </w:rPr>
      </w:pPr>
      <w:r w:rsidRPr="008307F7">
        <w:rPr>
          <w:rFonts w:ascii="Verdana" w:hAnsi="Verdana"/>
        </w:rPr>
        <w:t>W wypadku odbioru krótkich odcinków nawierzchni, na których nie można wykonać pomiarów z prędkością 60 km/h (np. rondo, dojazd do skrzyżowania), poszczególne wyniki pomiarów współczynnika tarcia nie powinny być niższe niż 0,47, przy prędkości pomiarowej 30 km/h.</w:t>
      </w:r>
    </w:p>
    <w:p w:rsidR="00683496" w:rsidRPr="008307F7" w:rsidRDefault="00683496" w:rsidP="00683496">
      <w:pPr>
        <w:autoSpaceDE w:val="0"/>
        <w:autoSpaceDN w:val="0"/>
        <w:adjustRightInd w:val="0"/>
        <w:jc w:val="both"/>
        <w:rPr>
          <w:rFonts w:ascii="Verdana" w:hAnsi="Verdana"/>
        </w:rPr>
      </w:pPr>
      <w:r w:rsidRPr="008307F7">
        <w:rPr>
          <w:rFonts w:ascii="Verdana" w:hAnsi="Verdana"/>
        </w:rPr>
        <w:t>Wymagane parametry miarodajnego współczynnika tarcia nawierzchni określa tabela:</w:t>
      </w:r>
    </w:p>
    <w:p w:rsidR="00683496" w:rsidRPr="008307F7" w:rsidRDefault="00683496" w:rsidP="00683496">
      <w:pPr>
        <w:autoSpaceDE w:val="0"/>
        <w:autoSpaceDN w:val="0"/>
        <w:adjustRightInd w:val="0"/>
        <w:spacing w:before="120" w:after="120" w:line="260" w:lineRule="atLeast"/>
        <w:jc w:val="both"/>
        <w:rPr>
          <w:rFonts w:ascii="Verdana" w:hAnsi="Verdana"/>
        </w:rPr>
      </w:pPr>
      <w:r w:rsidRPr="008307F7">
        <w:rPr>
          <w:rFonts w:ascii="Verdana" w:hAnsi="Verdana"/>
        </w:rPr>
        <w:t>Tabela 2</w:t>
      </w:r>
      <w:r>
        <w:rPr>
          <w:rFonts w:ascii="Verdana" w:hAnsi="Verdana"/>
        </w:rPr>
        <w:t>4</w:t>
      </w:r>
      <w:r w:rsidRPr="008307F7">
        <w:rPr>
          <w:rFonts w:ascii="Verdana" w:hAnsi="Verdana"/>
        </w:rPr>
        <w:t>.  Wymagane wartości miarodajnych współczynników tarcia.</w:t>
      </w:r>
    </w:p>
    <w:tbl>
      <w:tblPr>
        <w:tblW w:w="8930" w:type="dxa"/>
        <w:tblInd w:w="212" w:type="dxa"/>
        <w:tblLayout w:type="fixed"/>
        <w:tblCellMar>
          <w:left w:w="70" w:type="dxa"/>
          <w:right w:w="70" w:type="dxa"/>
        </w:tblCellMar>
        <w:tblLook w:val="00A0" w:firstRow="1" w:lastRow="0" w:firstColumn="1" w:lastColumn="0" w:noHBand="0" w:noVBand="0"/>
      </w:tblPr>
      <w:tblGrid>
        <w:gridCol w:w="1134"/>
        <w:gridCol w:w="3338"/>
        <w:gridCol w:w="1482"/>
        <w:gridCol w:w="1417"/>
        <w:gridCol w:w="1559"/>
      </w:tblGrid>
      <w:tr w:rsidR="00683496" w:rsidRPr="008307F7" w:rsidTr="00683496">
        <w:tc>
          <w:tcPr>
            <w:tcW w:w="1134" w:type="dxa"/>
            <w:vMerge w:val="restart"/>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Klasa drogi</w:t>
            </w:r>
          </w:p>
        </w:tc>
        <w:tc>
          <w:tcPr>
            <w:tcW w:w="3338" w:type="dxa"/>
            <w:vMerge w:val="restart"/>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Element nawierzchni</w:t>
            </w:r>
          </w:p>
        </w:tc>
        <w:tc>
          <w:tcPr>
            <w:tcW w:w="4458" w:type="dxa"/>
            <w:gridSpan w:val="3"/>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Miarodajny współczynnik tarcia przy</w:t>
            </w:r>
          </w:p>
          <w:p w:rsidR="00683496" w:rsidRPr="008307F7" w:rsidRDefault="00683496" w:rsidP="00683496">
            <w:pPr>
              <w:autoSpaceDE w:val="0"/>
              <w:autoSpaceDN w:val="0"/>
              <w:adjustRightInd w:val="0"/>
              <w:jc w:val="center"/>
              <w:rPr>
                <w:rFonts w:ascii="Verdana" w:hAnsi="Verdana"/>
              </w:rPr>
            </w:pPr>
            <w:r w:rsidRPr="008307F7">
              <w:rPr>
                <w:rFonts w:ascii="Verdana" w:hAnsi="Verdana"/>
              </w:rPr>
              <w:t>prędkości zablokowanej opony względem</w:t>
            </w:r>
          </w:p>
          <w:p w:rsidR="00683496" w:rsidRPr="008307F7" w:rsidRDefault="00683496" w:rsidP="00683496">
            <w:pPr>
              <w:autoSpaceDE w:val="0"/>
              <w:autoSpaceDN w:val="0"/>
              <w:adjustRightInd w:val="0"/>
              <w:jc w:val="center"/>
              <w:rPr>
                <w:rFonts w:ascii="Verdana" w:hAnsi="Verdana"/>
              </w:rPr>
            </w:pPr>
            <w:r w:rsidRPr="008307F7">
              <w:rPr>
                <w:rFonts w:ascii="Verdana" w:hAnsi="Verdana"/>
              </w:rPr>
              <w:t>nawierzchni</w:t>
            </w:r>
          </w:p>
        </w:tc>
      </w:tr>
      <w:tr w:rsidR="00683496" w:rsidRPr="008307F7" w:rsidTr="00683496">
        <w:tc>
          <w:tcPr>
            <w:tcW w:w="1134" w:type="dxa"/>
            <w:vMerge/>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p>
        </w:tc>
        <w:tc>
          <w:tcPr>
            <w:tcW w:w="3338" w:type="dxa"/>
            <w:vMerge/>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p>
        </w:tc>
        <w:tc>
          <w:tcPr>
            <w:tcW w:w="1482"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30 km/h</w:t>
            </w:r>
          </w:p>
        </w:tc>
        <w:tc>
          <w:tcPr>
            <w:tcW w:w="1417"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60 km/h</w:t>
            </w:r>
          </w:p>
        </w:tc>
        <w:tc>
          <w:tcPr>
            <w:tcW w:w="1559"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90 km/h</w:t>
            </w:r>
          </w:p>
        </w:tc>
      </w:tr>
      <w:tr w:rsidR="00683496" w:rsidRPr="008307F7" w:rsidTr="00683496">
        <w:tc>
          <w:tcPr>
            <w:tcW w:w="1134"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1</w:t>
            </w:r>
          </w:p>
        </w:tc>
        <w:tc>
          <w:tcPr>
            <w:tcW w:w="3338"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2</w:t>
            </w:r>
          </w:p>
        </w:tc>
        <w:tc>
          <w:tcPr>
            <w:tcW w:w="1482"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4</w:t>
            </w:r>
          </w:p>
        </w:tc>
        <w:tc>
          <w:tcPr>
            <w:tcW w:w="1559"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5</w:t>
            </w:r>
          </w:p>
        </w:tc>
      </w:tr>
      <w:tr w:rsidR="00683496" w:rsidRPr="008307F7" w:rsidTr="00683496">
        <w:trPr>
          <w:cantSplit/>
        </w:trPr>
        <w:tc>
          <w:tcPr>
            <w:tcW w:w="1134" w:type="dxa"/>
            <w:vMerge w:val="restart"/>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lastRenderedPageBreak/>
              <w:t>A, S</w:t>
            </w:r>
          </w:p>
        </w:tc>
        <w:tc>
          <w:tcPr>
            <w:tcW w:w="3338"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rPr>
                <w:rFonts w:ascii="Verdana" w:hAnsi="Verdana"/>
              </w:rPr>
            </w:pPr>
            <w:r w:rsidRPr="008307F7">
              <w:rPr>
                <w:rFonts w:ascii="Verdana" w:hAnsi="Verdana"/>
              </w:rPr>
              <w:t>Pasy ruchu zasadnicze, dodatkowe, awaryjne</w:t>
            </w:r>
          </w:p>
        </w:tc>
        <w:tc>
          <w:tcPr>
            <w:tcW w:w="1482"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w:t>
            </w:r>
          </w:p>
        </w:tc>
        <w:tc>
          <w:tcPr>
            <w:tcW w:w="1417"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0,49*</w:t>
            </w:r>
          </w:p>
        </w:tc>
        <w:tc>
          <w:tcPr>
            <w:tcW w:w="1559"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0,44</w:t>
            </w:r>
          </w:p>
        </w:tc>
      </w:tr>
      <w:tr w:rsidR="00683496" w:rsidRPr="008307F7" w:rsidTr="00683496">
        <w:tc>
          <w:tcPr>
            <w:tcW w:w="1134" w:type="dxa"/>
            <w:vMerge/>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p>
        </w:tc>
        <w:tc>
          <w:tcPr>
            <w:tcW w:w="3338"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rPr>
                <w:rFonts w:ascii="Verdana" w:hAnsi="Verdana"/>
              </w:rPr>
            </w:pPr>
            <w:r w:rsidRPr="008307F7">
              <w:rPr>
                <w:rFonts w:ascii="Verdana" w:hAnsi="Verdana"/>
              </w:rPr>
              <w:t>Pasy włączania i wyłączania, jezdnie łącznic</w:t>
            </w:r>
          </w:p>
        </w:tc>
        <w:tc>
          <w:tcPr>
            <w:tcW w:w="1482"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0,55**</w:t>
            </w:r>
          </w:p>
        </w:tc>
        <w:tc>
          <w:tcPr>
            <w:tcW w:w="1417"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0,51</w:t>
            </w:r>
          </w:p>
        </w:tc>
        <w:tc>
          <w:tcPr>
            <w:tcW w:w="1559"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w:t>
            </w:r>
          </w:p>
        </w:tc>
      </w:tr>
      <w:tr w:rsidR="00683496" w:rsidRPr="008307F7" w:rsidTr="00683496">
        <w:tc>
          <w:tcPr>
            <w:tcW w:w="1134"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GP, G</w:t>
            </w:r>
          </w:p>
        </w:tc>
        <w:tc>
          <w:tcPr>
            <w:tcW w:w="3338"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rPr>
                <w:rFonts w:ascii="Verdana" w:hAnsi="Verdana"/>
              </w:rPr>
            </w:pPr>
            <w:r w:rsidRPr="008307F7">
              <w:rPr>
                <w:rFonts w:ascii="Verdana" w:hAnsi="Verdana"/>
              </w:rPr>
              <w:t>Pasy ruchu, pasy dodatkowe, utwardzone pobocza</w:t>
            </w:r>
          </w:p>
        </w:tc>
        <w:tc>
          <w:tcPr>
            <w:tcW w:w="1482"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0,51**</w:t>
            </w:r>
          </w:p>
        </w:tc>
        <w:tc>
          <w:tcPr>
            <w:tcW w:w="1417"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0,41</w:t>
            </w:r>
          </w:p>
        </w:tc>
        <w:tc>
          <w:tcPr>
            <w:tcW w:w="1559" w:type="dxa"/>
            <w:tcBorders>
              <w:top w:val="single" w:sz="6" w:space="0" w:color="auto"/>
              <w:left w:val="single" w:sz="6" w:space="0" w:color="auto"/>
              <w:bottom w:val="single" w:sz="6" w:space="0" w:color="auto"/>
              <w:right w:val="single" w:sz="6" w:space="0" w:color="auto"/>
            </w:tcBorders>
            <w:vAlign w:val="center"/>
            <w:hideMark/>
          </w:tcPr>
          <w:p w:rsidR="00683496" w:rsidRPr="008307F7" w:rsidRDefault="00683496" w:rsidP="00683496">
            <w:pPr>
              <w:autoSpaceDE w:val="0"/>
              <w:autoSpaceDN w:val="0"/>
              <w:adjustRightInd w:val="0"/>
              <w:jc w:val="center"/>
              <w:rPr>
                <w:rFonts w:ascii="Verdana" w:hAnsi="Verdana"/>
              </w:rPr>
            </w:pPr>
            <w:r w:rsidRPr="008307F7">
              <w:rPr>
                <w:rFonts w:ascii="Verdana" w:hAnsi="Verdana"/>
              </w:rPr>
              <w:t>-</w:t>
            </w:r>
          </w:p>
        </w:tc>
      </w:tr>
      <w:tr w:rsidR="00683496" w:rsidRPr="008307F7" w:rsidTr="00683496">
        <w:tc>
          <w:tcPr>
            <w:tcW w:w="8930" w:type="dxa"/>
            <w:gridSpan w:val="5"/>
            <w:tcBorders>
              <w:top w:val="single" w:sz="6" w:space="0" w:color="auto"/>
              <w:left w:val="single" w:sz="6" w:space="0" w:color="auto"/>
              <w:bottom w:val="single" w:sz="6" w:space="0" w:color="auto"/>
              <w:right w:val="single" w:sz="6" w:space="0" w:color="auto"/>
            </w:tcBorders>
            <w:vAlign w:val="center"/>
          </w:tcPr>
          <w:p w:rsidR="00683496" w:rsidRPr="008307F7" w:rsidRDefault="00683496" w:rsidP="00683496">
            <w:pPr>
              <w:autoSpaceDE w:val="0"/>
              <w:autoSpaceDN w:val="0"/>
              <w:adjustRightInd w:val="0"/>
              <w:spacing w:line="260" w:lineRule="atLeast"/>
              <w:ind w:left="355" w:hanging="355"/>
              <w:rPr>
                <w:rFonts w:ascii="Verdana" w:hAnsi="Verdana"/>
                <w:bCs/>
              </w:rPr>
            </w:pPr>
            <w:r w:rsidRPr="008307F7">
              <w:rPr>
                <w:rFonts w:ascii="Verdana" w:hAnsi="Verdana"/>
                <w:bCs/>
              </w:rPr>
              <w:t xml:space="preserve">* </w:t>
            </w:r>
            <w:r>
              <w:rPr>
                <w:rFonts w:ascii="Verdana" w:hAnsi="Verdana"/>
                <w:bCs/>
              </w:rPr>
              <w:t xml:space="preserve">  </w:t>
            </w:r>
            <w:r w:rsidRPr="008307F7">
              <w:rPr>
                <w:rFonts w:ascii="Verdana" w:hAnsi="Verdana"/>
                <w:bCs/>
              </w:rPr>
              <w:t>wartość wymagania dla odcinków nawierzchni, na których nie można wykonać pomiarów z prędkością 90 km/h</w:t>
            </w:r>
            <w:r>
              <w:rPr>
                <w:rFonts w:ascii="Verdana" w:hAnsi="Verdana"/>
                <w:bCs/>
              </w:rPr>
              <w:t>,</w:t>
            </w:r>
          </w:p>
          <w:p w:rsidR="00683496" w:rsidRPr="008307F7" w:rsidRDefault="00683496" w:rsidP="00683496">
            <w:pPr>
              <w:autoSpaceDE w:val="0"/>
              <w:autoSpaceDN w:val="0"/>
              <w:adjustRightInd w:val="0"/>
              <w:spacing w:line="260" w:lineRule="atLeast"/>
              <w:ind w:left="355" w:hanging="355"/>
              <w:rPr>
                <w:rFonts w:ascii="Verdana" w:hAnsi="Verdana"/>
                <w:bCs/>
              </w:rPr>
            </w:pPr>
            <w:r w:rsidRPr="008307F7">
              <w:rPr>
                <w:rFonts w:ascii="Verdana" w:hAnsi="Verdana"/>
                <w:bCs/>
              </w:rPr>
              <w:t>** wartość wymagania dla odcinków nawierzchni, na których nie można wykonać pomiarów z prędkością 60 km/h</w:t>
            </w:r>
          </w:p>
        </w:tc>
      </w:tr>
    </w:tbl>
    <w:p w:rsidR="00683496" w:rsidRPr="008307F7" w:rsidRDefault="00683496" w:rsidP="00683496">
      <w:pPr>
        <w:autoSpaceDE w:val="0"/>
        <w:autoSpaceDN w:val="0"/>
        <w:adjustRightInd w:val="0"/>
        <w:rPr>
          <w:rFonts w:ascii="Verdana" w:hAnsi="Verdana"/>
        </w:rPr>
      </w:pPr>
    </w:p>
    <w:p w:rsidR="00683496" w:rsidRPr="008307F7" w:rsidRDefault="00683496" w:rsidP="00683496">
      <w:pPr>
        <w:suppressAutoHyphens/>
        <w:autoSpaceDE w:val="0"/>
        <w:autoSpaceDN w:val="0"/>
        <w:adjustRightInd w:val="0"/>
        <w:jc w:val="both"/>
        <w:rPr>
          <w:rFonts w:ascii="Verdana" w:hAnsi="Verdana" w:cs="TTE188C168t00"/>
        </w:rPr>
      </w:pPr>
      <w:r w:rsidRPr="008307F7">
        <w:rPr>
          <w:rFonts w:ascii="Verdana" w:hAnsi="Verdana" w:cs="TTE188C168t00"/>
        </w:rPr>
        <w:t>Przed upływem okresu gwarancyjnego wartości miarodajnego współczynnika tarcia muszą być identyczne przez cały okres gwarancji .</w:t>
      </w:r>
    </w:p>
    <w:p w:rsidR="00683496" w:rsidRDefault="00683496" w:rsidP="00683496">
      <w:pPr>
        <w:jc w:val="both"/>
        <w:rPr>
          <w:rFonts w:ascii="Verdana" w:hAnsi="Verdana" w:cs="Arial"/>
        </w:rPr>
      </w:pPr>
    </w:p>
    <w:p w:rsidR="00683496" w:rsidRPr="002876EA" w:rsidRDefault="00683496" w:rsidP="00683496">
      <w:pPr>
        <w:jc w:val="both"/>
        <w:rPr>
          <w:rFonts w:ascii="Verdana" w:hAnsi="Verdana" w:cs="Arial"/>
          <w:b/>
        </w:rPr>
      </w:pPr>
      <w:r w:rsidRPr="002876EA">
        <w:rPr>
          <w:rFonts w:ascii="Verdana" w:hAnsi="Verdana" w:cs="Arial"/>
          <w:b/>
        </w:rPr>
        <w:t xml:space="preserve">6.4.2.7. </w:t>
      </w:r>
      <w:r w:rsidRPr="005047DA">
        <w:rPr>
          <w:rFonts w:ascii="Verdana" w:hAnsi="Verdana"/>
          <w:b/>
        </w:rPr>
        <w:t>Właściwości optyczne nawierzchni</w:t>
      </w:r>
    </w:p>
    <w:p w:rsidR="00683496" w:rsidRDefault="00683496" w:rsidP="00683496">
      <w:pPr>
        <w:autoSpaceDE w:val="0"/>
        <w:autoSpaceDN w:val="0"/>
        <w:adjustRightInd w:val="0"/>
        <w:spacing w:line="260" w:lineRule="atLeast"/>
        <w:jc w:val="both"/>
        <w:rPr>
          <w:rFonts w:ascii="Verdana" w:hAnsi="Verdana"/>
        </w:rPr>
      </w:pPr>
      <w:r w:rsidRPr="005047DA">
        <w:rPr>
          <w:rFonts w:ascii="Verdana" w:hAnsi="Verdana"/>
        </w:rPr>
        <w:t xml:space="preserve">Przy ocenie właściwości optycznych powinien być określony współczynnik luminancji w świetle rozproszonym </w:t>
      </w:r>
      <w:proofErr w:type="spellStart"/>
      <w:r w:rsidRPr="005047DA">
        <w:rPr>
          <w:rFonts w:ascii="Verdana" w:hAnsi="Verdana"/>
        </w:rPr>
        <w:t>Q</w:t>
      </w:r>
      <w:r w:rsidRPr="005047DA">
        <w:rPr>
          <w:rFonts w:ascii="Verdana" w:hAnsi="Verdana"/>
          <w:vertAlign w:val="subscript"/>
        </w:rPr>
        <w:t>d</w:t>
      </w:r>
      <w:proofErr w:type="spellEnd"/>
      <w:r w:rsidRPr="005047DA">
        <w:rPr>
          <w:rFonts w:ascii="Verdana" w:hAnsi="Verdana"/>
        </w:rPr>
        <w:t xml:space="preserve">. Pomiaru należy wykonać </w:t>
      </w:r>
      <w:proofErr w:type="spellStart"/>
      <w:r w:rsidRPr="005047DA">
        <w:rPr>
          <w:rFonts w:ascii="Verdana" w:hAnsi="Verdana"/>
        </w:rPr>
        <w:t>retroreflektometrem</w:t>
      </w:r>
      <w:proofErr w:type="spellEnd"/>
      <w:r w:rsidRPr="005047DA">
        <w:rPr>
          <w:rFonts w:ascii="Verdana" w:hAnsi="Verdana"/>
        </w:rPr>
        <w:t xml:space="preserve"> na suchej nawierzchni zgodnie z Instrukcją badawczą „Pomiar współczynnika luminancji jasnych nawierzchni asfaltowych” opisaną w Załączniku </w:t>
      </w:r>
      <w:r>
        <w:rPr>
          <w:rFonts w:ascii="Verdana" w:hAnsi="Verdana"/>
        </w:rPr>
        <w:t>nr 4 WT-2 2014-część I</w:t>
      </w:r>
      <w:r w:rsidRPr="005047DA">
        <w:rPr>
          <w:rFonts w:ascii="Verdana" w:hAnsi="Verdana"/>
        </w:rPr>
        <w:t xml:space="preserve">. </w:t>
      </w:r>
    </w:p>
    <w:p w:rsidR="00683496" w:rsidRDefault="00683496" w:rsidP="00683496">
      <w:pPr>
        <w:autoSpaceDE w:val="0"/>
        <w:autoSpaceDN w:val="0"/>
        <w:adjustRightInd w:val="0"/>
        <w:spacing w:line="260" w:lineRule="atLeast"/>
        <w:jc w:val="both"/>
        <w:rPr>
          <w:rFonts w:ascii="Verdana" w:hAnsi="Verdana" w:cs="Arial"/>
          <w:b/>
        </w:rPr>
      </w:pPr>
    </w:p>
    <w:p w:rsidR="00683496" w:rsidRDefault="00683496" w:rsidP="00683496">
      <w:pPr>
        <w:autoSpaceDE w:val="0"/>
        <w:autoSpaceDN w:val="0"/>
        <w:adjustRightInd w:val="0"/>
        <w:spacing w:line="260" w:lineRule="atLeast"/>
        <w:jc w:val="both"/>
        <w:rPr>
          <w:rFonts w:ascii="Verdana" w:hAnsi="Verdana"/>
        </w:rPr>
      </w:pPr>
      <w:r w:rsidRPr="006D2270">
        <w:rPr>
          <w:rFonts w:ascii="Verdana" w:hAnsi="Verdana" w:cs="Arial"/>
          <w:b/>
        </w:rPr>
        <w:t>6.4.2.</w:t>
      </w:r>
      <w:r>
        <w:rPr>
          <w:rFonts w:ascii="Verdana" w:hAnsi="Verdana" w:cs="Arial"/>
          <w:b/>
        </w:rPr>
        <w:t>8</w:t>
      </w:r>
      <w:r w:rsidRPr="006D2270">
        <w:rPr>
          <w:rFonts w:ascii="Verdana" w:hAnsi="Verdana" w:cs="Arial"/>
          <w:b/>
        </w:rPr>
        <w:t>. Pozostałe właściwości warstwy asfaltowej</w:t>
      </w:r>
    </w:p>
    <w:p w:rsidR="00683496" w:rsidRDefault="00683496" w:rsidP="00683496">
      <w:pPr>
        <w:autoSpaceDE w:val="0"/>
        <w:autoSpaceDN w:val="0"/>
        <w:adjustRightInd w:val="0"/>
        <w:spacing w:line="260" w:lineRule="atLeast"/>
        <w:jc w:val="both"/>
        <w:rPr>
          <w:rFonts w:ascii="Verdana" w:hAnsi="Verdana"/>
        </w:rPr>
      </w:pPr>
      <w:r w:rsidRPr="006D2270">
        <w:rPr>
          <w:rFonts w:ascii="Verdana" w:hAnsi="Verdana" w:cs="Arial"/>
        </w:rPr>
        <w:t>Szerokość warstwy, mierzona 20 razy na 1 km każdej jezdni, nie może się różnić od szerokości projektowanej o więcej niż ± 5 cm.</w:t>
      </w:r>
    </w:p>
    <w:p w:rsidR="00683496" w:rsidRDefault="00683496" w:rsidP="00683496">
      <w:pPr>
        <w:autoSpaceDE w:val="0"/>
        <w:autoSpaceDN w:val="0"/>
        <w:adjustRightInd w:val="0"/>
        <w:spacing w:line="260" w:lineRule="atLeast"/>
        <w:jc w:val="both"/>
        <w:rPr>
          <w:rFonts w:ascii="Verdana" w:hAnsi="Verdana"/>
        </w:rPr>
      </w:pPr>
      <w:r w:rsidRPr="006D2270">
        <w:rPr>
          <w:rFonts w:ascii="Verdana" w:hAnsi="Verdana" w:cs="Arial"/>
        </w:rPr>
        <w:t>Rzędne wysokościowe, mierzone co 50 m na odcinkach prostych i co 10 m na łukach poziomych w osi podłużnej i krawędziach, powinny być zgodne z dokumentacją projektową z dopuszczalną tolerancją ± 1 cm, przy czym co najmniej 95% wykonanych pomiarów nie może przekraczać przedziału dopuszczalnych odchyleń.</w:t>
      </w:r>
      <w:r w:rsidRPr="006D2270">
        <w:rPr>
          <w:rFonts w:ascii="Verdana" w:hAnsi="Verdana" w:cs="Arial"/>
          <w:b/>
        </w:rPr>
        <w:t xml:space="preserve"> </w:t>
      </w:r>
    </w:p>
    <w:p w:rsidR="00683496" w:rsidRPr="00B40475" w:rsidRDefault="00683496" w:rsidP="00683496">
      <w:pPr>
        <w:autoSpaceDE w:val="0"/>
        <w:autoSpaceDN w:val="0"/>
        <w:adjustRightInd w:val="0"/>
        <w:spacing w:line="260" w:lineRule="atLeast"/>
        <w:jc w:val="both"/>
        <w:rPr>
          <w:rFonts w:ascii="Verdana" w:hAnsi="Verdana"/>
        </w:rPr>
      </w:pPr>
      <w:r w:rsidRPr="006D2270">
        <w:rPr>
          <w:rFonts w:ascii="Verdana" w:hAnsi="Verdana" w:cs="Arial"/>
        </w:rPr>
        <w:t>Ukształtowanie osi w planie, mierzone co 50 m, nie powinno różnić się od dokumentacji projektowej o ± 5 cm.</w:t>
      </w:r>
      <w:r w:rsidRPr="006D2270">
        <w:rPr>
          <w:rFonts w:ascii="Verdana" w:hAnsi="Verdana" w:cs="Arial"/>
          <w:b/>
        </w:rPr>
        <w:t xml:space="preserve"> </w:t>
      </w:r>
      <w:r w:rsidRPr="006D2270">
        <w:rPr>
          <w:rFonts w:ascii="Verdana" w:hAnsi="Verdana" w:cs="Arial"/>
        </w:rPr>
        <w:t xml:space="preserve">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t>
      </w:r>
      <w:proofErr w:type="spellStart"/>
      <w:r w:rsidRPr="006D2270">
        <w:rPr>
          <w:rFonts w:ascii="Verdana" w:hAnsi="Verdana" w:cs="Arial"/>
        </w:rPr>
        <w:t>wykruszeń</w:t>
      </w:r>
      <w:proofErr w:type="spellEnd"/>
      <w:r w:rsidRPr="006D2270">
        <w:rPr>
          <w:rFonts w:ascii="Verdana" w:hAnsi="Verdana" w:cs="Arial"/>
        </w:rPr>
        <w:t>.</w:t>
      </w:r>
    </w:p>
    <w:p w:rsidR="00683496" w:rsidRDefault="00683496" w:rsidP="00683496">
      <w:pPr>
        <w:keepNext/>
        <w:widowControl w:val="0"/>
        <w:numPr>
          <w:ilvl w:val="12"/>
          <w:numId w:val="0"/>
        </w:numPr>
        <w:outlineLvl w:val="0"/>
        <w:rPr>
          <w:rFonts w:ascii="Verdana" w:hAnsi="Verdana" w:cs="Arial"/>
          <w:b/>
          <w:snapToGrid w:val="0"/>
        </w:rPr>
      </w:pPr>
      <w:bookmarkStart w:id="370" w:name="_Toc316558753"/>
    </w:p>
    <w:p w:rsidR="00683496" w:rsidRPr="003A4A6E" w:rsidRDefault="00683496" w:rsidP="00683496">
      <w:pPr>
        <w:keepNext/>
        <w:widowControl w:val="0"/>
        <w:numPr>
          <w:ilvl w:val="12"/>
          <w:numId w:val="0"/>
        </w:numPr>
        <w:outlineLvl w:val="0"/>
        <w:rPr>
          <w:rFonts w:ascii="Verdana" w:hAnsi="Verdana" w:cs="Arial"/>
          <w:b/>
          <w:snapToGrid w:val="0"/>
        </w:rPr>
      </w:pPr>
      <w:r w:rsidRPr="006D2270">
        <w:rPr>
          <w:rFonts w:ascii="Verdana" w:hAnsi="Verdana" w:cs="Arial"/>
          <w:b/>
          <w:snapToGrid w:val="0"/>
        </w:rPr>
        <w:t>7. O</w:t>
      </w:r>
      <w:bookmarkEnd w:id="370"/>
      <w:r w:rsidRPr="006D2270">
        <w:rPr>
          <w:rFonts w:ascii="Verdana" w:hAnsi="Verdana" w:cs="Arial"/>
          <w:b/>
          <w:snapToGrid w:val="0"/>
        </w:rPr>
        <w:t>bmiar robót</w:t>
      </w:r>
      <w:bookmarkStart w:id="371" w:name="_Toc316558754"/>
    </w:p>
    <w:p w:rsidR="00683496" w:rsidRPr="006D2270" w:rsidRDefault="00683496" w:rsidP="00683496">
      <w:pPr>
        <w:keepNext/>
        <w:numPr>
          <w:ilvl w:val="12"/>
          <w:numId w:val="0"/>
        </w:numPr>
        <w:jc w:val="both"/>
        <w:outlineLvl w:val="1"/>
        <w:rPr>
          <w:rFonts w:ascii="Verdana" w:hAnsi="Verdana" w:cs="Arial"/>
          <w:b/>
          <w:bCs/>
          <w:iCs/>
        </w:rPr>
      </w:pPr>
      <w:r w:rsidRPr="006D2270">
        <w:rPr>
          <w:rFonts w:ascii="Verdana" w:hAnsi="Verdana" w:cs="Arial"/>
          <w:b/>
          <w:bCs/>
          <w:iCs/>
        </w:rPr>
        <w:t>7.1. Ogólne zasady obmiaru robót</w:t>
      </w:r>
      <w:bookmarkEnd w:id="371"/>
    </w:p>
    <w:p w:rsidR="00683496" w:rsidRPr="006D2270" w:rsidRDefault="00683496" w:rsidP="00683496">
      <w:pPr>
        <w:numPr>
          <w:ilvl w:val="12"/>
          <w:numId w:val="0"/>
        </w:numPr>
        <w:jc w:val="both"/>
        <w:rPr>
          <w:rFonts w:ascii="Verdana" w:hAnsi="Verdana" w:cs="Arial"/>
        </w:rPr>
      </w:pPr>
      <w:r w:rsidRPr="006D2270">
        <w:rPr>
          <w:rFonts w:ascii="Verdana" w:hAnsi="Verdana" w:cs="Arial"/>
        </w:rPr>
        <w:t>Ogólne zasady obmiaru robót podano w SST D-M-00.00.00 „Wymagania ogólne” pkt 7.</w:t>
      </w:r>
    </w:p>
    <w:p w:rsidR="00683496" w:rsidRDefault="00683496" w:rsidP="00683496">
      <w:pPr>
        <w:keepNext/>
        <w:numPr>
          <w:ilvl w:val="12"/>
          <w:numId w:val="0"/>
        </w:numPr>
        <w:outlineLvl w:val="1"/>
        <w:rPr>
          <w:rFonts w:ascii="Verdana" w:hAnsi="Verdana" w:cs="Arial"/>
          <w:b/>
          <w:bCs/>
          <w:iCs/>
        </w:rPr>
      </w:pPr>
      <w:bookmarkStart w:id="372" w:name="_Toc316558755"/>
    </w:p>
    <w:p w:rsidR="00683496" w:rsidRPr="006D2270" w:rsidRDefault="00683496" w:rsidP="00683496">
      <w:pPr>
        <w:keepNext/>
        <w:numPr>
          <w:ilvl w:val="12"/>
          <w:numId w:val="0"/>
        </w:numPr>
        <w:outlineLvl w:val="1"/>
        <w:rPr>
          <w:rFonts w:ascii="Verdana" w:hAnsi="Verdana" w:cs="Arial"/>
          <w:b/>
          <w:bCs/>
          <w:iCs/>
        </w:rPr>
      </w:pPr>
      <w:r w:rsidRPr="006D2270">
        <w:rPr>
          <w:rFonts w:ascii="Verdana" w:hAnsi="Verdana" w:cs="Arial"/>
          <w:b/>
          <w:bCs/>
          <w:iCs/>
        </w:rPr>
        <w:t>7.2. Jednostka obmiarowa</w:t>
      </w:r>
      <w:bookmarkEnd w:id="372"/>
    </w:p>
    <w:p w:rsidR="00683496" w:rsidRPr="00F76C31" w:rsidRDefault="00683496" w:rsidP="00683496">
      <w:pPr>
        <w:numPr>
          <w:ilvl w:val="12"/>
          <w:numId w:val="0"/>
        </w:numPr>
        <w:jc w:val="both"/>
        <w:rPr>
          <w:rFonts w:ascii="Verdana" w:hAnsi="Verdana" w:cs="Arial"/>
        </w:rPr>
      </w:pPr>
      <w:r w:rsidRPr="006D2270">
        <w:rPr>
          <w:rFonts w:ascii="Verdana" w:hAnsi="Verdana" w:cs="Arial"/>
        </w:rPr>
        <w:t>Jednostką obmiarową jest m</w:t>
      </w:r>
      <w:r w:rsidRPr="006D2270">
        <w:rPr>
          <w:rFonts w:ascii="Verdana" w:hAnsi="Verdana" w:cs="Arial"/>
          <w:vertAlign w:val="superscript"/>
        </w:rPr>
        <w:t>2</w:t>
      </w:r>
      <w:r w:rsidRPr="006D2270">
        <w:rPr>
          <w:rFonts w:ascii="Verdana" w:hAnsi="Verdana" w:cs="Arial"/>
        </w:rPr>
        <w:t xml:space="preserve"> (metr kwadratowy) warstwy ścieralnej nawierzchni z betonu asfaltowego.</w:t>
      </w:r>
    </w:p>
    <w:p w:rsidR="00683496" w:rsidRDefault="00683496" w:rsidP="00683496">
      <w:pPr>
        <w:keepNext/>
        <w:widowControl w:val="0"/>
        <w:numPr>
          <w:ilvl w:val="12"/>
          <w:numId w:val="0"/>
        </w:numPr>
        <w:outlineLvl w:val="0"/>
        <w:rPr>
          <w:rFonts w:ascii="Verdana" w:hAnsi="Verdana" w:cs="Arial"/>
          <w:b/>
          <w:snapToGrid w:val="0"/>
        </w:rPr>
      </w:pPr>
      <w:bookmarkStart w:id="373" w:name="_Toc316558756"/>
    </w:p>
    <w:p w:rsidR="00683496" w:rsidRPr="006D2270" w:rsidRDefault="00683496" w:rsidP="00683496">
      <w:pPr>
        <w:keepNext/>
        <w:widowControl w:val="0"/>
        <w:numPr>
          <w:ilvl w:val="12"/>
          <w:numId w:val="0"/>
        </w:numPr>
        <w:outlineLvl w:val="0"/>
        <w:rPr>
          <w:rFonts w:ascii="Verdana" w:hAnsi="Verdana" w:cs="Arial"/>
          <w:b/>
          <w:snapToGrid w:val="0"/>
        </w:rPr>
      </w:pPr>
      <w:r w:rsidRPr="006D2270">
        <w:rPr>
          <w:rFonts w:ascii="Verdana" w:hAnsi="Verdana" w:cs="Arial"/>
          <w:b/>
          <w:snapToGrid w:val="0"/>
        </w:rPr>
        <w:t xml:space="preserve">8. </w:t>
      </w:r>
      <w:bookmarkEnd w:id="373"/>
      <w:r w:rsidRPr="006D2270">
        <w:rPr>
          <w:rFonts w:ascii="Verdana" w:hAnsi="Verdana" w:cs="Arial"/>
          <w:b/>
          <w:snapToGrid w:val="0"/>
        </w:rPr>
        <w:t>Odbiór robót</w:t>
      </w:r>
    </w:p>
    <w:p w:rsidR="00683496" w:rsidRPr="006D2270" w:rsidRDefault="00683496" w:rsidP="00683496">
      <w:pPr>
        <w:numPr>
          <w:ilvl w:val="12"/>
          <w:numId w:val="0"/>
        </w:numPr>
        <w:jc w:val="both"/>
        <w:rPr>
          <w:rFonts w:ascii="Verdana" w:hAnsi="Verdana" w:cs="Arial"/>
        </w:rPr>
      </w:pPr>
      <w:r w:rsidRPr="006D2270">
        <w:rPr>
          <w:rFonts w:ascii="Verdana" w:hAnsi="Verdana" w:cs="Arial"/>
        </w:rPr>
        <w:t>Ogólne zasady odbioru robót podano w SST D-M-00.00.00 „Wymagania ogólne” pkt 8.</w:t>
      </w:r>
    </w:p>
    <w:p w:rsidR="00683496" w:rsidRPr="006D2270" w:rsidRDefault="00683496" w:rsidP="00683496">
      <w:pPr>
        <w:numPr>
          <w:ilvl w:val="12"/>
          <w:numId w:val="0"/>
        </w:numPr>
        <w:jc w:val="both"/>
        <w:rPr>
          <w:rFonts w:ascii="Verdana" w:hAnsi="Verdana" w:cs="Arial"/>
        </w:rPr>
      </w:pPr>
      <w:r w:rsidRPr="006D2270">
        <w:rPr>
          <w:rFonts w:ascii="Verdana" w:hAnsi="Verdana" w:cs="Arial"/>
        </w:rPr>
        <w:t>Roboty uznaje się za wykonane zgodnie z dokumentacją przetargową, SST i wymaganiami Przedstawiciela Zamawiającego/Inspektora Nadzoru, jeżeli wszystkie pomiary i badania z zachowaniem tolerancji według pkt 6 dały wyniki pozytywne.</w:t>
      </w:r>
    </w:p>
    <w:p w:rsidR="00683496" w:rsidRPr="00E86DD9" w:rsidRDefault="00683496" w:rsidP="00683496">
      <w:pPr>
        <w:tabs>
          <w:tab w:val="right" w:pos="0"/>
        </w:tabs>
        <w:jc w:val="both"/>
        <w:rPr>
          <w:rFonts w:ascii="Verdana" w:hAnsi="Verdana" w:cs="Arial"/>
        </w:rPr>
      </w:pPr>
      <w:bookmarkStart w:id="374" w:name="_Toc316558757"/>
      <w:r w:rsidRPr="00E86DD9">
        <w:rPr>
          <w:rFonts w:ascii="Verdana" w:hAnsi="Verdana" w:cs="Arial"/>
        </w:rPr>
        <w:t xml:space="preserve">Jeśli warunki umowy przewidują dokonywanie potrąceń, to </w:t>
      </w:r>
      <w:r>
        <w:rPr>
          <w:rFonts w:ascii="Verdana" w:hAnsi="Verdana" w:cs="Arial"/>
        </w:rPr>
        <w:t xml:space="preserve">Przedstawiciel </w:t>
      </w:r>
      <w:r w:rsidRPr="00E86DD9">
        <w:rPr>
          <w:rFonts w:ascii="Verdana" w:hAnsi="Verdana" w:cs="Arial"/>
        </w:rPr>
        <w:t>Zamawiającego/Inspektor Nadzoru może w razie niedotrzymania wartości dopuszczalnych</w:t>
      </w:r>
      <w:r>
        <w:rPr>
          <w:rFonts w:ascii="Verdana" w:hAnsi="Verdana" w:cs="Arial"/>
        </w:rPr>
        <w:t xml:space="preserve"> </w:t>
      </w:r>
      <w:r w:rsidRPr="00E86DD9">
        <w:rPr>
          <w:rFonts w:ascii="Verdana" w:hAnsi="Verdana" w:cs="Arial"/>
        </w:rPr>
        <w:t>dokonać takich potrąceń</w:t>
      </w:r>
      <w:r>
        <w:rPr>
          <w:rFonts w:ascii="Verdana" w:hAnsi="Verdana" w:cs="Arial"/>
        </w:rPr>
        <w:t xml:space="preserve"> w zakresie składu mieszanki mineralno-asfaltowej wg niniejszej SST pkt. 6.4.1, natomiast </w:t>
      </w:r>
      <w:r>
        <w:rPr>
          <w:rFonts w:ascii="Verdana" w:hAnsi="Verdana"/>
        </w:rPr>
        <w:t xml:space="preserve">dla pozostałych parametrów będzie miała zastosowanie </w:t>
      </w:r>
      <w:r w:rsidRPr="00E86DD9">
        <w:rPr>
          <w:rFonts w:ascii="Verdana" w:hAnsi="Verdana" w:cs="Arial"/>
        </w:rPr>
        <w:t>Instrukcj</w:t>
      </w:r>
      <w:r>
        <w:rPr>
          <w:rFonts w:ascii="Verdana" w:hAnsi="Verdana" w:cs="Arial"/>
        </w:rPr>
        <w:t>a</w:t>
      </w:r>
      <w:r w:rsidRPr="00E86DD9">
        <w:rPr>
          <w:rFonts w:ascii="Verdana" w:hAnsi="Verdana" w:cs="Arial"/>
        </w:rPr>
        <w:t xml:space="preserve"> DP-T 14 </w:t>
      </w:r>
      <w:r>
        <w:rPr>
          <w:rFonts w:ascii="Verdana" w:hAnsi="Verdana" w:cs="Arial"/>
        </w:rPr>
        <w:t xml:space="preserve">stanowiąca </w:t>
      </w:r>
      <w:r w:rsidRPr="00E86DD9">
        <w:rPr>
          <w:rFonts w:ascii="Verdana" w:hAnsi="Verdana" w:cs="Arial"/>
        </w:rPr>
        <w:t>załącznik do zarządzenia nr 10 Generalnego Dyrektora Dróg Krajowych i Au</w:t>
      </w:r>
      <w:r>
        <w:rPr>
          <w:rFonts w:ascii="Verdana" w:hAnsi="Verdana" w:cs="Arial"/>
        </w:rPr>
        <w:t>tostrad z dnia 30 marca 2017 r.</w:t>
      </w:r>
    </w:p>
    <w:p w:rsidR="00683496" w:rsidRDefault="00683496" w:rsidP="00683496">
      <w:pPr>
        <w:keepNext/>
        <w:widowControl w:val="0"/>
        <w:numPr>
          <w:ilvl w:val="12"/>
          <w:numId w:val="0"/>
        </w:numPr>
        <w:outlineLvl w:val="0"/>
        <w:rPr>
          <w:rFonts w:ascii="Verdana" w:hAnsi="Verdana" w:cs="Arial"/>
          <w:b/>
          <w:snapToGrid w:val="0"/>
        </w:rPr>
      </w:pPr>
    </w:p>
    <w:p w:rsidR="00683496" w:rsidRPr="006D2270" w:rsidRDefault="00683496" w:rsidP="00683496">
      <w:pPr>
        <w:keepNext/>
        <w:widowControl w:val="0"/>
        <w:numPr>
          <w:ilvl w:val="12"/>
          <w:numId w:val="0"/>
        </w:numPr>
        <w:outlineLvl w:val="0"/>
        <w:rPr>
          <w:rFonts w:ascii="Verdana" w:hAnsi="Verdana" w:cs="Arial"/>
          <w:b/>
          <w:snapToGrid w:val="0"/>
        </w:rPr>
      </w:pPr>
      <w:r w:rsidRPr="006D2270">
        <w:rPr>
          <w:rFonts w:ascii="Verdana" w:hAnsi="Verdana" w:cs="Arial"/>
          <w:b/>
          <w:snapToGrid w:val="0"/>
        </w:rPr>
        <w:t xml:space="preserve">9. </w:t>
      </w:r>
      <w:bookmarkEnd w:id="374"/>
      <w:r w:rsidRPr="006D2270">
        <w:rPr>
          <w:rFonts w:ascii="Verdana" w:hAnsi="Verdana" w:cs="Arial"/>
          <w:b/>
          <w:snapToGrid w:val="0"/>
        </w:rPr>
        <w:t>Podstawa płatności</w:t>
      </w:r>
    </w:p>
    <w:p w:rsidR="00683496" w:rsidRPr="006D2270" w:rsidRDefault="00683496" w:rsidP="00683496">
      <w:pPr>
        <w:keepNext/>
        <w:numPr>
          <w:ilvl w:val="12"/>
          <w:numId w:val="0"/>
        </w:numPr>
        <w:outlineLvl w:val="1"/>
        <w:rPr>
          <w:rFonts w:ascii="Verdana" w:hAnsi="Verdana" w:cs="Arial"/>
          <w:b/>
          <w:bCs/>
          <w:iCs/>
        </w:rPr>
      </w:pPr>
      <w:bookmarkStart w:id="375" w:name="_Toc316558758"/>
      <w:r w:rsidRPr="006D2270">
        <w:rPr>
          <w:rFonts w:ascii="Verdana" w:hAnsi="Verdana" w:cs="Arial"/>
          <w:b/>
          <w:bCs/>
          <w:iCs/>
        </w:rPr>
        <w:t>9.1. Ogólne ustalenia dotyczące podstawy płatności</w:t>
      </w:r>
      <w:bookmarkEnd w:id="375"/>
    </w:p>
    <w:p w:rsidR="00683496" w:rsidRPr="006D2270" w:rsidRDefault="00683496" w:rsidP="00683496">
      <w:pPr>
        <w:keepNext/>
        <w:numPr>
          <w:ilvl w:val="12"/>
          <w:numId w:val="0"/>
        </w:numPr>
        <w:outlineLvl w:val="1"/>
        <w:rPr>
          <w:rFonts w:ascii="Verdana" w:hAnsi="Verdana" w:cs="Arial"/>
          <w:b/>
          <w:bCs/>
          <w:iCs/>
        </w:rPr>
      </w:pPr>
      <w:r w:rsidRPr="006D2270">
        <w:rPr>
          <w:rFonts w:ascii="Verdana" w:hAnsi="Verdana" w:cs="Arial"/>
          <w:b/>
        </w:rPr>
        <w:t xml:space="preserve"> </w:t>
      </w:r>
      <w:r w:rsidRPr="006D2270">
        <w:rPr>
          <w:rFonts w:ascii="Verdana" w:hAnsi="Verdana" w:cs="Arial"/>
        </w:rPr>
        <w:t>Ogólne ustalenia dotyczące podstawy płatności podano w SST D-M-00.00.00 „Wymagania ogólne” pkt 9.</w:t>
      </w:r>
    </w:p>
    <w:p w:rsidR="00683496" w:rsidRPr="006D2270" w:rsidRDefault="00683496" w:rsidP="00683496">
      <w:pPr>
        <w:numPr>
          <w:ilvl w:val="12"/>
          <w:numId w:val="0"/>
        </w:numPr>
        <w:jc w:val="both"/>
        <w:rPr>
          <w:rFonts w:ascii="Verdana" w:hAnsi="Verdana" w:cs="Arial"/>
        </w:rPr>
      </w:pPr>
    </w:p>
    <w:p w:rsidR="00683496" w:rsidRPr="006D2270" w:rsidRDefault="00683496" w:rsidP="00683496">
      <w:pPr>
        <w:keepNext/>
        <w:numPr>
          <w:ilvl w:val="12"/>
          <w:numId w:val="0"/>
        </w:numPr>
        <w:outlineLvl w:val="1"/>
        <w:rPr>
          <w:rFonts w:ascii="Verdana" w:hAnsi="Verdana" w:cs="Arial"/>
          <w:b/>
          <w:bCs/>
          <w:iCs/>
        </w:rPr>
      </w:pPr>
      <w:bookmarkStart w:id="376" w:name="_Toc316558759"/>
      <w:r w:rsidRPr="006D2270">
        <w:rPr>
          <w:rFonts w:ascii="Verdana" w:hAnsi="Verdana" w:cs="Arial"/>
          <w:b/>
          <w:bCs/>
          <w:iCs/>
        </w:rPr>
        <w:t>9.2. Cena jednostki obmiarowej</w:t>
      </w:r>
      <w:bookmarkEnd w:id="376"/>
    </w:p>
    <w:p w:rsidR="00683496" w:rsidRPr="006D2270" w:rsidRDefault="00683496" w:rsidP="00683496">
      <w:pPr>
        <w:numPr>
          <w:ilvl w:val="12"/>
          <w:numId w:val="0"/>
        </w:numPr>
        <w:rPr>
          <w:rFonts w:ascii="Verdana" w:hAnsi="Verdana" w:cs="Arial"/>
        </w:rPr>
      </w:pPr>
      <w:r w:rsidRPr="006D2270">
        <w:rPr>
          <w:rFonts w:ascii="Verdana" w:hAnsi="Verdana" w:cs="Arial"/>
        </w:rPr>
        <w:t xml:space="preserve"> Cena wykonania 1 m</w:t>
      </w:r>
      <w:r w:rsidRPr="006D2270">
        <w:rPr>
          <w:rFonts w:ascii="Verdana" w:hAnsi="Verdana" w:cs="Arial"/>
          <w:vertAlign w:val="superscript"/>
        </w:rPr>
        <w:t>2</w:t>
      </w:r>
      <w:r w:rsidRPr="006D2270">
        <w:rPr>
          <w:rFonts w:ascii="Verdana" w:hAnsi="Verdana" w:cs="Arial"/>
        </w:rPr>
        <w:t xml:space="preserve"> warstwy ścieralnej z betonu asfaltowego obejmuje:</w:t>
      </w:r>
    </w:p>
    <w:p w:rsidR="00683496" w:rsidRPr="006D2270"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prace pomiarowe i roboty przygotowawcze,</w:t>
      </w:r>
    </w:p>
    <w:p w:rsidR="00683496" w:rsidRPr="006D2270"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oznakowanie robót,</w:t>
      </w:r>
    </w:p>
    <w:p w:rsidR="00683496" w:rsidRPr="006D2270" w:rsidRDefault="00683496" w:rsidP="00683496">
      <w:pPr>
        <w:numPr>
          <w:ilvl w:val="0"/>
          <w:numId w:val="1"/>
        </w:numPr>
        <w:rPr>
          <w:rFonts w:ascii="Verdana" w:hAnsi="Verdana" w:cs="Arial"/>
        </w:rPr>
      </w:pPr>
      <w:r w:rsidRPr="006D2270">
        <w:rPr>
          <w:rFonts w:ascii="Verdana" w:hAnsi="Verdana" w:cs="Arial"/>
        </w:rPr>
        <w:t>oczyszczenie i skropienie podłoża</w:t>
      </w:r>
      <w:r>
        <w:rPr>
          <w:rFonts w:ascii="Verdana" w:hAnsi="Verdana" w:cs="Arial"/>
        </w:rPr>
        <w:t xml:space="preserve"> oraz wykonanie warstwy ochronnej emulsji</w:t>
      </w:r>
      <w:r w:rsidRPr="006D2270">
        <w:rPr>
          <w:rFonts w:ascii="Verdana" w:hAnsi="Verdana" w:cs="Arial"/>
        </w:rPr>
        <w:t>,</w:t>
      </w:r>
    </w:p>
    <w:p w:rsidR="00683496" w:rsidRPr="006D2270"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dostarczenie materiałów i sprzętu,</w:t>
      </w:r>
    </w:p>
    <w:p w:rsidR="00683496" w:rsidRPr="00D41529"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opracowanie recept laboratoryjnych</w:t>
      </w:r>
      <w:r w:rsidRPr="00D41529">
        <w:rPr>
          <w:rFonts w:ascii="Verdana" w:hAnsi="Verdana"/>
        </w:rPr>
        <w:t xml:space="preserve"> </w:t>
      </w:r>
      <w:r w:rsidRPr="002E4E49">
        <w:rPr>
          <w:rFonts w:ascii="Verdana" w:hAnsi="Verdana"/>
        </w:rPr>
        <w:t xml:space="preserve">dla mieszanki mineralno-asfaltowej wraz </w:t>
      </w:r>
      <w:r>
        <w:rPr>
          <w:rFonts w:ascii="Verdana" w:hAnsi="Verdana"/>
        </w:rPr>
        <w:br/>
      </w:r>
      <w:r w:rsidRPr="002E4E49">
        <w:rPr>
          <w:rFonts w:ascii="Verdana" w:hAnsi="Verdana"/>
        </w:rPr>
        <w:t>z przeprowadzeniem wymaganych badań przy opracowaniu recepty</w:t>
      </w:r>
      <w:r w:rsidRPr="002876EA">
        <w:rPr>
          <w:rFonts w:ascii="Verdana" w:hAnsi="Verdana" w:cs="Arial"/>
        </w:rPr>
        <w:t>,</w:t>
      </w:r>
    </w:p>
    <w:p w:rsidR="00683496" w:rsidRPr="00254068"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wykonanie próby technologicznej i odcinka próbnego</w:t>
      </w:r>
      <w:r w:rsidRPr="00254068">
        <w:rPr>
          <w:rFonts w:ascii="Verdana" w:hAnsi="Verdana"/>
        </w:rPr>
        <w:t xml:space="preserve"> </w:t>
      </w:r>
      <w:r w:rsidRPr="002E4E49">
        <w:rPr>
          <w:rFonts w:ascii="Verdana" w:hAnsi="Verdana"/>
        </w:rPr>
        <w:t>wraz z wykonaniem niezbędnych badań laboratoryjnych, pomiarów i sprawdzeń</w:t>
      </w:r>
      <w:r w:rsidRPr="009040B8">
        <w:rPr>
          <w:rFonts w:ascii="Verdana" w:hAnsi="Verdana" w:cs="Arial"/>
        </w:rPr>
        <w:t>,</w:t>
      </w:r>
    </w:p>
    <w:p w:rsidR="00683496" w:rsidRPr="006D2270"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wyprodukowanie mieszanki i jej transport na miejsce wbudowania,</w:t>
      </w:r>
    </w:p>
    <w:p w:rsidR="00683496" w:rsidRPr="006D2270"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uszczelnienie taśmą kauczukowo-asfaltową złączy technologic</w:t>
      </w:r>
      <w:r>
        <w:rPr>
          <w:rFonts w:ascii="Verdana" w:hAnsi="Verdana" w:cs="Arial"/>
        </w:rPr>
        <w:t>znych, krawędzi urządzeń obcych</w:t>
      </w:r>
      <w:r w:rsidRPr="006D2270">
        <w:rPr>
          <w:rFonts w:ascii="Verdana" w:hAnsi="Verdana" w:cs="Arial"/>
        </w:rPr>
        <w:t xml:space="preserve"> i krawężników,</w:t>
      </w:r>
    </w:p>
    <w:p w:rsidR="00683496" w:rsidRPr="006D2270"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rozłożenie i zagęszczenie mieszanki,</w:t>
      </w:r>
    </w:p>
    <w:p w:rsidR="00683496" w:rsidRPr="006D2270"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 xml:space="preserve">obcięcie krawędzi zewnętrznych i uszczelnienie asfaltem </w:t>
      </w:r>
      <w:r>
        <w:rPr>
          <w:rFonts w:ascii="Verdana" w:hAnsi="Verdana" w:cs="Arial"/>
        </w:rPr>
        <w:t>drogowym</w:t>
      </w:r>
      <w:r w:rsidRPr="006D2270">
        <w:rPr>
          <w:rFonts w:ascii="Verdana" w:hAnsi="Verdana" w:cs="Arial"/>
        </w:rPr>
        <w:t>,</w:t>
      </w:r>
    </w:p>
    <w:p w:rsidR="00683496" w:rsidRDefault="00683496" w:rsidP="00683496">
      <w:pPr>
        <w:numPr>
          <w:ilvl w:val="0"/>
          <w:numId w:val="1"/>
        </w:numPr>
        <w:overflowPunct w:val="0"/>
        <w:autoSpaceDE w:val="0"/>
        <w:autoSpaceDN w:val="0"/>
        <w:jc w:val="both"/>
        <w:textAlignment w:val="baseline"/>
        <w:rPr>
          <w:rFonts w:ascii="Verdana" w:hAnsi="Verdana" w:cs="Arial"/>
        </w:rPr>
      </w:pPr>
      <w:r w:rsidRPr="006D2270">
        <w:rPr>
          <w:rFonts w:ascii="Verdana" w:hAnsi="Verdana" w:cs="Arial"/>
        </w:rPr>
        <w:t>przeprowadzenie pomiarów i badań  wymaganych w specyfikacji technicznej,</w:t>
      </w:r>
    </w:p>
    <w:p w:rsidR="00683496" w:rsidRPr="00F56FA6" w:rsidRDefault="00683496" w:rsidP="00683496">
      <w:pPr>
        <w:pStyle w:val="Tekstpodstawowy"/>
        <w:numPr>
          <w:ilvl w:val="0"/>
          <w:numId w:val="1"/>
        </w:numPr>
        <w:spacing w:after="0"/>
        <w:jc w:val="both"/>
        <w:rPr>
          <w:rFonts w:ascii="Verdana" w:hAnsi="Verdana"/>
        </w:rPr>
      </w:pPr>
      <w:r w:rsidRPr="00F56FA6">
        <w:rPr>
          <w:rFonts w:ascii="Verdana" w:hAnsi="Verdana"/>
        </w:rPr>
        <w:t xml:space="preserve">naprawa nawierzchni po pobraniu próbek i wykonaniu badań przez Wykonawcę </w:t>
      </w:r>
      <w:r>
        <w:rPr>
          <w:rFonts w:ascii="Verdana" w:hAnsi="Verdana"/>
        </w:rPr>
        <w:br/>
      </w:r>
      <w:r w:rsidRPr="00F56FA6">
        <w:rPr>
          <w:rFonts w:ascii="Verdana" w:hAnsi="Verdana"/>
        </w:rPr>
        <w:t>i Zamawiającego,</w:t>
      </w:r>
    </w:p>
    <w:p w:rsidR="00683496" w:rsidRPr="006D2270" w:rsidRDefault="00683496" w:rsidP="00683496">
      <w:pPr>
        <w:numPr>
          <w:ilvl w:val="0"/>
          <w:numId w:val="1"/>
        </w:numPr>
        <w:overflowPunct w:val="0"/>
        <w:autoSpaceDE w:val="0"/>
        <w:autoSpaceDN w:val="0"/>
        <w:jc w:val="both"/>
        <w:textAlignment w:val="baseline"/>
        <w:rPr>
          <w:rFonts w:ascii="Verdana" w:hAnsi="Verdana" w:cs="Arial"/>
          <w:b/>
          <w:bCs/>
        </w:rPr>
      </w:pPr>
      <w:r w:rsidRPr="006D2270">
        <w:rPr>
          <w:rFonts w:ascii="Verdana" w:hAnsi="Verdana" w:cs="Arial"/>
        </w:rPr>
        <w:t>odwiezienie sprzętu.</w:t>
      </w:r>
    </w:p>
    <w:p w:rsidR="00683496" w:rsidRDefault="00683496" w:rsidP="00683496">
      <w:pPr>
        <w:overflowPunct w:val="0"/>
        <w:autoSpaceDE w:val="0"/>
        <w:autoSpaceDN w:val="0"/>
        <w:ind w:left="283"/>
        <w:jc w:val="both"/>
        <w:textAlignment w:val="baseline"/>
        <w:rPr>
          <w:rFonts w:ascii="Verdana" w:hAnsi="Verdana" w:cs="Arial"/>
          <w:b/>
          <w:bCs/>
        </w:rPr>
      </w:pPr>
    </w:p>
    <w:p w:rsidR="00B718AA" w:rsidRDefault="00B718AA" w:rsidP="00683496">
      <w:pPr>
        <w:overflowPunct w:val="0"/>
        <w:autoSpaceDE w:val="0"/>
        <w:autoSpaceDN w:val="0"/>
        <w:ind w:left="283"/>
        <w:jc w:val="both"/>
        <w:textAlignment w:val="baseline"/>
        <w:rPr>
          <w:rFonts w:ascii="Verdana" w:hAnsi="Verdana" w:cs="Arial"/>
          <w:b/>
          <w:bCs/>
        </w:rPr>
      </w:pPr>
    </w:p>
    <w:p w:rsidR="00B718AA" w:rsidRDefault="00B718AA" w:rsidP="00683496">
      <w:pPr>
        <w:overflowPunct w:val="0"/>
        <w:autoSpaceDE w:val="0"/>
        <w:autoSpaceDN w:val="0"/>
        <w:ind w:left="283"/>
        <w:jc w:val="both"/>
        <w:textAlignment w:val="baseline"/>
        <w:rPr>
          <w:rFonts w:ascii="Verdana" w:hAnsi="Verdana" w:cs="Arial"/>
          <w:b/>
          <w:bCs/>
        </w:rPr>
      </w:pPr>
    </w:p>
    <w:p w:rsidR="00B718AA" w:rsidRDefault="00B718AA" w:rsidP="00683496">
      <w:pPr>
        <w:overflowPunct w:val="0"/>
        <w:autoSpaceDE w:val="0"/>
        <w:autoSpaceDN w:val="0"/>
        <w:ind w:left="283"/>
        <w:jc w:val="both"/>
        <w:textAlignment w:val="baseline"/>
        <w:rPr>
          <w:rFonts w:ascii="Verdana" w:hAnsi="Verdana" w:cs="Arial"/>
          <w:b/>
          <w:bCs/>
        </w:rPr>
      </w:pPr>
    </w:p>
    <w:p w:rsidR="00B718AA" w:rsidRPr="006D2270" w:rsidRDefault="00B718AA" w:rsidP="00683496">
      <w:pPr>
        <w:overflowPunct w:val="0"/>
        <w:autoSpaceDE w:val="0"/>
        <w:autoSpaceDN w:val="0"/>
        <w:ind w:left="283"/>
        <w:jc w:val="both"/>
        <w:textAlignment w:val="baseline"/>
        <w:rPr>
          <w:rFonts w:ascii="Verdana" w:hAnsi="Verdana" w:cs="Arial"/>
          <w:b/>
          <w:bCs/>
        </w:rPr>
      </w:pPr>
    </w:p>
    <w:p w:rsidR="00683496" w:rsidRPr="006D2270" w:rsidRDefault="00683496" w:rsidP="00683496">
      <w:pPr>
        <w:keepNext/>
        <w:outlineLvl w:val="1"/>
        <w:rPr>
          <w:rFonts w:ascii="Verdana" w:hAnsi="Verdana" w:cs="Arial"/>
          <w:b/>
          <w:bCs/>
          <w:iCs/>
        </w:rPr>
      </w:pPr>
      <w:bookmarkStart w:id="377" w:name="_Toc316558760"/>
      <w:r w:rsidRPr="006D2270">
        <w:rPr>
          <w:rFonts w:ascii="Verdana" w:hAnsi="Verdana" w:cs="Arial"/>
          <w:b/>
          <w:bCs/>
          <w:iCs/>
        </w:rPr>
        <w:t>9.3. Sposób rozliczenia robót tymczasowych i prac towarzyszących</w:t>
      </w:r>
      <w:bookmarkEnd w:id="377"/>
    </w:p>
    <w:p w:rsidR="00683496" w:rsidRPr="006D2270" w:rsidRDefault="00683496" w:rsidP="00683496">
      <w:pPr>
        <w:rPr>
          <w:rFonts w:ascii="Verdana" w:hAnsi="Verdana" w:cs="Arial"/>
        </w:rPr>
      </w:pPr>
      <w:r w:rsidRPr="006D2270">
        <w:rPr>
          <w:rFonts w:ascii="Verdana" w:hAnsi="Verdana" w:cs="Arial"/>
        </w:rPr>
        <w:t>Cena wykonania robót określonych niniejszą SST obejmuje:</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roboty tymczasowe, które są potrzebne do wykonania robót podstawowych, ale nie są przekazywane Przedstawicielowi Zamawiającego/Inspektorowi Nadzoru i są usuwane po wykonaniu robót podstawowych,</w:t>
      </w:r>
    </w:p>
    <w:p w:rsidR="00683496" w:rsidRPr="006D2270" w:rsidRDefault="00683496" w:rsidP="00683496">
      <w:pPr>
        <w:numPr>
          <w:ilvl w:val="0"/>
          <w:numId w:val="1"/>
        </w:numPr>
        <w:overflowPunct w:val="0"/>
        <w:autoSpaceDE w:val="0"/>
        <w:autoSpaceDN w:val="0"/>
        <w:adjustRightInd w:val="0"/>
        <w:jc w:val="both"/>
        <w:textAlignment w:val="baseline"/>
        <w:rPr>
          <w:rFonts w:ascii="Verdana" w:hAnsi="Verdana" w:cs="Arial"/>
        </w:rPr>
      </w:pPr>
      <w:r w:rsidRPr="006D2270">
        <w:rPr>
          <w:rFonts w:ascii="Verdana" w:hAnsi="Verdana" w:cs="Arial"/>
        </w:rPr>
        <w:t>prace towarzyszące, które są niezbędne do wykonania robót podstawowych, niezaliczane do robót tymczasowych, jak geodezyjne wytyczenie robót itd.</w:t>
      </w:r>
    </w:p>
    <w:p w:rsidR="00683496" w:rsidRPr="006D2270" w:rsidRDefault="00683496" w:rsidP="00683496">
      <w:pPr>
        <w:overflowPunct w:val="0"/>
        <w:autoSpaceDE w:val="0"/>
        <w:autoSpaceDN w:val="0"/>
        <w:adjustRightInd w:val="0"/>
        <w:jc w:val="both"/>
        <w:rPr>
          <w:rFonts w:ascii="Verdana" w:hAnsi="Verdana" w:cs="Arial"/>
          <w:b/>
        </w:rPr>
      </w:pPr>
    </w:p>
    <w:p w:rsidR="00683496" w:rsidRPr="006D2270" w:rsidRDefault="00683496" w:rsidP="00683496">
      <w:pPr>
        <w:keepNext/>
        <w:widowControl w:val="0"/>
        <w:outlineLvl w:val="0"/>
        <w:rPr>
          <w:rFonts w:ascii="Verdana" w:hAnsi="Verdana" w:cs="Arial"/>
          <w:b/>
          <w:snapToGrid w:val="0"/>
        </w:rPr>
      </w:pPr>
      <w:bookmarkStart w:id="378" w:name="_Toc316558761"/>
      <w:r w:rsidRPr="006D2270">
        <w:rPr>
          <w:rFonts w:ascii="Verdana" w:hAnsi="Verdana" w:cs="Arial"/>
          <w:b/>
          <w:snapToGrid w:val="0"/>
        </w:rPr>
        <w:t xml:space="preserve">10. </w:t>
      </w:r>
      <w:bookmarkEnd w:id="378"/>
      <w:r w:rsidRPr="006D2270">
        <w:rPr>
          <w:rFonts w:ascii="Verdana" w:hAnsi="Verdana" w:cs="Arial"/>
          <w:b/>
          <w:snapToGrid w:val="0"/>
        </w:rPr>
        <w:t>Przepisy związane</w:t>
      </w:r>
    </w:p>
    <w:p w:rsidR="00683496" w:rsidRPr="006D2270" w:rsidRDefault="00683496" w:rsidP="00683496">
      <w:pPr>
        <w:keepNext/>
        <w:outlineLvl w:val="1"/>
        <w:rPr>
          <w:rFonts w:ascii="Verdana" w:hAnsi="Verdana" w:cs="Arial"/>
          <w:b/>
          <w:bCs/>
          <w:iCs/>
        </w:rPr>
      </w:pPr>
      <w:bookmarkStart w:id="379" w:name="_Toc316558762"/>
      <w:r w:rsidRPr="006D2270">
        <w:rPr>
          <w:rFonts w:ascii="Verdana" w:hAnsi="Verdana" w:cs="Arial"/>
          <w:b/>
          <w:bCs/>
          <w:iCs/>
        </w:rPr>
        <w:t>10.1. Ogólne specyfikacje techniczne (SST)</w:t>
      </w:r>
      <w:bookmarkEnd w:id="379"/>
    </w:p>
    <w:tbl>
      <w:tblPr>
        <w:tblW w:w="10487" w:type="dxa"/>
        <w:tblLayout w:type="fixed"/>
        <w:tblCellMar>
          <w:left w:w="70" w:type="dxa"/>
          <w:right w:w="70" w:type="dxa"/>
        </w:tblCellMar>
        <w:tblLook w:val="0000" w:firstRow="0" w:lastRow="0" w:firstColumn="0" w:lastColumn="0" w:noHBand="0" w:noVBand="0"/>
      </w:tblPr>
      <w:tblGrid>
        <w:gridCol w:w="496"/>
        <w:gridCol w:w="4819"/>
        <w:gridCol w:w="5172"/>
      </w:tblGrid>
      <w:tr w:rsidR="00683496" w:rsidRPr="006D2270" w:rsidTr="00683496">
        <w:tc>
          <w:tcPr>
            <w:tcW w:w="496" w:type="dxa"/>
          </w:tcPr>
          <w:p w:rsidR="00683496" w:rsidRPr="006D2270" w:rsidRDefault="00683496" w:rsidP="00683496">
            <w:pPr>
              <w:ind w:right="-211"/>
              <w:jc w:val="center"/>
              <w:rPr>
                <w:rFonts w:ascii="Verdana" w:hAnsi="Verdana" w:cs="Arial"/>
              </w:rPr>
            </w:pPr>
            <w:r w:rsidRPr="006D2270">
              <w:rPr>
                <w:rFonts w:ascii="Verdana" w:hAnsi="Verdana" w:cs="Arial"/>
              </w:rPr>
              <w:t xml:space="preserve">  1.</w:t>
            </w:r>
          </w:p>
        </w:tc>
        <w:tc>
          <w:tcPr>
            <w:tcW w:w="4819" w:type="dxa"/>
          </w:tcPr>
          <w:p w:rsidR="00683496" w:rsidRPr="006D2270" w:rsidRDefault="00683496" w:rsidP="00683496">
            <w:pPr>
              <w:rPr>
                <w:rFonts w:ascii="Verdana" w:hAnsi="Verdana" w:cs="Arial"/>
              </w:rPr>
            </w:pPr>
            <w:r w:rsidRPr="006D2270">
              <w:rPr>
                <w:rFonts w:ascii="Verdana" w:hAnsi="Verdana" w:cs="Arial"/>
              </w:rPr>
              <w:t xml:space="preserve"> D-M-00.00.00      Wymagania ogólne</w:t>
            </w:r>
          </w:p>
        </w:tc>
        <w:tc>
          <w:tcPr>
            <w:tcW w:w="5172" w:type="dxa"/>
          </w:tcPr>
          <w:p w:rsidR="00683496" w:rsidRPr="006D2270" w:rsidRDefault="00683496" w:rsidP="00683496">
            <w:pPr>
              <w:ind w:left="-211"/>
              <w:rPr>
                <w:rFonts w:ascii="Verdana" w:hAnsi="Verdana" w:cs="Arial"/>
              </w:rPr>
            </w:pPr>
          </w:p>
          <w:p w:rsidR="00683496" w:rsidRPr="006D2270" w:rsidRDefault="00683496" w:rsidP="00683496">
            <w:pPr>
              <w:ind w:left="-211"/>
              <w:rPr>
                <w:rFonts w:ascii="Verdana" w:hAnsi="Verdana" w:cs="Arial"/>
              </w:rPr>
            </w:pPr>
          </w:p>
        </w:tc>
      </w:tr>
    </w:tbl>
    <w:p w:rsidR="00683496" w:rsidRPr="006D2270" w:rsidRDefault="00683496" w:rsidP="00683496">
      <w:pPr>
        <w:keepNext/>
        <w:outlineLvl w:val="1"/>
        <w:rPr>
          <w:rFonts w:ascii="Verdana" w:hAnsi="Verdana" w:cs="Arial"/>
          <w:b/>
          <w:bCs/>
          <w:iCs/>
        </w:rPr>
      </w:pPr>
      <w:bookmarkStart w:id="380" w:name="_Toc316558763"/>
      <w:r w:rsidRPr="006D2270">
        <w:rPr>
          <w:rFonts w:ascii="Verdana" w:hAnsi="Verdana" w:cs="Arial"/>
          <w:b/>
          <w:bCs/>
          <w:iCs/>
        </w:rPr>
        <w:t>10.2. Normy</w:t>
      </w:r>
      <w:bookmarkEnd w:id="380"/>
    </w:p>
    <w:p w:rsidR="00683496" w:rsidRPr="006D2270" w:rsidRDefault="00683496" w:rsidP="00683496">
      <w:pPr>
        <w:spacing w:after="120"/>
        <w:rPr>
          <w:rFonts w:ascii="Verdana" w:hAnsi="Verdana" w:cs="Arial"/>
        </w:rPr>
      </w:pPr>
      <w:r w:rsidRPr="006D2270">
        <w:rPr>
          <w:rFonts w:ascii="Verdana" w:hAnsi="Verdana" w:cs="Arial"/>
        </w:rPr>
        <w:t>(Zestawienie zawiera dodatkowo normy PN-EN związane z badaniami materiałów występujących w niniejszej SST)</w:t>
      </w:r>
    </w:p>
    <w:tbl>
      <w:tblPr>
        <w:tblW w:w="10038" w:type="dxa"/>
        <w:tblLook w:val="01E0" w:firstRow="1" w:lastRow="1" w:firstColumn="1" w:lastColumn="1" w:noHBand="0" w:noVBand="0"/>
      </w:tblPr>
      <w:tblGrid>
        <w:gridCol w:w="743"/>
        <w:gridCol w:w="1455"/>
        <w:gridCol w:w="7840"/>
      </w:tblGrid>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w:t>
            </w:r>
          </w:p>
        </w:tc>
        <w:tc>
          <w:tcPr>
            <w:tcW w:w="1469" w:type="dxa"/>
          </w:tcPr>
          <w:p w:rsidR="00683496" w:rsidRPr="006D2270" w:rsidRDefault="00683496" w:rsidP="00683496">
            <w:pPr>
              <w:rPr>
                <w:rFonts w:ascii="Verdana" w:hAnsi="Verdana" w:cs="Arial"/>
              </w:rPr>
            </w:pPr>
            <w:r w:rsidRPr="006D2270">
              <w:rPr>
                <w:rFonts w:ascii="Verdana" w:hAnsi="Verdana" w:cs="Arial"/>
              </w:rPr>
              <w:t>PN-EN 196-21</w:t>
            </w:r>
          </w:p>
        </w:tc>
        <w:tc>
          <w:tcPr>
            <w:tcW w:w="7994" w:type="dxa"/>
          </w:tcPr>
          <w:p w:rsidR="00683496" w:rsidRPr="006D2270" w:rsidRDefault="00683496" w:rsidP="00683496">
            <w:pPr>
              <w:rPr>
                <w:rFonts w:ascii="Verdana" w:hAnsi="Verdana" w:cs="Arial"/>
              </w:rPr>
            </w:pPr>
            <w:r w:rsidRPr="006D2270">
              <w:rPr>
                <w:rFonts w:ascii="Verdana" w:hAnsi="Verdana" w:cs="Arial"/>
              </w:rPr>
              <w:t>Metody badania cementu – Oznaczanie zawartości chlorków, dwutlenku węgla i alkaliów w cemencie</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w:t>
            </w:r>
          </w:p>
        </w:tc>
        <w:tc>
          <w:tcPr>
            <w:tcW w:w="1469" w:type="dxa"/>
          </w:tcPr>
          <w:p w:rsidR="00683496" w:rsidRPr="006D2270" w:rsidRDefault="00683496" w:rsidP="00683496">
            <w:pPr>
              <w:rPr>
                <w:rFonts w:ascii="Verdana" w:hAnsi="Verdana" w:cs="Arial"/>
              </w:rPr>
            </w:pPr>
            <w:r w:rsidRPr="006D2270">
              <w:rPr>
                <w:rFonts w:ascii="Verdana" w:hAnsi="Verdana" w:cs="Arial"/>
              </w:rPr>
              <w:t>PN-EN 459-2</w:t>
            </w:r>
          </w:p>
        </w:tc>
        <w:tc>
          <w:tcPr>
            <w:tcW w:w="7994" w:type="dxa"/>
          </w:tcPr>
          <w:p w:rsidR="00683496" w:rsidRPr="006D2270" w:rsidRDefault="00683496" w:rsidP="00683496">
            <w:pPr>
              <w:rPr>
                <w:rFonts w:ascii="Verdana" w:hAnsi="Verdana" w:cs="Arial"/>
              </w:rPr>
            </w:pPr>
            <w:r w:rsidRPr="006D2270">
              <w:rPr>
                <w:rFonts w:ascii="Verdana" w:hAnsi="Verdana" w:cs="Arial"/>
              </w:rPr>
              <w:t>Wapno budowlane – Część 2: Metody badań</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w:t>
            </w:r>
          </w:p>
        </w:tc>
        <w:tc>
          <w:tcPr>
            <w:tcW w:w="1469" w:type="dxa"/>
          </w:tcPr>
          <w:p w:rsidR="00683496" w:rsidRPr="006D2270" w:rsidRDefault="00683496" w:rsidP="00683496">
            <w:pPr>
              <w:rPr>
                <w:rFonts w:ascii="Verdana" w:hAnsi="Verdana" w:cs="Arial"/>
              </w:rPr>
            </w:pPr>
            <w:r w:rsidRPr="006D2270">
              <w:rPr>
                <w:rFonts w:ascii="Verdana" w:hAnsi="Verdana" w:cs="Arial"/>
              </w:rPr>
              <w:t>PN-EN 932-3</w:t>
            </w:r>
          </w:p>
        </w:tc>
        <w:tc>
          <w:tcPr>
            <w:tcW w:w="7994" w:type="dxa"/>
          </w:tcPr>
          <w:p w:rsidR="00683496" w:rsidRPr="006D2270" w:rsidRDefault="00683496" w:rsidP="00683496">
            <w:pPr>
              <w:rPr>
                <w:rFonts w:ascii="Verdana" w:hAnsi="Verdana" w:cs="Arial"/>
              </w:rPr>
            </w:pPr>
            <w:r w:rsidRPr="006D2270">
              <w:rPr>
                <w:rFonts w:ascii="Verdana" w:hAnsi="Verdana" w:cs="Arial"/>
              </w:rPr>
              <w:t>Badania podstawowych właściwości kruszyw – Procedura i terminologia uproszczonego opisu petrograficznego</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w:t>
            </w:r>
          </w:p>
        </w:tc>
        <w:tc>
          <w:tcPr>
            <w:tcW w:w="1469" w:type="dxa"/>
          </w:tcPr>
          <w:p w:rsidR="00683496" w:rsidRPr="006D2270" w:rsidRDefault="00683496" w:rsidP="00683496">
            <w:pPr>
              <w:rPr>
                <w:rFonts w:ascii="Verdana" w:hAnsi="Verdana" w:cs="Arial"/>
              </w:rPr>
            </w:pPr>
            <w:r w:rsidRPr="006D2270">
              <w:rPr>
                <w:rFonts w:ascii="Verdana" w:hAnsi="Verdana" w:cs="Arial"/>
              </w:rPr>
              <w:t>PN-EN 933-1</w:t>
            </w:r>
          </w:p>
        </w:tc>
        <w:tc>
          <w:tcPr>
            <w:tcW w:w="7994" w:type="dxa"/>
          </w:tcPr>
          <w:p w:rsidR="00683496" w:rsidRPr="006D2270" w:rsidRDefault="00683496" w:rsidP="00683496">
            <w:pPr>
              <w:rPr>
                <w:rFonts w:ascii="Verdana" w:hAnsi="Verdana" w:cs="Arial"/>
              </w:rPr>
            </w:pPr>
            <w:r w:rsidRPr="006D2270">
              <w:rPr>
                <w:rFonts w:ascii="Verdana" w:hAnsi="Verdana" w:cs="Arial"/>
              </w:rPr>
              <w:t>Badania geometrycznych właściwości kruszyw – Oznaczanie składu ziarnowego – Metoda przesiewania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6.</w:t>
            </w:r>
          </w:p>
        </w:tc>
        <w:tc>
          <w:tcPr>
            <w:tcW w:w="1469" w:type="dxa"/>
          </w:tcPr>
          <w:p w:rsidR="00683496" w:rsidRPr="006D2270" w:rsidRDefault="00683496" w:rsidP="00683496">
            <w:pPr>
              <w:rPr>
                <w:rFonts w:ascii="Verdana" w:hAnsi="Verdana" w:cs="Arial"/>
              </w:rPr>
            </w:pPr>
            <w:r w:rsidRPr="006D2270">
              <w:rPr>
                <w:rFonts w:ascii="Verdana" w:hAnsi="Verdana" w:cs="Arial"/>
              </w:rPr>
              <w:t>PN-EN 933-3</w:t>
            </w:r>
          </w:p>
        </w:tc>
        <w:tc>
          <w:tcPr>
            <w:tcW w:w="7994" w:type="dxa"/>
          </w:tcPr>
          <w:p w:rsidR="00683496" w:rsidRPr="006D2270" w:rsidRDefault="00683496" w:rsidP="00683496">
            <w:pPr>
              <w:rPr>
                <w:rFonts w:ascii="Verdana" w:hAnsi="Verdana" w:cs="Arial"/>
              </w:rPr>
            </w:pPr>
            <w:r w:rsidRPr="006D2270">
              <w:rPr>
                <w:rFonts w:ascii="Verdana" w:hAnsi="Verdana" w:cs="Arial"/>
              </w:rPr>
              <w:t>Badania geometrycznych właściwości kruszyw – Oznaczanie kształtu ziaren za pomocą wskaźnika płaskości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7.</w:t>
            </w:r>
          </w:p>
        </w:tc>
        <w:tc>
          <w:tcPr>
            <w:tcW w:w="1469" w:type="dxa"/>
          </w:tcPr>
          <w:p w:rsidR="00683496" w:rsidRPr="006D2270" w:rsidRDefault="00683496" w:rsidP="00683496">
            <w:pPr>
              <w:rPr>
                <w:rFonts w:ascii="Verdana" w:hAnsi="Verdana" w:cs="Arial"/>
              </w:rPr>
            </w:pPr>
            <w:r w:rsidRPr="006D2270">
              <w:rPr>
                <w:rFonts w:ascii="Verdana" w:hAnsi="Verdana" w:cs="Arial"/>
              </w:rPr>
              <w:t>PN-EN 933-4</w:t>
            </w:r>
          </w:p>
        </w:tc>
        <w:tc>
          <w:tcPr>
            <w:tcW w:w="7994" w:type="dxa"/>
          </w:tcPr>
          <w:p w:rsidR="00683496" w:rsidRPr="006D2270" w:rsidRDefault="00683496" w:rsidP="00683496">
            <w:pPr>
              <w:rPr>
                <w:rFonts w:ascii="Verdana" w:hAnsi="Verdana" w:cs="Arial"/>
              </w:rPr>
            </w:pPr>
            <w:r w:rsidRPr="006D2270">
              <w:rPr>
                <w:rFonts w:ascii="Verdana" w:hAnsi="Verdana" w:cs="Arial"/>
              </w:rPr>
              <w:t>Badania geometrycznych właściwości kruszyw – Część 4: Oznaczanie kształtu ziaren – Wskaźnik kształtu</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lastRenderedPageBreak/>
              <w:t>8.</w:t>
            </w:r>
          </w:p>
        </w:tc>
        <w:tc>
          <w:tcPr>
            <w:tcW w:w="1469" w:type="dxa"/>
          </w:tcPr>
          <w:p w:rsidR="00683496" w:rsidRPr="006D2270" w:rsidRDefault="00683496" w:rsidP="00683496">
            <w:pPr>
              <w:rPr>
                <w:rFonts w:ascii="Verdana" w:hAnsi="Verdana" w:cs="Arial"/>
              </w:rPr>
            </w:pPr>
            <w:r w:rsidRPr="006D2270">
              <w:rPr>
                <w:rFonts w:ascii="Verdana" w:hAnsi="Verdana" w:cs="Arial"/>
              </w:rPr>
              <w:t>PN-EN 933-5</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Badania geometrycznych właściwości kruszyw – Oznaczanie procentowej zawartości ziaren o powierzchniach powstałych w wyniku </w:t>
            </w:r>
            <w:proofErr w:type="spellStart"/>
            <w:r w:rsidRPr="006D2270">
              <w:rPr>
                <w:rFonts w:ascii="Verdana" w:hAnsi="Verdana" w:cs="Arial"/>
              </w:rPr>
              <w:t>przekruszenia</w:t>
            </w:r>
            <w:proofErr w:type="spellEnd"/>
            <w:r w:rsidRPr="006D2270">
              <w:rPr>
                <w:rFonts w:ascii="Verdana" w:hAnsi="Verdana" w:cs="Arial"/>
              </w:rPr>
              <w:t xml:space="preserve"> lub łamania kruszyw grubych</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9.</w:t>
            </w:r>
          </w:p>
        </w:tc>
        <w:tc>
          <w:tcPr>
            <w:tcW w:w="1469" w:type="dxa"/>
          </w:tcPr>
          <w:p w:rsidR="00683496" w:rsidRPr="006D2270" w:rsidRDefault="00683496" w:rsidP="00683496">
            <w:pPr>
              <w:rPr>
                <w:rFonts w:ascii="Verdana" w:hAnsi="Verdana" w:cs="Arial"/>
              </w:rPr>
            </w:pPr>
            <w:r w:rsidRPr="006D2270">
              <w:rPr>
                <w:rFonts w:ascii="Verdana" w:hAnsi="Verdana" w:cs="Arial"/>
              </w:rPr>
              <w:t>PN-EN 933-6</w:t>
            </w:r>
          </w:p>
        </w:tc>
        <w:tc>
          <w:tcPr>
            <w:tcW w:w="7994" w:type="dxa"/>
          </w:tcPr>
          <w:p w:rsidR="00683496" w:rsidRPr="006D2270" w:rsidRDefault="00683496" w:rsidP="00683496">
            <w:pPr>
              <w:rPr>
                <w:rFonts w:ascii="Verdana" w:hAnsi="Verdana" w:cs="Arial"/>
              </w:rPr>
            </w:pPr>
            <w:r w:rsidRPr="006D2270">
              <w:rPr>
                <w:rFonts w:ascii="Verdana" w:hAnsi="Verdana" w:cs="Arial"/>
              </w:rPr>
              <w:t>Badania geometrycznych właściwości kruszyw – Część 6: Ocena właściwości powierzchni – Wskaźnik przepływu kruszywa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10.</w:t>
            </w:r>
          </w:p>
        </w:tc>
        <w:tc>
          <w:tcPr>
            <w:tcW w:w="1469" w:type="dxa"/>
          </w:tcPr>
          <w:p w:rsidR="00683496" w:rsidRPr="006D2270" w:rsidRDefault="00683496" w:rsidP="00683496">
            <w:pPr>
              <w:rPr>
                <w:rFonts w:ascii="Verdana" w:hAnsi="Verdana" w:cs="Arial"/>
              </w:rPr>
            </w:pPr>
            <w:r w:rsidRPr="006D2270">
              <w:rPr>
                <w:rFonts w:ascii="Verdana" w:hAnsi="Verdana" w:cs="Arial"/>
              </w:rPr>
              <w:t>PN-EN 933-9</w:t>
            </w:r>
          </w:p>
        </w:tc>
        <w:tc>
          <w:tcPr>
            <w:tcW w:w="7994" w:type="dxa"/>
          </w:tcPr>
          <w:p w:rsidR="00683496" w:rsidRPr="006D2270" w:rsidRDefault="00683496" w:rsidP="00683496">
            <w:pPr>
              <w:rPr>
                <w:rFonts w:ascii="Verdana" w:hAnsi="Verdana" w:cs="Arial"/>
              </w:rPr>
            </w:pPr>
            <w:r w:rsidRPr="006D2270">
              <w:rPr>
                <w:rFonts w:ascii="Verdana" w:hAnsi="Verdana" w:cs="Arial"/>
              </w:rPr>
              <w:t>Badania geometrycznych właściwości kruszyw – Ocena zawartości drobnych cząstek – Badania błękitem metylenowym</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11.</w:t>
            </w:r>
          </w:p>
        </w:tc>
        <w:tc>
          <w:tcPr>
            <w:tcW w:w="1469" w:type="dxa"/>
          </w:tcPr>
          <w:p w:rsidR="00683496" w:rsidRPr="006D2270" w:rsidRDefault="00683496" w:rsidP="00683496">
            <w:pPr>
              <w:rPr>
                <w:rFonts w:ascii="Verdana" w:hAnsi="Verdana" w:cs="Arial"/>
              </w:rPr>
            </w:pPr>
            <w:r w:rsidRPr="006D2270">
              <w:rPr>
                <w:rFonts w:ascii="Verdana" w:hAnsi="Verdana" w:cs="Arial"/>
              </w:rPr>
              <w:t>PN-EN 933-10</w:t>
            </w:r>
          </w:p>
        </w:tc>
        <w:tc>
          <w:tcPr>
            <w:tcW w:w="7994" w:type="dxa"/>
          </w:tcPr>
          <w:p w:rsidR="00683496" w:rsidRPr="006D2270" w:rsidRDefault="00683496" w:rsidP="00683496">
            <w:pPr>
              <w:rPr>
                <w:rFonts w:ascii="Verdana" w:hAnsi="Verdana" w:cs="Arial"/>
              </w:rPr>
            </w:pPr>
            <w:r w:rsidRPr="006D2270">
              <w:rPr>
                <w:rFonts w:ascii="Verdana" w:hAnsi="Verdana" w:cs="Arial"/>
              </w:rPr>
              <w:t>Badania geometrycznych właściwości kruszyw – Część 10: Ocena zawartości drobnych cząstek – Uziarnienie wypełniaczy (przesiewanie w strumieniu powietrza)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12.</w:t>
            </w:r>
          </w:p>
        </w:tc>
        <w:tc>
          <w:tcPr>
            <w:tcW w:w="1469" w:type="dxa"/>
          </w:tcPr>
          <w:p w:rsidR="00683496" w:rsidRPr="006D2270" w:rsidRDefault="00683496" w:rsidP="00683496">
            <w:pPr>
              <w:rPr>
                <w:rFonts w:ascii="Verdana" w:hAnsi="Verdana" w:cs="Arial"/>
              </w:rPr>
            </w:pPr>
            <w:r w:rsidRPr="006D2270">
              <w:rPr>
                <w:rFonts w:ascii="Verdana" w:hAnsi="Verdana" w:cs="Arial"/>
              </w:rPr>
              <w:t>PN-EN 1097-2</w:t>
            </w:r>
          </w:p>
        </w:tc>
        <w:tc>
          <w:tcPr>
            <w:tcW w:w="7994" w:type="dxa"/>
          </w:tcPr>
          <w:p w:rsidR="00683496" w:rsidRPr="006D2270" w:rsidRDefault="00683496" w:rsidP="00683496">
            <w:pPr>
              <w:rPr>
                <w:rFonts w:ascii="Verdana" w:hAnsi="Verdana" w:cs="Arial"/>
              </w:rPr>
            </w:pPr>
            <w:r w:rsidRPr="006D2270">
              <w:rPr>
                <w:rFonts w:ascii="Verdana" w:hAnsi="Verdana" w:cs="Arial"/>
              </w:rPr>
              <w:t>Badania mechanicznych i fizycznych właściwości kruszyw – Metody oznaczania odporności na rozdrabnianie</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13.</w:t>
            </w:r>
          </w:p>
        </w:tc>
        <w:tc>
          <w:tcPr>
            <w:tcW w:w="1469" w:type="dxa"/>
          </w:tcPr>
          <w:p w:rsidR="00683496" w:rsidRPr="006D2270" w:rsidRDefault="00683496" w:rsidP="00683496">
            <w:pPr>
              <w:rPr>
                <w:rFonts w:ascii="Verdana" w:hAnsi="Verdana" w:cs="Arial"/>
              </w:rPr>
            </w:pPr>
            <w:r w:rsidRPr="006D2270">
              <w:rPr>
                <w:rFonts w:ascii="Verdana" w:hAnsi="Verdana" w:cs="Arial"/>
              </w:rPr>
              <w:t>PN-EN 1097-3</w:t>
            </w:r>
          </w:p>
        </w:tc>
        <w:tc>
          <w:tcPr>
            <w:tcW w:w="7994" w:type="dxa"/>
          </w:tcPr>
          <w:p w:rsidR="00683496" w:rsidRPr="006D2270" w:rsidRDefault="00683496" w:rsidP="00683496">
            <w:pPr>
              <w:rPr>
                <w:rFonts w:ascii="Verdana" w:hAnsi="Verdana" w:cs="Arial"/>
              </w:rPr>
            </w:pPr>
            <w:r w:rsidRPr="006D2270">
              <w:rPr>
                <w:rFonts w:ascii="Verdana" w:hAnsi="Verdana" w:cs="Arial"/>
              </w:rPr>
              <w:t>Badania mechanicznych i fizycznych właściwości kruszyw – Oznaczanie gęstości nasypowej i jamistości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14.</w:t>
            </w:r>
          </w:p>
        </w:tc>
        <w:tc>
          <w:tcPr>
            <w:tcW w:w="1469" w:type="dxa"/>
          </w:tcPr>
          <w:p w:rsidR="00683496" w:rsidRPr="006D2270" w:rsidRDefault="00683496" w:rsidP="00683496">
            <w:pPr>
              <w:rPr>
                <w:rFonts w:ascii="Verdana" w:hAnsi="Verdana" w:cs="Arial"/>
              </w:rPr>
            </w:pPr>
            <w:r w:rsidRPr="006D2270">
              <w:rPr>
                <w:rFonts w:ascii="Verdana" w:hAnsi="Verdana" w:cs="Arial"/>
              </w:rPr>
              <w:t>PN-EN 1097-4</w:t>
            </w:r>
          </w:p>
        </w:tc>
        <w:tc>
          <w:tcPr>
            <w:tcW w:w="7994" w:type="dxa"/>
          </w:tcPr>
          <w:p w:rsidR="00683496" w:rsidRPr="006D2270" w:rsidRDefault="00683496" w:rsidP="00683496">
            <w:pPr>
              <w:rPr>
                <w:rFonts w:ascii="Verdana" w:hAnsi="Verdana" w:cs="Arial"/>
              </w:rPr>
            </w:pPr>
            <w:r w:rsidRPr="006D2270">
              <w:rPr>
                <w:rFonts w:ascii="Verdana" w:hAnsi="Verdana" w:cs="Arial"/>
              </w:rPr>
              <w:t>Badania mechanicznych i fizycznych właściwości kruszyw – Część 4: Oznaczanie pustych przestrzeni suchego, zagęszczonego wypełniacza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15.</w:t>
            </w:r>
          </w:p>
        </w:tc>
        <w:tc>
          <w:tcPr>
            <w:tcW w:w="1469" w:type="dxa"/>
          </w:tcPr>
          <w:p w:rsidR="00683496" w:rsidRPr="006D2270" w:rsidRDefault="00683496" w:rsidP="00683496">
            <w:pPr>
              <w:rPr>
                <w:rFonts w:ascii="Verdana" w:hAnsi="Verdana" w:cs="Arial"/>
              </w:rPr>
            </w:pPr>
            <w:r w:rsidRPr="006D2270">
              <w:rPr>
                <w:rFonts w:ascii="Verdana" w:hAnsi="Verdana" w:cs="Arial"/>
              </w:rPr>
              <w:t>PN-EN 1097-5</w:t>
            </w:r>
          </w:p>
        </w:tc>
        <w:tc>
          <w:tcPr>
            <w:tcW w:w="7994" w:type="dxa"/>
          </w:tcPr>
          <w:p w:rsidR="00683496" w:rsidRPr="006D2270" w:rsidRDefault="00683496" w:rsidP="00683496">
            <w:pPr>
              <w:rPr>
                <w:rFonts w:ascii="Verdana" w:hAnsi="Verdana" w:cs="Arial"/>
              </w:rPr>
            </w:pPr>
            <w:r w:rsidRPr="006D2270">
              <w:rPr>
                <w:rFonts w:ascii="Verdana" w:hAnsi="Verdana" w:cs="Arial"/>
              </w:rPr>
              <w:t>Badania mechanicznych i fizycznych właściwości kruszyw – Część 5: Oznaczanie zawartości wody przez suszenie w suszarce z wentylacją</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16.</w:t>
            </w:r>
          </w:p>
        </w:tc>
        <w:tc>
          <w:tcPr>
            <w:tcW w:w="1469" w:type="dxa"/>
          </w:tcPr>
          <w:p w:rsidR="00683496" w:rsidRPr="006D2270" w:rsidRDefault="00683496" w:rsidP="00683496">
            <w:pPr>
              <w:rPr>
                <w:rFonts w:ascii="Verdana" w:hAnsi="Verdana" w:cs="Arial"/>
              </w:rPr>
            </w:pPr>
            <w:r w:rsidRPr="006D2270">
              <w:rPr>
                <w:rFonts w:ascii="Verdana" w:hAnsi="Verdana" w:cs="Arial"/>
              </w:rPr>
              <w:t>PN-EN 1097-6</w:t>
            </w:r>
          </w:p>
        </w:tc>
        <w:tc>
          <w:tcPr>
            <w:tcW w:w="7994" w:type="dxa"/>
          </w:tcPr>
          <w:p w:rsidR="00683496" w:rsidRPr="006D2270" w:rsidRDefault="00683496" w:rsidP="00683496">
            <w:pPr>
              <w:rPr>
                <w:rFonts w:ascii="Verdana" w:hAnsi="Verdana" w:cs="Arial"/>
              </w:rPr>
            </w:pPr>
            <w:r w:rsidRPr="006D2270">
              <w:rPr>
                <w:rFonts w:ascii="Verdana" w:hAnsi="Verdana" w:cs="Arial"/>
              </w:rPr>
              <w:t>Badania mechanicznych i fizycznych właściwości kruszyw –Część 6: Oznaczanie gęstości ziaren i nasiąkliwości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17.</w:t>
            </w:r>
          </w:p>
        </w:tc>
        <w:tc>
          <w:tcPr>
            <w:tcW w:w="1469" w:type="dxa"/>
          </w:tcPr>
          <w:p w:rsidR="00683496" w:rsidRPr="006D2270" w:rsidRDefault="00683496" w:rsidP="00683496">
            <w:pPr>
              <w:rPr>
                <w:rFonts w:ascii="Verdana" w:hAnsi="Verdana" w:cs="Arial"/>
              </w:rPr>
            </w:pPr>
            <w:r w:rsidRPr="006D2270">
              <w:rPr>
                <w:rFonts w:ascii="Verdana" w:hAnsi="Verdana" w:cs="Arial"/>
              </w:rPr>
              <w:t>PN-EN 1097-7</w:t>
            </w:r>
          </w:p>
        </w:tc>
        <w:tc>
          <w:tcPr>
            <w:tcW w:w="7994" w:type="dxa"/>
          </w:tcPr>
          <w:p w:rsidR="00683496" w:rsidRPr="006D2270" w:rsidRDefault="00683496" w:rsidP="00683496">
            <w:pPr>
              <w:rPr>
                <w:rFonts w:ascii="Verdana" w:hAnsi="Verdana" w:cs="Arial"/>
              </w:rPr>
            </w:pPr>
            <w:r w:rsidRPr="006D2270">
              <w:rPr>
                <w:rFonts w:ascii="Verdana" w:hAnsi="Verdana" w:cs="Arial"/>
              </w:rPr>
              <w:t>Badania mechanicznych i fizycznych właściwości kruszyw – Część 7: Oznaczanie gęstości wypełniacza – Metoda piknometryczna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18.</w:t>
            </w:r>
          </w:p>
        </w:tc>
        <w:tc>
          <w:tcPr>
            <w:tcW w:w="1469" w:type="dxa"/>
          </w:tcPr>
          <w:p w:rsidR="00683496" w:rsidRPr="006D2270" w:rsidRDefault="00683496" w:rsidP="00683496">
            <w:pPr>
              <w:rPr>
                <w:rFonts w:ascii="Verdana" w:hAnsi="Verdana" w:cs="Arial"/>
              </w:rPr>
            </w:pPr>
            <w:r w:rsidRPr="006D2270">
              <w:rPr>
                <w:rFonts w:ascii="Verdana" w:hAnsi="Verdana" w:cs="Arial"/>
              </w:rPr>
              <w:t>PN-EN 1097-8</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Badania mechanicznych i fizycznych właściwości kruszyw – Część 8: Oznaczanie </w:t>
            </w:r>
            <w:proofErr w:type="spellStart"/>
            <w:r w:rsidRPr="006D2270">
              <w:rPr>
                <w:rFonts w:ascii="Verdana" w:hAnsi="Verdana" w:cs="Arial"/>
              </w:rPr>
              <w:t>polerowalności</w:t>
            </w:r>
            <w:proofErr w:type="spellEnd"/>
            <w:r w:rsidRPr="006D2270">
              <w:rPr>
                <w:rFonts w:ascii="Verdana" w:hAnsi="Verdana" w:cs="Arial"/>
              </w:rPr>
              <w:t xml:space="preserve"> kamienia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19.</w:t>
            </w:r>
          </w:p>
        </w:tc>
        <w:tc>
          <w:tcPr>
            <w:tcW w:w="1469" w:type="dxa"/>
          </w:tcPr>
          <w:p w:rsidR="00683496" w:rsidRPr="006D2270" w:rsidRDefault="00683496" w:rsidP="00683496">
            <w:pPr>
              <w:rPr>
                <w:rFonts w:ascii="Verdana" w:hAnsi="Verdana" w:cs="Arial"/>
              </w:rPr>
            </w:pPr>
            <w:r w:rsidRPr="006D2270">
              <w:rPr>
                <w:rFonts w:ascii="Verdana" w:hAnsi="Verdana" w:cs="Arial"/>
              </w:rPr>
              <w:t>PN-EN 1367-1</w:t>
            </w:r>
          </w:p>
        </w:tc>
        <w:tc>
          <w:tcPr>
            <w:tcW w:w="7994" w:type="dxa"/>
          </w:tcPr>
          <w:p w:rsidR="00683496" w:rsidRPr="006D2270" w:rsidRDefault="00683496" w:rsidP="00683496">
            <w:pPr>
              <w:rPr>
                <w:rFonts w:ascii="Verdana" w:hAnsi="Verdana" w:cs="Arial"/>
              </w:rPr>
            </w:pPr>
            <w:r w:rsidRPr="006D2270">
              <w:rPr>
                <w:rFonts w:ascii="Verdana" w:hAnsi="Verdana" w:cs="Arial"/>
              </w:rPr>
              <w:t>Badania właściwości cieplnych i odporności kruszyw na działanie czynników atmosferycznych</w:t>
            </w:r>
          </w:p>
          <w:p w:rsidR="00683496" w:rsidRPr="006D2270" w:rsidRDefault="00683496" w:rsidP="00683496">
            <w:pPr>
              <w:rPr>
                <w:rFonts w:ascii="Verdana" w:hAnsi="Verdana" w:cs="Arial"/>
              </w:rPr>
            </w:pPr>
            <w:r w:rsidRPr="006D2270">
              <w:rPr>
                <w:rFonts w:ascii="Verdana" w:hAnsi="Verdana" w:cs="Arial"/>
              </w:rPr>
              <w:t xml:space="preserve"> – Część 1: Oznaczanie mrozoodporności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20.</w:t>
            </w:r>
          </w:p>
        </w:tc>
        <w:tc>
          <w:tcPr>
            <w:tcW w:w="1469" w:type="dxa"/>
          </w:tcPr>
          <w:p w:rsidR="00683496" w:rsidRPr="006D2270" w:rsidRDefault="00683496" w:rsidP="00683496">
            <w:pPr>
              <w:rPr>
                <w:rFonts w:ascii="Verdana" w:hAnsi="Verdana" w:cs="Arial"/>
              </w:rPr>
            </w:pPr>
            <w:r w:rsidRPr="006D2270">
              <w:rPr>
                <w:rFonts w:ascii="Verdana" w:hAnsi="Verdana" w:cs="Arial"/>
              </w:rPr>
              <w:t>PN-EN 1367-3</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Badania właściwości cieplnych i odporności kruszyw na działanie czynników atmosferycznych </w:t>
            </w:r>
          </w:p>
          <w:p w:rsidR="00683496" w:rsidRPr="006D2270" w:rsidRDefault="00683496" w:rsidP="00683496">
            <w:pPr>
              <w:rPr>
                <w:rFonts w:ascii="Verdana" w:hAnsi="Verdana" w:cs="Arial"/>
              </w:rPr>
            </w:pPr>
            <w:r w:rsidRPr="006D2270">
              <w:rPr>
                <w:rFonts w:ascii="Verdana" w:hAnsi="Verdana" w:cs="Arial"/>
              </w:rPr>
              <w:t>– Część 3: Badanie bazaltowej zgorzeli słonecznej metodą gotowania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21.</w:t>
            </w:r>
          </w:p>
        </w:tc>
        <w:tc>
          <w:tcPr>
            <w:tcW w:w="1469" w:type="dxa"/>
          </w:tcPr>
          <w:p w:rsidR="00683496" w:rsidRPr="006D2270" w:rsidRDefault="00683496" w:rsidP="00683496">
            <w:pPr>
              <w:rPr>
                <w:rFonts w:ascii="Verdana" w:hAnsi="Verdana" w:cs="Arial"/>
              </w:rPr>
            </w:pPr>
            <w:r w:rsidRPr="006D2270">
              <w:rPr>
                <w:rFonts w:ascii="Verdana" w:hAnsi="Verdana" w:cs="Arial"/>
              </w:rPr>
              <w:t>PN-EN 1426</w:t>
            </w:r>
          </w:p>
        </w:tc>
        <w:tc>
          <w:tcPr>
            <w:tcW w:w="7994" w:type="dxa"/>
          </w:tcPr>
          <w:p w:rsidR="00683496" w:rsidRPr="006D2270" w:rsidRDefault="00683496" w:rsidP="00683496">
            <w:pPr>
              <w:rPr>
                <w:rFonts w:ascii="Verdana" w:hAnsi="Verdana" w:cs="Arial"/>
              </w:rPr>
            </w:pPr>
            <w:r w:rsidRPr="006D2270">
              <w:rPr>
                <w:rFonts w:ascii="Verdana" w:hAnsi="Verdana" w:cs="Arial"/>
              </w:rPr>
              <w:t>Asfalty i produkty asfaltowe – Oznaczanie penetracji igłą</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 xml:space="preserve">22. </w:t>
            </w:r>
          </w:p>
        </w:tc>
        <w:tc>
          <w:tcPr>
            <w:tcW w:w="1469" w:type="dxa"/>
          </w:tcPr>
          <w:p w:rsidR="00683496" w:rsidRPr="006D2270" w:rsidRDefault="00683496" w:rsidP="00683496">
            <w:pPr>
              <w:rPr>
                <w:rFonts w:ascii="Verdana" w:hAnsi="Verdana" w:cs="Arial"/>
              </w:rPr>
            </w:pPr>
            <w:r w:rsidRPr="006D2270">
              <w:rPr>
                <w:rFonts w:ascii="Verdana" w:hAnsi="Verdana" w:cs="Arial"/>
              </w:rPr>
              <w:t>PN-EN 1427</w:t>
            </w:r>
          </w:p>
        </w:tc>
        <w:tc>
          <w:tcPr>
            <w:tcW w:w="7994" w:type="dxa"/>
          </w:tcPr>
          <w:p w:rsidR="00683496" w:rsidRPr="006D2270" w:rsidRDefault="00683496" w:rsidP="00683496">
            <w:pPr>
              <w:rPr>
                <w:rFonts w:ascii="Verdana" w:hAnsi="Verdana" w:cs="Arial"/>
              </w:rPr>
            </w:pPr>
            <w:r w:rsidRPr="006D2270">
              <w:rPr>
                <w:rFonts w:ascii="Verdana" w:hAnsi="Verdana" w:cs="Arial"/>
              </w:rPr>
              <w:t>Asfalty i produkty asfaltowe – Oznaczanie temperatury mięknienia – Metoda Pierścień i Kula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 xml:space="preserve">23. </w:t>
            </w:r>
          </w:p>
        </w:tc>
        <w:tc>
          <w:tcPr>
            <w:tcW w:w="1469" w:type="dxa"/>
          </w:tcPr>
          <w:p w:rsidR="00683496" w:rsidRPr="006D2270" w:rsidRDefault="00683496" w:rsidP="00683496">
            <w:pPr>
              <w:rPr>
                <w:rFonts w:ascii="Verdana" w:hAnsi="Verdana" w:cs="Arial"/>
              </w:rPr>
            </w:pPr>
            <w:r w:rsidRPr="006D2270">
              <w:rPr>
                <w:rFonts w:ascii="Verdana" w:hAnsi="Verdana" w:cs="Arial"/>
              </w:rPr>
              <w:t>PN-EN 1428</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zawartości wody w emulsjach asfaltowych – Metoda destylacji azeotropowej</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24.</w:t>
            </w:r>
          </w:p>
        </w:tc>
        <w:tc>
          <w:tcPr>
            <w:tcW w:w="1469" w:type="dxa"/>
          </w:tcPr>
          <w:p w:rsidR="00683496" w:rsidRPr="006D2270" w:rsidRDefault="00683496" w:rsidP="00683496">
            <w:pPr>
              <w:rPr>
                <w:rFonts w:ascii="Verdana" w:hAnsi="Verdana" w:cs="Arial"/>
              </w:rPr>
            </w:pPr>
            <w:r w:rsidRPr="006D2270">
              <w:rPr>
                <w:rFonts w:ascii="Verdana" w:hAnsi="Verdana" w:cs="Arial"/>
              </w:rPr>
              <w:t>PN-EN 1429</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pozostałości na sicie emulsji asfaltowych oraz trwałości podczas magazynowania metodą pozostałości na sicie</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25.</w:t>
            </w:r>
          </w:p>
        </w:tc>
        <w:tc>
          <w:tcPr>
            <w:tcW w:w="1469" w:type="dxa"/>
          </w:tcPr>
          <w:p w:rsidR="00683496" w:rsidRPr="006D2270" w:rsidRDefault="00683496" w:rsidP="00683496">
            <w:pPr>
              <w:rPr>
                <w:rFonts w:ascii="Verdana" w:hAnsi="Verdana" w:cs="Arial"/>
              </w:rPr>
            </w:pPr>
            <w:r w:rsidRPr="006D2270">
              <w:rPr>
                <w:rFonts w:ascii="Verdana" w:hAnsi="Verdana" w:cs="Arial"/>
              </w:rPr>
              <w:t>PN-EN 1744-1</w:t>
            </w:r>
          </w:p>
        </w:tc>
        <w:tc>
          <w:tcPr>
            <w:tcW w:w="7994" w:type="dxa"/>
          </w:tcPr>
          <w:p w:rsidR="00683496" w:rsidRPr="006D2270" w:rsidRDefault="00683496" w:rsidP="00683496">
            <w:pPr>
              <w:rPr>
                <w:rFonts w:ascii="Verdana" w:hAnsi="Verdana" w:cs="Arial"/>
              </w:rPr>
            </w:pPr>
            <w:r w:rsidRPr="006D2270">
              <w:rPr>
                <w:rFonts w:ascii="Verdana" w:hAnsi="Verdana" w:cs="Arial"/>
              </w:rPr>
              <w:t>Badania chemicznych właściwości kruszyw – Analiza chemiczna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26.</w:t>
            </w:r>
          </w:p>
        </w:tc>
        <w:tc>
          <w:tcPr>
            <w:tcW w:w="1469" w:type="dxa"/>
          </w:tcPr>
          <w:p w:rsidR="00683496" w:rsidRPr="006D2270" w:rsidRDefault="00683496" w:rsidP="00683496">
            <w:pPr>
              <w:rPr>
                <w:rFonts w:ascii="Verdana" w:hAnsi="Verdana" w:cs="Arial"/>
              </w:rPr>
            </w:pPr>
            <w:r w:rsidRPr="006D2270">
              <w:rPr>
                <w:rFonts w:ascii="Verdana" w:hAnsi="Verdana" w:cs="Arial"/>
              </w:rPr>
              <w:t>PN-EN 1744-4</w:t>
            </w:r>
          </w:p>
        </w:tc>
        <w:tc>
          <w:tcPr>
            <w:tcW w:w="7994" w:type="dxa"/>
          </w:tcPr>
          <w:p w:rsidR="00683496" w:rsidRPr="006D2270" w:rsidRDefault="00683496" w:rsidP="00683496">
            <w:pPr>
              <w:rPr>
                <w:rFonts w:ascii="Verdana" w:hAnsi="Verdana" w:cs="Arial"/>
              </w:rPr>
            </w:pPr>
            <w:r w:rsidRPr="006D2270">
              <w:rPr>
                <w:rFonts w:ascii="Verdana" w:hAnsi="Verdana" w:cs="Arial"/>
              </w:rPr>
              <w:t>Badania chemicznych właściwości kruszyw – Część 4: Oznaczanie podatności wypełniaczy do mieszanek mineralno-asfaltowych na działanie wody</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27.</w:t>
            </w:r>
          </w:p>
        </w:tc>
        <w:tc>
          <w:tcPr>
            <w:tcW w:w="1469" w:type="dxa"/>
          </w:tcPr>
          <w:p w:rsidR="00683496" w:rsidRPr="006D2270" w:rsidRDefault="00683496" w:rsidP="00683496">
            <w:pPr>
              <w:rPr>
                <w:rFonts w:ascii="Verdana" w:hAnsi="Verdana" w:cs="Arial"/>
              </w:rPr>
            </w:pPr>
            <w:r w:rsidRPr="006D2270">
              <w:rPr>
                <w:rFonts w:ascii="Verdana" w:hAnsi="Verdana" w:cs="Arial"/>
              </w:rPr>
              <w:t>PN-EN 12591</w:t>
            </w:r>
          </w:p>
        </w:tc>
        <w:tc>
          <w:tcPr>
            <w:tcW w:w="7994" w:type="dxa"/>
          </w:tcPr>
          <w:p w:rsidR="00683496" w:rsidRPr="006D2270" w:rsidRDefault="00683496" w:rsidP="00683496">
            <w:pPr>
              <w:rPr>
                <w:rFonts w:ascii="Verdana" w:hAnsi="Verdana" w:cs="Arial"/>
              </w:rPr>
            </w:pPr>
            <w:r w:rsidRPr="006D2270">
              <w:rPr>
                <w:rFonts w:ascii="Verdana" w:hAnsi="Verdana" w:cs="Arial"/>
              </w:rPr>
              <w:t>Asfalty i produkty asfaltowe – Wymagania dla asfaltów drogowych</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28.</w:t>
            </w:r>
          </w:p>
        </w:tc>
        <w:tc>
          <w:tcPr>
            <w:tcW w:w="1469" w:type="dxa"/>
          </w:tcPr>
          <w:p w:rsidR="00683496" w:rsidRPr="006D2270" w:rsidRDefault="00683496" w:rsidP="00683496">
            <w:pPr>
              <w:rPr>
                <w:rFonts w:ascii="Verdana" w:hAnsi="Verdana" w:cs="Arial"/>
              </w:rPr>
            </w:pPr>
            <w:r w:rsidRPr="006D2270">
              <w:rPr>
                <w:rFonts w:ascii="Verdana" w:hAnsi="Verdana" w:cs="Arial"/>
              </w:rPr>
              <w:t>PN-EN 12592</w:t>
            </w:r>
          </w:p>
        </w:tc>
        <w:tc>
          <w:tcPr>
            <w:tcW w:w="7994" w:type="dxa"/>
          </w:tcPr>
          <w:p w:rsidR="00683496" w:rsidRPr="006D2270" w:rsidRDefault="00683496" w:rsidP="00683496">
            <w:pPr>
              <w:rPr>
                <w:rFonts w:ascii="Verdana" w:hAnsi="Verdana" w:cs="Arial"/>
              </w:rPr>
            </w:pPr>
            <w:r w:rsidRPr="006D2270">
              <w:rPr>
                <w:rFonts w:ascii="Verdana" w:hAnsi="Verdana" w:cs="Arial"/>
              </w:rPr>
              <w:t>Asfalty i produkty asfaltowe – Oznaczanie rozpuszczalności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29.</w:t>
            </w:r>
          </w:p>
        </w:tc>
        <w:tc>
          <w:tcPr>
            <w:tcW w:w="1469" w:type="dxa"/>
          </w:tcPr>
          <w:p w:rsidR="00683496" w:rsidRPr="006D2270" w:rsidRDefault="00683496" w:rsidP="00683496">
            <w:pPr>
              <w:rPr>
                <w:rFonts w:ascii="Verdana" w:hAnsi="Verdana" w:cs="Arial"/>
              </w:rPr>
            </w:pPr>
            <w:r w:rsidRPr="006D2270">
              <w:rPr>
                <w:rFonts w:ascii="Verdana" w:hAnsi="Verdana" w:cs="Arial"/>
              </w:rPr>
              <w:t>PN-EN 12593</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Asfalty i produkty asfaltowe – Oznaczanie temperatury łamliwości </w:t>
            </w:r>
            <w:proofErr w:type="spellStart"/>
            <w:r w:rsidRPr="006D2270">
              <w:rPr>
                <w:rFonts w:ascii="Verdana" w:hAnsi="Verdana" w:cs="Arial"/>
              </w:rPr>
              <w:t>Fraassa</w:t>
            </w:r>
            <w:proofErr w:type="spellEnd"/>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30.</w:t>
            </w:r>
          </w:p>
        </w:tc>
        <w:tc>
          <w:tcPr>
            <w:tcW w:w="1469" w:type="dxa"/>
          </w:tcPr>
          <w:p w:rsidR="00683496" w:rsidRPr="006D2270" w:rsidRDefault="00683496" w:rsidP="00683496">
            <w:pPr>
              <w:rPr>
                <w:rFonts w:ascii="Verdana" w:hAnsi="Verdana" w:cs="Arial"/>
              </w:rPr>
            </w:pPr>
            <w:r w:rsidRPr="006D2270">
              <w:rPr>
                <w:rFonts w:ascii="Verdana" w:hAnsi="Verdana" w:cs="Arial"/>
              </w:rPr>
              <w:t>PN-EN 12606-1</w:t>
            </w:r>
          </w:p>
        </w:tc>
        <w:tc>
          <w:tcPr>
            <w:tcW w:w="7994" w:type="dxa"/>
          </w:tcPr>
          <w:p w:rsidR="00683496" w:rsidRPr="006D2270" w:rsidRDefault="00683496" w:rsidP="00683496">
            <w:pPr>
              <w:rPr>
                <w:rFonts w:ascii="Verdana" w:hAnsi="Verdana" w:cs="Arial"/>
              </w:rPr>
            </w:pPr>
            <w:r w:rsidRPr="006D2270">
              <w:rPr>
                <w:rFonts w:ascii="Verdana" w:hAnsi="Verdana" w:cs="Arial"/>
              </w:rPr>
              <w:t>Asfalty i produkty asfaltowe – Oznaczanie zawartości parafiny – Część 1: Metoda destylacyjna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31.</w:t>
            </w:r>
          </w:p>
        </w:tc>
        <w:tc>
          <w:tcPr>
            <w:tcW w:w="1469" w:type="dxa"/>
          </w:tcPr>
          <w:p w:rsidR="00683496" w:rsidRPr="006D2270" w:rsidRDefault="00683496" w:rsidP="00683496">
            <w:pPr>
              <w:rPr>
                <w:rFonts w:ascii="Verdana" w:hAnsi="Verdana" w:cs="Arial"/>
              </w:rPr>
            </w:pPr>
            <w:r w:rsidRPr="006D2270">
              <w:rPr>
                <w:rFonts w:ascii="Verdana" w:hAnsi="Verdana" w:cs="Arial"/>
              </w:rPr>
              <w:t>PN-EN 12607-1</w:t>
            </w:r>
          </w:p>
          <w:p w:rsidR="00683496" w:rsidRPr="006D2270" w:rsidRDefault="00683496" w:rsidP="00683496">
            <w:pPr>
              <w:rPr>
                <w:rFonts w:ascii="Verdana" w:hAnsi="Verdana" w:cs="Arial"/>
              </w:rPr>
            </w:pPr>
            <w:r w:rsidRPr="006D2270">
              <w:rPr>
                <w:rFonts w:ascii="Verdana" w:hAnsi="Verdana" w:cs="Arial"/>
              </w:rPr>
              <w:t>i</w:t>
            </w:r>
          </w:p>
          <w:p w:rsidR="00683496" w:rsidRPr="006D2270" w:rsidRDefault="00683496" w:rsidP="00683496">
            <w:pPr>
              <w:rPr>
                <w:rFonts w:ascii="Verdana" w:hAnsi="Verdana" w:cs="Arial"/>
              </w:rPr>
            </w:pPr>
            <w:r w:rsidRPr="006D2270">
              <w:rPr>
                <w:rFonts w:ascii="Verdana" w:hAnsi="Verdana" w:cs="Arial"/>
              </w:rPr>
              <w:t>PN-EN 12607-3</w:t>
            </w:r>
          </w:p>
        </w:tc>
        <w:tc>
          <w:tcPr>
            <w:tcW w:w="7994" w:type="dxa"/>
          </w:tcPr>
          <w:p w:rsidR="00683496" w:rsidRPr="006D2270" w:rsidRDefault="00683496" w:rsidP="00683496">
            <w:pPr>
              <w:rPr>
                <w:rFonts w:ascii="Verdana" w:hAnsi="Verdana" w:cs="Arial"/>
              </w:rPr>
            </w:pPr>
            <w:r w:rsidRPr="006D2270">
              <w:rPr>
                <w:rFonts w:ascii="Verdana" w:hAnsi="Verdana" w:cs="Arial"/>
              </w:rPr>
              <w:t>Asfalty i produkty asfaltowe – Oznaczanie odporności na twardnienie pod wpływem ciepła i powietrza</w:t>
            </w:r>
          </w:p>
          <w:p w:rsidR="00683496" w:rsidRPr="006D2270" w:rsidRDefault="00683496" w:rsidP="00683496">
            <w:pPr>
              <w:rPr>
                <w:rFonts w:ascii="Verdana" w:hAnsi="Verdana" w:cs="Arial"/>
              </w:rPr>
            </w:pPr>
            <w:r w:rsidRPr="006D2270">
              <w:rPr>
                <w:rFonts w:ascii="Verdana" w:hAnsi="Verdana" w:cs="Arial"/>
              </w:rPr>
              <w:t xml:space="preserve"> – Część 1: Metoda RTFOT</w:t>
            </w:r>
          </w:p>
          <w:p w:rsidR="00683496" w:rsidRPr="006D2270" w:rsidRDefault="00683496" w:rsidP="00683496">
            <w:pPr>
              <w:rPr>
                <w:rFonts w:ascii="Verdana" w:hAnsi="Verdana" w:cs="Arial"/>
              </w:rPr>
            </w:pPr>
            <w:r w:rsidRPr="006D2270">
              <w:rPr>
                <w:rFonts w:ascii="Verdana" w:hAnsi="Verdana" w:cs="Arial"/>
              </w:rPr>
              <w:t>Jw. Część 3: Metoda RFT</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32.</w:t>
            </w:r>
          </w:p>
        </w:tc>
        <w:tc>
          <w:tcPr>
            <w:tcW w:w="1469" w:type="dxa"/>
          </w:tcPr>
          <w:p w:rsidR="00683496" w:rsidRPr="006D2270" w:rsidRDefault="00683496" w:rsidP="00683496">
            <w:pPr>
              <w:rPr>
                <w:rFonts w:ascii="Verdana" w:hAnsi="Verdana" w:cs="Arial"/>
              </w:rPr>
            </w:pPr>
            <w:r w:rsidRPr="006D2270">
              <w:rPr>
                <w:rFonts w:ascii="Verdana" w:hAnsi="Verdana" w:cs="Arial"/>
              </w:rPr>
              <w:t>PN-EN 12697-6</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lastRenderedPageBreak/>
              <w:t>– Część 6: Oznaczanie gęstości objętościowej metodą hydrostatyczną</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lastRenderedPageBreak/>
              <w:t>33.</w:t>
            </w:r>
          </w:p>
        </w:tc>
        <w:tc>
          <w:tcPr>
            <w:tcW w:w="1469" w:type="dxa"/>
          </w:tcPr>
          <w:p w:rsidR="00683496" w:rsidRPr="006D2270" w:rsidRDefault="00683496" w:rsidP="00683496">
            <w:pPr>
              <w:rPr>
                <w:rFonts w:ascii="Verdana" w:hAnsi="Verdana" w:cs="Arial"/>
              </w:rPr>
            </w:pPr>
            <w:r w:rsidRPr="006D2270">
              <w:rPr>
                <w:rFonts w:ascii="Verdana" w:hAnsi="Verdana" w:cs="Arial"/>
              </w:rPr>
              <w:t>PN-EN 12697-8</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t>– Część 8: Oznaczanie zawartości wolnej przestrzeni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34.</w:t>
            </w:r>
          </w:p>
        </w:tc>
        <w:tc>
          <w:tcPr>
            <w:tcW w:w="1469" w:type="dxa"/>
          </w:tcPr>
          <w:p w:rsidR="00683496" w:rsidRPr="006D2270" w:rsidRDefault="00683496" w:rsidP="00683496">
            <w:pPr>
              <w:rPr>
                <w:rFonts w:ascii="Verdana" w:hAnsi="Verdana" w:cs="Arial"/>
              </w:rPr>
            </w:pPr>
            <w:r w:rsidRPr="006D2270">
              <w:rPr>
                <w:rFonts w:ascii="Verdana" w:hAnsi="Verdana" w:cs="Arial"/>
              </w:rPr>
              <w:t>PN-EN 12697-11</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t>– Część 11: Określenie powiązania pomiędzy kruszywem i asfaltem</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35.</w:t>
            </w:r>
          </w:p>
        </w:tc>
        <w:tc>
          <w:tcPr>
            <w:tcW w:w="1469" w:type="dxa"/>
          </w:tcPr>
          <w:p w:rsidR="00683496" w:rsidRPr="006D2270" w:rsidRDefault="00683496" w:rsidP="00683496">
            <w:pPr>
              <w:rPr>
                <w:rFonts w:ascii="Verdana" w:hAnsi="Verdana" w:cs="Arial"/>
              </w:rPr>
            </w:pPr>
            <w:r w:rsidRPr="006D2270">
              <w:rPr>
                <w:rFonts w:ascii="Verdana" w:hAnsi="Verdana" w:cs="Arial"/>
              </w:rPr>
              <w:t>PN-EN 12697-12</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t>– Część 12: Określanie wrażliwości na wodę</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36.</w:t>
            </w:r>
          </w:p>
        </w:tc>
        <w:tc>
          <w:tcPr>
            <w:tcW w:w="1469" w:type="dxa"/>
          </w:tcPr>
          <w:p w:rsidR="00683496" w:rsidRPr="006D2270" w:rsidRDefault="00683496" w:rsidP="00683496">
            <w:pPr>
              <w:rPr>
                <w:rFonts w:ascii="Verdana" w:hAnsi="Verdana" w:cs="Arial"/>
              </w:rPr>
            </w:pPr>
            <w:r w:rsidRPr="006D2270">
              <w:rPr>
                <w:rFonts w:ascii="Verdana" w:hAnsi="Verdana" w:cs="Arial"/>
              </w:rPr>
              <w:t>PN-EN 12697-13</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t>– Część 13: Pomiar temperatury</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37.</w:t>
            </w:r>
          </w:p>
        </w:tc>
        <w:tc>
          <w:tcPr>
            <w:tcW w:w="1469" w:type="dxa"/>
          </w:tcPr>
          <w:p w:rsidR="00683496" w:rsidRPr="006D2270" w:rsidRDefault="00683496" w:rsidP="00683496">
            <w:pPr>
              <w:rPr>
                <w:rFonts w:ascii="Verdana" w:hAnsi="Verdana" w:cs="Arial"/>
              </w:rPr>
            </w:pPr>
            <w:r w:rsidRPr="006D2270">
              <w:rPr>
                <w:rFonts w:ascii="Verdana" w:hAnsi="Verdana" w:cs="Arial"/>
              </w:rPr>
              <w:t>PN-EN 12697-18</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t>– Część 18: Spływanie lepiszcza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38.</w:t>
            </w:r>
          </w:p>
        </w:tc>
        <w:tc>
          <w:tcPr>
            <w:tcW w:w="1469" w:type="dxa"/>
          </w:tcPr>
          <w:p w:rsidR="00683496" w:rsidRPr="006D2270" w:rsidRDefault="00683496" w:rsidP="00683496">
            <w:pPr>
              <w:rPr>
                <w:rFonts w:ascii="Verdana" w:hAnsi="Verdana" w:cs="Arial"/>
              </w:rPr>
            </w:pPr>
            <w:r w:rsidRPr="006D2270">
              <w:rPr>
                <w:rFonts w:ascii="Verdana" w:hAnsi="Verdana" w:cs="Arial"/>
              </w:rPr>
              <w:t>PN-EN 12697-22</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t>– Część 22: Koleinowanie</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39.</w:t>
            </w:r>
          </w:p>
        </w:tc>
        <w:tc>
          <w:tcPr>
            <w:tcW w:w="1469" w:type="dxa"/>
          </w:tcPr>
          <w:p w:rsidR="00683496" w:rsidRPr="006D2270" w:rsidRDefault="00683496" w:rsidP="00683496">
            <w:pPr>
              <w:rPr>
                <w:rFonts w:ascii="Verdana" w:hAnsi="Verdana" w:cs="Arial"/>
              </w:rPr>
            </w:pPr>
            <w:r w:rsidRPr="006D2270">
              <w:rPr>
                <w:rFonts w:ascii="Verdana" w:hAnsi="Verdana" w:cs="Arial"/>
              </w:rPr>
              <w:t>PN-EN 12697-27</w:t>
            </w:r>
          </w:p>
        </w:tc>
        <w:tc>
          <w:tcPr>
            <w:tcW w:w="7994" w:type="dxa"/>
          </w:tcPr>
          <w:p w:rsidR="00683496" w:rsidRPr="006D2270" w:rsidRDefault="00683496" w:rsidP="00683496">
            <w:pPr>
              <w:rPr>
                <w:rFonts w:ascii="Verdana" w:hAnsi="Verdana" w:cs="Arial"/>
              </w:rPr>
            </w:pPr>
            <w:r w:rsidRPr="006D2270">
              <w:rPr>
                <w:rFonts w:ascii="Verdana" w:hAnsi="Verdana" w:cs="Arial"/>
              </w:rPr>
              <w:t>Mieszanki mineralno-asfaltowe – Metody badań mieszanek mineralno-asfaltowych na gorąco</w:t>
            </w:r>
          </w:p>
          <w:p w:rsidR="00683496" w:rsidRPr="006D2270" w:rsidRDefault="00683496" w:rsidP="00683496">
            <w:pPr>
              <w:rPr>
                <w:rFonts w:ascii="Verdana" w:hAnsi="Verdana" w:cs="Arial"/>
              </w:rPr>
            </w:pPr>
            <w:r w:rsidRPr="006D2270">
              <w:rPr>
                <w:rFonts w:ascii="Verdana" w:hAnsi="Verdana" w:cs="Arial"/>
              </w:rPr>
              <w:t xml:space="preserve"> – Część 27: Pobieranie próbek</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40.</w:t>
            </w:r>
          </w:p>
        </w:tc>
        <w:tc>
          <w:tcPr>
            <w:tcW w:w="1469" w:type="dxa"/>
          </w:tcPr>
          <w:p w:rsidR="00683496" w:rsidRPr="006D2270" w:rsidRDefault="00683496" w:rsidP="00683496">
            <w:pPr>
              <w:rPr>
                <w:rFonts w:ascii="Verdana" w:hAnsi="Verdana" w:cs="Arial"/>
              </w:rPr>
            </w:pPr>
            <w:r w:rsidRPr="006D2270">
              <w:rPr>
                <w:rFonts w:ascii="Verdana" w:hAnsi="Verdana" w:cs="Arial"/>
              </w:rPr>
              <w:t>PN-EN 12697-36</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Mieszanki mineralno-asfaltowe – Metody badań mieszanek mineralno-asfaltowych na gorąco </w:t>
            </w:r>
          </w:p>
          <w:p w:rsidR="00683496" w:rsidRPr="006D2270" w:rsidRDefault="00683496" w:rsidP="00683496">
            <w:pPr>
              <w:rPr>
                <w:rFonts w:ascii="Verdana" w:hAnsi="Verdana" w:cs="Arial"/>
              </w:rPr>
            </w:pPr>
            <w:r w:rsidRPr="006D2270">
              <w:rPr>
                <w:rFonts w:ascii="Verdana" w:hAnsi="Verdana" w:cs="Arial"/>
              </w:rPr>
              <w:t>– Część 36: Oznaczanie grubości nawierzchni asfaltowych</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41.</w:t>
            </w:r>
          </w:p>
        </w:tc>
        <w:tc>
          <w:tcPr>
            <w:tcW w:w="1469" w:type="dxa"/>
          </w:tcPr>
          <w:p w:rsidR="00683496" w:rsidRPr="006D2270" w:rsidRDefault="00683496" w:rsidP="00683496">
            <w:pPr>
              <w:rPr>
                <w:rFonts w:ascii="Verdana" w:hAnsi="Verdana" w:cs="Arial"/>
              </w:rPr>
            </w:pPr>
            <w:r w:rsidRPr="006D2270">
              <w:rPr>
                <w:rFonts w:ascii="Verdana" w:hAnsi="Verdana" w:cs="Arial"/>
              </w:rPr>
              <w:t>PN-EN 12846</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czasu wypływu emulsji asfaltowych lepkościomierzem wypływowym</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42.</w:t>
            </w:r>
          </w:p>
        </w:tc>
        <w:tc>
          <w:tcPr>
            <w:tcW w:w="1469" w:type="dxa"/>
          </w:tcPr>
          <w:p w:rsidR="00683496" w:rsidRPr="006D2270" w:rsidRDefault="00683496" w:rsidP="00683496">
            <w:pPr>
              <w:rPr>
                <w:rFonts w:ascii="Verdana" w:hAnsi="Verdana" w:cs="Arial"/>
              </w:rPr>
            </w:pPr>
            <w:r w:rsidRPr="006D2270">
              <w:rPr>
                <w:rFonts w:ascii="Verdana" w:hAnsi="Verdana" w:cs="Arial"/>
              </w:rPr>
              <w:t>PN-EN 12847</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sedymentacji emulsji asfaltowych</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43.</w:t>
            </w:r>
          </w:p>
        </w:tc>
        <w:tc>
          <w:tcPr>
            <w:tcW w:w="1469" w:type="dxa"/>
          </w:tcPr>
          <w:p w:rsidR="00683496" w:rsidRPr="006D2270" w:rsidRDefault="00683496" w:rsidP="00683496">
            <w:pPr>
              <w:rPr>
                <w:rFonts w:ascii="Verdana" w:hAnsi="Verdana" w:cs="Arial"/>
              </w:rPr>
            </w:pPr>
            <w:r w:rsidRPr="006D2270">
              <w:rPr>
                <w:rFonts w:ascii="Verdana" w:hAnsi="Verdana" w:cs="Arial"/>
              </w:rPr>
              <w:t>PN-EN 12850</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Asfalty i lepiszcza asfaltowe – Oznaczanie wartości </w:t>
            </w:r>
            <w:proofErr w:type="spellStart"/>
            <w:r w:rsidRPr="006D2270">
              <w:rPr>
                <w:rFonts w:ascii="Verdana" w:hAnsi="Verdana" w:cs="Arial"/>
              </w:rPr>
              <w:t>pH</w:t>
            </w:r>
            <w:proofErr w:type="spellEnd"/>
            <w:r w:rsidRPr="006D2270">
              <w:rPr>
                <w:rFonts w:ascii="Verdana" w:hAnsi="Verdana" w:cs="Arial"/>
              </w:rPr>
              <w:t xml:space="preserve"> emulsji asfaltowych</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44.</w:t>
            </w:r>
          </w:p>
        </w:tc>
        <w:tc>
          <w:tcPr>
            <w:tcW w:w="1469" w:type="dxa"/>
          </w:tcPr>
          <w:p w:rsidR="00683496" w:rsidRPr="006D2270" w:rsidRDefault="00683496" w:rsidP="00683496">
            <w:pPr>
              <w:rPr>
                <w:rFonts w:ascii="Verdana" w:hAnsi="Verdana" w:cs="Arial"/>
              </w:rPr>
            </w:pPr>
            <w:r w:rsidRPr="006D2270">
              <w:rPr>
                <w:rFonts w:ascii="Verdana" w:hAnsi="Verdana" w:cs="Arial"/>
              </w:rPr>
              <w:t>PN-EN 13043</w:t>
            </w:r>
          </w:p>
        </w:tc>
        <w:tc>
          <w:tcPr>
            <w:tcW w:w="7994" w:type="dxa"/>
          </w:tcPr>
          <w:p w:rsidR="00683496" w:rsidRPr="006D2270" w:rsidRDefault="00683496" w:rsidP="00683496">
            <w:pPr>
              <w:rPr>
                <w:rFonts w:ascii="Verdana" w:hAnsi="Verdana" w:cs="Arial"/>
              </w:rPr>
            </w:pPr>
            <w:r w:rsidRPr="006D2270">
              <w:rPr>
                <w:rFonts w:ascii="Verdana" w:hAnsi="Verdana" w:cs="Arial"/>
              </w:rPr>
              <w:t>Kruszywa do mieszanek bitumicznych i powierzchniowych utrwaleń stosowanych na drogach, lotniskach i innych powierzchniach przeznaczonych do ruchu</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45.</w:t>
            </w:r>
          </w:p>
        </w:tc>
        <w:tc>
          <w:tcPr>
            <w:tcW w:w="1469" w:type="dxa"/>
          </w:tcPr>
          <w:p w:rsidR="00683496" w:rsidRPr="006D2270" w:rsidRDefault="00683496" w:rsidP="00683496">
            <w:pPr>
              <w:rPr>
                <w:rFonts w:ascii="Verdana" w:hAnsi="Verdana" w:cs="Arial"/>
              </w:rPr>
            </w:pPr>
            <w:r w:rsidRPr="006D2270">
              <w:rPr>
                <w:rFonts w:ascii="Verdana" w:hAnsi="Verdana" w:cs="Arial"/>
              </w:rPr>
              <w:t>PN-EN 13074</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lepiszczy z emulsji asfaltowych przez odparowanie</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46.</w:t>
            </w:r>
          </w:p>
        </w:tc>
        <w:tc>
          <w:tcPr>
            <w:tcW w:w="1469" w:type="dxa"/>
          </w:tcPr>
          <w:p w:rsidR="00683496" w:rsidRPr="006D2270" w:rsidRDefault="00683496" w:rsidP="00683496">
            <w:pPr>
              <w:rPr>
                <w:rFonts w:ascii="Verdana" w:hAnsi="Verdana" w:cs="Arial"/>
              </w:rPr>
            </w:pPr>
            <w:r w:rsidRPr="006D2270">
              <w:rPr>
                <w:rFonts w:ascii="Verdana" w:hAnsi="Verdana" w:cs="Arial"/>
              </w:rPr>
              <w:t>PN-EN 13075-1</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Badanie rozpadu – Część 1: Oznaczanie indeksu rozpadu kationowych emulsji asfaltowych, metoda z wypełniaczem mineralnym</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47.</w:t>
            </w:r>
          </w:p>
        </w:tc>
        <w:tc>
          <w:tcPr>
            <w:tcW w:w="1469" w:type="dxa"/>
          </w:tcPr>
          <w:p w:rsidR="00683496" w:rsidRPr="006D2270" w:rsidRDefault="00683496" w:rsidP="00683496">
            <w:pPr>
              <w:rPr>
                <w:rFonts w:ascii="Verdana" w:hAnsi="Verdana" w:cs="Arial"/>
              </w:rPr>
            </w:pPr>
            <w:r w:rsidRPr="006D2270">
              <w:rPr>
                <w:rFonts w:ascii="Verdana" w:hAnsi="Verdana" w:cs="Arial"/>
              </w:rPr>
              <w:t>PN-EN 13108-1</w:t>
            </w:r>
          </w:p>
        </w:tc>
        <w:tc>
          <w:tcPr>
            <w:tcW w:w="7994" w:type="dxa"/>
          </w:tcPr>
          <w:p w:rsidR="00683496" w:rsidRPr="006D2270" w:rsidRDefault="00683496" w:rsidP="00683496">
            <w:pPr>
              <w:rPr>
                <w:rFonts w:ascii="Verdana" w:hAnsi="Verdana" w:cs="Arial"/>
              </w:rPr>
            </w:pPr>
            <w:r w:rsidRPr="006D2270">
              <w:rPr>
                <w:rFonts w:ascii="Verdana" w:hAnsi="Verdana" w:cs="Arial"/>
              </w:rPr>
              <w:t>Mieszanki mineralno-asfaltowe – Wymagania – Część 1: Beton Asfaltowy</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48.</w:t>
            </w:r>
          </w:p>
        </w:tc>
        <w:tc>
          <w:tcPr>
            <w:tcW w:w="1469" w:type="dxa"/>
          </w:tcPr>
          <w:p w:rsidR="00683496" w:rsidRPr="006D2270" w:rsidRDefault="00683496" w:rsidP="00683496">
            <w:pPr>
              <w:rPr>
                <w:rFonts w:ascii="Verdana" w:hAnsi="Verdana" w:cs="Arial"/>
              </w:rPr>
            </w:pPr>
            <w:r w:rsidRPr="006D2270">
              <w:rPr>
                <w:rFonts w:ascii="Verdana" w:hAnsi="Verdana" w:cs="Arial"/>
              </w:rPr>
              <w:t>PN-EN 13108-20</w:t>
            </w:r>
          </w:p>
        </w:tc>
        <w:tc>
          <w:tcPr>
            <w:tcW w:w="7994" w:type="dxa"/>
          </w:tcPr>
          <w:p w:rsidR="00683496" w:rsidRPr="006D2270" w:rsidRDefault="00683496" w:rsidP="00683496">
            <w:pPr>
              <w:rPr>
                <w:rFonts w:ascii="Verdana" w:hAnsi="Verdana" w:cs="Arial"/>
              </w:rPr>
            </w:pPr>
            <w:r w:rsidRPr="006D2270">
              <w:rPr>
                <w:rFonts w:ascii="Verdana" w:hAnsi="Verdana" w:cs="Arial"/>
              </w:rPr>
              <w:t>Mieszanki mineralno-asfaltowe – Wymagania – Część 20: Badanie typu</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49.</w:t>
            </w:r>
          </w:p>
        </w:tc>
        <w:tc>
          <w:tcPr>
            <w:tcW w:w="1469" w:type="dxa"/>
          </w:tcPr>
          <w:p w:rsidR="00683496" w:rsidRPr="006D2270" w:rsidRDefault="00683496" w:rsidP="00683496">
            <w:pPr>
              <w:rPr>
                <w:rFonts w:ascii="Verdana" w:hAnsi="Verdana" w:cs="Arial"/>
              </w:rPr>
            </w:pPr>
            <w:r w:rsidRPr="006D2270">
              <w:rPr>
                <w:rFonts w:ascii="Verdana" w:hAnsi="Verdana" w:cs="Arial"/>
              </w:rPr>
              <w:t>PN-EN 13179-1</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Badania kruszyw wypełniających stosowanych do mieszanek bitumicznych </w:t>
            </w:r>
          </w:p>
          <w:p w:rsidR="00683496" w:rsidRPr="006D2270" w:rsidRDefault="00683496" w:rsidP="00683496">
            <w:pPr>
              <w:rPr>
                <w:rFonts w:ascii="Verdana" w:hAnsi="Verdana" w:cs="Arial"/>
              </w:rPr>
            </w:pPr>
            <w:r w:rsidRPr="006D2270">
              <w:rPr>
                <w:rFonts w:ascii="Verdana" w:hAnsi="Verdana" w:cs="Arial"/>
              </w:rPr>
              <w:t>– Część 1: Badanie metodą Pierścienia i Kuli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50.</w:t>
            </w:r>
          </w:p>
        </w:tc>
        <w:tc>
          <w:tcPr>
            <w:tcW w:w="1469" w:type="dxa"/>
          </w:tcPr>
          <w:p w:rsidR="00683496" w:rsidRPr="006D2270" w:rsidRDefault="00683496" w:rsidP="00683496">
            <w:pPr>
              <w:rPr>
                <w:rFonts w:ascii="Verdana" w:hAnsi="Verdana" w:cs="Arial"/>
              </w:rPr>
            </w:pPr>
            <w:r w:rsidRPr="006D2270">
              <w:rPr>
                <w:rFonts w:ascii="Verdana" w:hAnsi="Verdana" w:cs="Arial"/>
              </w:rPr>
              <w:t>PN-EN 13179-2</w:t>
            </w:r>
          </w:p>
        </w:tc>
        <w:tc>
          <w:tcPr>
            <w:tcW w:w="7994" w:type="dxa"/>
          </w:tcPr>
          <w:p w:rsidR="00683496" w:rsidRPr="006D2270" w:rsidRDefault="00683496" w:rsidP="00683496">
            <w:pPr>
              <w:rPr>
                <w:rFonts w:ascii="Verdana" w:hAnsi="Verdana" w:cs="Arial"/>
              </w:rPr>
            </w:pPr>
            <w:r w:rsidRPr="006D2270">
              <w:rPr>
                <w:rFonts w:ascii="Verdana" w:hAnsi="Verdana" w:cs="Arial"/>
              </w:rPr>
              <w:t>Badania kruszyw wypełniających stosowanych do mieszanek bitumicznych – Część 2: Liczba bitumiczna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51.</w:t>
            </w:r>
          </w:p>
        </w:tc>
        <w:tc>
          <w:tcPr>
            <w:tcW w:w="1469" w:type="dxa"/>
          </w:tcPr>
          <w:p w:rsidR="00683496" w:rsidRPr="006D2270" w:rsidRDefault="00683496" w:rsidP="00683496">
            <w:pPr>
              <w:rPr>
                <w:rFonts w:ascii="Verdana" w:hAnsi="Verdana" w:cs="Arial"/>
              </w:rPr>
            </w:pPr>
            <w:r w:rsidRPr="006D2270">
              <w:rPr>
                <w:rFonts w:ascii="Verdana" w:hAnsi="Verdana" w:cs="Arial"/>
              </w:rPr>
              <w:t>PN-EN 13398</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nawrotu sprężystego asfaltów modyfikowanych</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52.</w:t>
            </w:r>
          </w:p>
        </w:tc>
        <w:tc>
          <w:tcPr>
            <w:tcW w:w="1469" w:type="dxa"/>
          </w:tcPr>
          <w:p w:rsidR="00683496" w:rsidRPr="006D2270" w:rsidRDefault="00683496" w:rsidP="00683496">
            <w:pPr>
              <w:rPr>
                <w:rFonts w:ascii="Verdana" w:hAnsi="Verdana" w:cs="Arial"/>
              </w:rPr>
            </w:pPr>
            <w:r w:rsidRPr="006D2270">
              <w:rPr>
                <w:rFonts w:ascii="Verdana" w:hAnsi="Verdana" w:cs="Arial"/>
              </w:rPr>
              <w:t>PN-EN 13399</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odporności na magazynowanie modyfikowanych asfaltów</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53.</w:t>
            </w:r>
          </w:p>
        </w:tc>
        <w:tc>
          <w:tcPr>
            <w:tcW w:w="1469" w:type="dxa"/>
          </w:tcPr>
          <w:p w:rsidR="00683496" w:rsidRPr="006D2270" w:rsidRDefault="00683496" w:rsidP="00683496">
            <w:pPr>
              <w:rPr>
                <w:rFonts w:ascii="Verdana" w:hAnsi="Verdana" w:cs="Arial"/>
              </w:rPr>
            </w:pPr>
            <w:r w:rsidRPr="006D2270">
              <w:rPr>
                <w:rFonts w:ascii="Verdana" w:hAnsi="Verdana" w:cs="Arial"/>
              </w:rPr>
              <w:t>PN-EN 13587</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ciągliwości lepiszczy asfaltowych metodą pomiaru ciągliwości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54.</w:t>
            </w:r>
          </w:p>
        </w:tc>
        <w:tc>
          <w:tcPr>
            <w:tcW w:w="1469" w:type="dxa"/>
          </w:tcPr>
          <w:p w:rsidR="00683496" w:rsidRPr="006D2270" w:rsidRDefault="00683496" w:rsidP="00683496">
            <w:pPr>
              <w:rPr>
                <w:rFonts w:ascii="Verdana" w:hAnsi="Verdana" w:cs="Arial"/>
              </w:rPr>
            </w:pPr>
            <w:r w:rsidRPr="006D2270">
              <w:rPr>
                <w:rFonts w:ascii="Verdana" w:hAnsi="Verdana" w:cs="Arial"/>
              </w:rPr>
              <w:t>PN-EN 13588</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kohezji lepiszczy asfaltowych metodą testu wahadłowego</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55.</w:t>
            </w:r>
          </w:p>
        </w:tc>
        <w:tc>
          <w:tcPr>
            <w:tcW w:w="1469" w:type="dxa"/>
          </w:tcPr>
          <w:p w:rsidR="00683496" w:rsidRPr="006D2270" w:rsidRDefault="00683496" w:rsidP="00683496">
            <w:pPr>
              <w:rPr>
                <w:rFonts w:ascii="Verdana" w:hAnsi="Verdana" w:cs="Arial"/>
              </w:rPr>
            </w:pPr>
            <w:r w:rsidRPr="006D2270">
              <w:rPr>
                <w:rFonts w:ascii="Verdana" w:hAnsi="Verdana" w:cs="Arial"/>
              </w:rPr>
              <w:t>PN-EN 13589</w:t>
            </w:r>
          </w:p>
        </w:tc>
        <w:tc>
          <w:tcPr>
            <w:tcW w:w="7994" w:type="dxa"/>
          </w:tcPr>
          <w:p w:rsidR="00683496" w:rsidRPr="006D2270" w:rsidRDefault="00683496" w:rsidP="00683496">
            <w:pPr>
              <w:rPr>
                <w:rFonts w:ascii="Verdana" w:hAnsi="Verdana" w:cs="Arial"/>
              </w:rPr>
            </w:pPr>
            <w:r w:rsidRPr="006D2270">
              <w:rPr>
                <w:rFonts w:ascii="Verdana" w:hAnsi="Verdana" w:cs="Arial"/>
              </w:rPr>
              <w:t xml:space="preserve">Asfalty i lepiszcza asfaltowe – Oznaczanie ciągliwości modyfikowanych asfaltów – Metoda z </w:t>
            </w:r>
            <w:proofErr w:type="spellStart"/>
            <w:r w:rsidRPr="006D2270">
              <w:rPr>
                <w:rFonts w:ascii="Verdana" w:hAnsi="Verdana" w:cs="Arial"/>
              </w:rPr>
              <w:t>duktylometrem</w:t>
            </w:r>
            <w:proofErr w:type="spellEnd"/>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lastRenderedPageBreak/>
              <w:t>56.</w:t>
            </w:r>
          </w:p>
        </w:tc>
        <w:tc>
          <w:tcPr>
            <w:tcW w:w="1469" w:type="dxa"/>
          </w:tcPr>
          <w:p w:rsidR="00683496" w:rsidRPr="006D2270" w:rsidRDefault="00683496" w:rsidP="00683496">
            <w:pPr>
              <w:rPr>
                <w:rFonts w:ascii="Verdana" w:hAnsi="Verdana" w:cs="Arial"/>
              </w:rPr>
            </w:pPr>
            <w:r w:rsidRPr="006D2270">
              <w:rPr>
                <w:rFonts w:ascii="Verdana" w:hAnsi="Verdana" w:cs="Arial"/>
              </w:rPr>
              <w:t>PN-EN 13614</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przyczepności emulsji bitumicznych przez zanurzenie w wodzie</w:t>
            </w:r>
          </w:p>
          <w:p w:rsidR="00683496" w:rsidRPr="006D2270" w:rsidRDefault="00683496" w:rsidP="00683496">
            <w:pPr>
              <w:rPr>
                <w:rFonts w:ascii="Verdana" w:hAnsi="Verdana" w:cs="Arial"/>
              </w:rPr>
            </w:pPr>
            <w:r w:rsidRPr="006D2270">
              <w:rPr>
                <w:rFonts w:ascii="Verdana" w:hAnsi="Verdana" w:cs="Arial"/>
              </w:rPr>
              <w:t xml:space="preserve"> – Metoda z kruszywem</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57.</w:t>
            </w:r>
          </w:p>
        </w:tc>
        <w:tc>
          <w:tcPr>
            <w:tcW w:w="1469" w:type="dxa"/>
          </w:tcPr>
          <w:p w:rsidR="00683496" w:rsidRPr="006D2270" w:rsidRDefault="00683496" w:rsidP="00683496">
            <w:pPr>
              <w:rPr>
                <w:rFonts w:ascii="Verdana" w:hAnsi="Verdana" w:cs="Arial"/>
              </w:rPr>
            </w:pPr>
            <w:r w:rsidRPr="006D2270">
              <w:rPr>
                <w:rFonts w:ascii="Verdana" w:hAnsi="Verdana" w:cs="Arial"/>
              </w:rPr>
              <w:t>PN-EN 13703</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Oznaczanie energii deformacji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58.</w:t>
            </w:r>
          </w:p>
        </w:tc>
        <w:tc>
          <w:tcPr>
            <w:tcW w:w="1469" w:type="dxa"/>
          </w:tcPr>
          <w:p w:rsidR="00683496" w:rsidRPr="006D2270" w:rsidRDefault="00683496" w:rsidP="00683496">
            <w:pPr>
              <w:rPr>
                <w:rFonts w:ascii="Verdana" w:hAnsi="Verdana" w:cs="Arial"/>
              </w:rPr>
            </w:pPr>
            <w:r w:rsidRPr="006D2270">
              <w:rPr>
                <w:rFonts w:ascii="Verdana" w:hAnsi="Verdana" w:cs="Arial"/>
              </w:rPr>
              <w:t>PN-EN 13808</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Zasady specyfikacji kationowych emulsji asfaltowych</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59.</w:t>
            </w:r>
          </w:p>
        </w:tc>
        <w:tc>
          <w:tcPr>
            <w:tcW w:w="1469" w:type="dxa"/>
          </w:tcPr>
          <w:p w:rsidR="00683496" w:rsidRPr="006D2270" w:rsidRDefault="00683496" w:rsidP="00683496">
            <w:pPr>
              <w:rPr>
                <w:rFonts w:ascii="Verdana" w:hAnsi="Verdana" w:cs="Arial"/>
              </w:rPr>
            </w:pPr>
            <w:r w:rsidRPr="006D2270">
              <w:rPr>
                <w:rFonts w:ascii="Verdana" w:hAnsi="Verdana" w:cs="Arial"/>
              </w:rPr>
              <w:t>PN-EN 14023</w:t>
            </w:r>
          </w:p>
        </w:tc>
        <w:tc>
          <w:tcPr>
            <w:tcW w:w="7994" w:type="dxa"/>
          </w:tcPr>
          <w:p w:rsidR="00683496" w:rsidRPr="006D2270" w:rsidRDefault="00683496" w:rsidP="00683496">
            <w:pPr>
              <w:rPr>
                <w:rFonts w:ascii="Verdana" w:hAnsi="Verdana" w:cs="Arial"/>
              </w:rPr>
            </w:pPr>
            <w:r w:rsidRPr="006D2270">
              <w:rPr>
                <w:rFonts w:ascii="Verdana" w:hAnsi="Verdana" w:cs="Arial"/>
              </w:rPr>
              <w:t>Asfalty i lepiszcza asfaltowe – Zasady specyfikacji asfaltów modyfikowanych polimerami</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60.</w:t>
            </w:r>
          </w:p>
        </w:tc>
        <w:tc>
          <w:tcPr>
            <w:tcW w:w="1469" w:type="dxa"/>
          </w:tcPr>
          <w:p w:rsidR="00683496" w:rsidRPr="006D2270" w:rsidRDefault="00683496" w:rsidP="00683496">
            <w:pPr>
              <w:rPr>
                <w:rFonts w:ascii="Verdana" w:hAnsi="Verdana" w:cs="Arial"/>
              </w:rPr>
            </w:pPr>
            <w:r w:rsidRPr="006D2270">
              <w:rPr>
                <w:rFonts w:ascii="Verdana" w:hAnsi="Verdana" w:cs="Arial"/>
              </w:rPr>
              <w:t>PN-EN 14188-1</w:t>
            </w:r>
          </w:p>
        </w:tc>
        <w:tc>
          <w:tcPr>
            <w:tcW w:w="7994" w:type="dxa"/>
          </w:tcPr>
          <w:p w:rsidR="00683496" w:rsidRPr="006D2270" w:rsidRDefault="00683496" w:rsidP="00683496">
            <w:pPr>
              <w:rPr>
                <w:rFonts w:ascii="Verdana" w:hAnsi="Verdana" w:cs="Arial"/>
              </w:rPr>
            </w:pPr>
            <w:r w:rsidRPr="006D2270">
              <w:rPr>
                <w:rFonts w:ascii="Verdana" w:hAnsi="Verdana" w:cs="Arial"/>
              </w:rPr>
              <w:t>Wypełniacze złączy i zalewy – Część 1: Specyfikacja zalew na gorąco</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61.</w:t>
            </w:r>
          </w:p>
        </w:tc>
        <w:tc>
          <w:tcPr>
            <w:tcW w:w="1469" w:type="dxa"/>
          </w:tcPr>
          <w:p w:rsidR="00683496" w:rsidRPr="006D2270" w:rsidRDefault="00683496" w:rsidP="00683496">
            <w:pPr>
              <w:rPr>
                <w:rFonts w:ascii="Verdana" w:hAnsi="Verdana" w:cs="Arial"/>
              </w:rPr>
            </w:pPr>
            <w:r w:rsidRPr="006D2270">
              <w:rPr>
                <w:rFonts w:ascii="Verdana" w:hAnsi="Verdana" w:cs="Arial"/>
              </w:rPr>
              <w:t>PN-EN 14188-2</w:t>
            </w:r>
          </w:p>
        </w:tc>
        <w:tc>
          <w:tcPr>
            <w:tcW w:w="7994" w:type="dxa"/>
          </w:tcPr>
          <w:p w:rsidR="00683496" w:rsidRPr="006D2270" w:rsidRDefault="00683496" w:rsidP="00683496">
            <w:pPr>
              <w:rPr>
                <w:rFonts w:ascii="Verdana" w:hAnsi="Verdana" w:cs="Arial"/>
              </w:rPr>
            </w:pPr>
            <w:r w:rsidRPr="006D2270">
              <w:rPr>
                <w:rFonts w:ascii="Verdana" w:hAnsi="Verdana" w:cs="Arial"/>
              </w:rPr>
              <w:t>Wypełniacze złączy i zalewy – Część 2: Specyfikacja zalew na zimno</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62.</w:t>
            </w:r>
          </w:p>
        </w:tc>
        <w:tc>
          <w:tcPr>
            <w:tcW w:w="1469" w:type="dxa"/>
          </w:tcPr>
          <w:p w:rsidR="00683496" w:rsidRPr="006D2270" w:rsidRDefault="00683496" w:rsidP="00683496">
            <w:pPr>
              <w:rPr>
                <w:rFonts w:ascii="Verdana" w:hAnsi="Verdana" w:cs="Arial"/>
              </w:rPr>
            </w:pPr>
            <w:r w:rsidRPr="006D2270">
              <w:rPr>
                <w:rFonts w:ascii="Verdana" w:hAnsi="Verdana" w:cs="Arial"/>
              </w:rPr>
              <w:t>PN-EN 22592</w:t>
            </w:r>
          </w:p>
        </w:tc>
        <w:tc>
          <w:tcPr>
            <w:tcW w:w="7994" w:type="dxa"/>
          </w:tcPr>
          <w:p w:rsidR="00683496" w:rsidRPr="006D2270" w:rsidRDefault="00683496" w:rsidP="00683496">
            <w:pPr>
              <w:rPr>
                <w:rFonts w:ascii="Verdana" w:hAnsi="Verdana" w:cs="Arial"/>
              </w:rPr>
            </w:pPr>
            <w:r w:rsidRPr="006D2270">
              <w:rPr>
                <w:rFonts w:ascii="Verdana" w:hAnsi="Verdana" w:cs="Arial"/>
              </w:rPr>
              <w:t>Przetwory naftowe – Oznaczanie temperatury zapłonu i palenia – Pomiar metodą otwartego tygla Clevelanda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63.</w:t>
            </w:r>
          </w:p>
        </w:tc>
        <w:tc>
          <w:tcPr>
            <w:tcW w:w="1469" w:type="dxa"/>
          </w:tcPr>
          <w:p w:rsidR="00683496" w:rsidRPr="006D2270" w:rsidRDefault="00683496" w:rsidP="00683496">
            <w:pPr>
              <w:rPr>
                <w:rFonts w:ascii="Verdana" w:hAnsi="Verdana" w:cs="Arial"/>
              </w:rPr>
            </w:pPr>
            <w:r w:rsidRPr="006D2270">
              <w:rPr>
                <w:rFonts w:ascii="Verdana" w:hAnsi="Verdana" w:cs="Arial"/>
              </w:rPr>
              <w:t>PN-EN ISO 2592</w:t>
            </w:r>
          </w:p>
        </w:tc>
        <w:tc>
          <w:tcPr>
            <w:tcW w:w="7994" w:type="dxa"/>
          </w:tcPr>
          <w:p w:rsidR="00683496" w:rsidRPr="006D2270" w:rsidRDefault="00683496" w:rsidP="00683496">
            <w:pPr>
              <w:rPr>
                <w:rFonts w:ascii="Verdana" w:hAnsi="Verdana" w:cs="Arial"/>
              </w:rPr>
            </w:pPr>
            <w:r w:rsidRPr="006D2270">
              <w:rPr>
                <w:rFonts w:ascii="Verdana" w:hAnsi="Verdana" w:cs="Arial"/>
              </w:rPr>
              <w:t>Oznaczanie temperatury zapłonu i palenia – Metoda otwartego tygla Clevelanda</w:t>
            </w:r>
          </w:p>
        </w:tc>
      </w:tr>
      <w:tr w:rsidR="00683496" w:rsidRPr="006D2270" w:rsidTr="00683496">
        <w:tc>
          <w:tcPr>
            <w:tcW w:w="575" w:type="dxa"/>
          </w:tcPr>
          <w:p w:rsidR="00683496" w:rsidRPr="006D2270" w:rsidRDefault="00683496" w:rsidP="00683496">
            <w:pPr>
              <w:jc w:val="right"/>
              <w:rPr>
                <w:rFonts w:ascii="Verdana" w:hAnsi="Verdana" w:cs="Arial"/>
              </w:rPr>
            </w:pPr>
            <w:r w:rsidRPr="006D2270">
              <w:rPr>
                <w:rFonts w:ascii="Verdana" w:hAnsi="Verdana" w:cs="Arial"/>
              </w:rPr>
              <w:t>63.1.</w:t>
            </w:r>
          </w:p>
        </w:tc>
        <w:tc>
          <w:tcPr>
            <w:tcW w:w="1469" w:type="dxa"/>
          </w:tcPr>
          <w:p w:rsidR="00683496" w:rsidRPr="006D2270" w:rsidRDefault="00683496" w:rsidP="00683496">
            <w:pPr>
              <w:rPr>
                <w:rFonts w:ascii="Verdana" w:hAnsi="Verdana" w:cs="Arial"/>
              </w:rPr>
            </w:pPr>
            <w:r w:rsidRPr="006D2270">
              <w:rPr>
                <w:rFonts w:ascii="Verdana" w:hAnsi="Verdana" w:cs="Arial"/>
              </w:rPr>
              <w:t>PN-EN 13108-21</w:t>
            </w:r>
          </w:p>
        </w:tc>
        <w:tc>
          <w:tcPr>
            <w:tcW w:w="7994" w:type="dxa"/>
          </w:tcPr>
          <w:p w:rsidR="00683496" w:rsidRPr="006D2270" w:rsidRDefault="00683496" w:rsidP="00683496">
            <w:pPr>
              <w:rPr>
                <w:rFonts w:ascii="Verdana" w:hAnsi="Verdana" w:cs="Arial"/>
              </w:rPr>
            </w:pPr>
            <w:r w:rsidRPr="006D2270">
              <w:rPr>
                <w:rFonts w:ascii="Verdana" w:hAnsi="Verdana" w:cs="Arial"/>
              </w:rPr>
              <w:t>Mieszanki mineralno-asfaltowe – Wymagania – Część 21: Zakładowa Kontrola Produkcji</w:t>
            </w:r>
          </w:p>
        </w:tc>
      </w:tr>
    </w:tbl>
    <w:p w:rsidR="00683496" w:rsidRPr="006D2270" w:rsidRDefault="00683496" w:rsidP="00683496">
      <w:pPr>
        <w:keepNext/>
        <w:outlineLvl w:val="1"/>
        <w:rPr>
          <w:rFonts w:ascii="Verdana" w:hAnsi="Verdana" w:cs="Arial"/>
          <w:b/>
          <w:bCs/>
          <w:iCs/>
        </w:rPr>
      </w:pPr>
      <w:bookmarkStart w:id="381" w:name="_Toc316558764"/>
    </w:p>
    <w:p w:rsidR="00683496" w:rsidRPr="006D2270" w:rsidRDefault="00683496" w:rsidP="00683496">
      <w:pPr>
        <w:keepNext/>
        <w:outlineLvl w:val="1"/>
        <w:rPr>
          <w:rFonts w:ascii="Verdana" w:hAnsi="Verdana" w:cs="Arial"/>
          <w:b/>
          <w:bCs/>
          <w:iCs/>
        </w:rPr>
      </w:pPr>
      <w:r w:rsidRPr="006D2270">
        <w:rPr>
          <w:rFonts w:ascii="Verdana" w:hAnsi="Verdana" w:cs="Arial"/>
          <w:b/>
          <w:bCs/>
          <w:iCs/>
        </w:rPr>
        <w:t>10.3. Wymagania techniczne</w:t>
      </w:r>
      <w:bookmarkEnd w:id="381"/>
      <w:r w:rsidRPr="006D2270">
        <w:rPr>
          <w:rFonts w:ascii="Verdana" w:hAnsi="Verdana" w:cs="Arial"/>
          <w:b/>
          <w:bCs/>
          <w:iCs/>
        </w:rPr>
        <w:t xml:space="preserve"> </w:t>
      </w:r>
    </w:p>
    <w:p w:rsidR="00683496" w:rsidRPr="008C4B60" w:rsidRDefault="00683496" w:rsidP="002122BD">
      <w:pPr>
        <w:numPr>
          <w:ilvl w:val="0"/>
          <w:numId w:val="45"/>
        </w:numPr>
        <w:tabs>
          <w:tab w:val="num" w:pos="426"/>
        </w:tabs>
        <w:overflowPunct w:val="0"/>
        <w:autoSpaceDE w:val="0"/>
        <w:autoSpaceDN w:val="0"/>
        <w:adjustRightInd w:val="0"/>
        <w:ind w:left="426" w:hanging="426"/>
        <w:jc w:val="both"/>
        <w:textAlignment w:val="baseline"/>
        <w:rPr>
          <w:rFonts w:ascii="Verdana" w:hAnsi="Verdana" w:cs="Arial"/>
        </w:rPr>
      </w:pPr>
      <w:r w:rsidRPr="006D2270">
        <w:rPr>
          <w:rFonts w:ascii="Verdana" w:hAnsi="Verdana" w:cs="Arial"/>
        </w:rPr>
        <w:t>WT-1</w:t>
      </w:r>
      <w:r>
        <w:rPr>
          <w:rFonts w:ascii="Verdana" w:hAnsi="Verdana" w:cs="Arial"/>
        </w:rPr>
        <w:t xml:space="preserve"> </w:t>
      </w:r>
      <w:r w:rsidRPr="006D2270">
        <w:rPr>
          <w:rFonts w:ascii="Verdana" w:hAnsi="Verdana" w:cs="Arial"/>
        </w:rPr>
        <w:t>201</w:t>
      </w:r>
      <w:r>
        <w:rPr>
          <w:rFonts w:ascii="Verdana" w:hAnsi="Verdana" w:cs="Arial"/>
        </w:rPr>
        <w:t>4</w:t>
      </w:r>
      <w:r w:rsidRPr="006D2270">
        <w:rPr>
          <w:rFonts w:ascii="Verdana" w:hAnsi="Verdana" w:cs="Arial"/>
        </w:rPr>
        <w:t xml:space="preserve"> Kruszywa do mieszanek mineralno-asfaltowych i powierzchniowych utrwaleń na drogach krajowych</w:t>
      </w:r>
      <w:r>
        <w:rPr>
          <w:rFonts w:ascii="Verdana" w:hAnsi="Verdana" w:cs="Arial"/>
        </w:rPr>
        <w:t xml:space="preserve"> Wymagania Techniczne,</w:t>
      </w:r>
      <w:r w:rsidRPr="00966E08">
        <w:rPr>
          <w:rFonts w:ascii="Arial" w:hAnsi="Arial" w:cs="Arial"/>
        </w:rPr>
        <w:t xml:space="preserve"> </w:t>
      </w:r>
      <w:r w:rsidRPr="008C4B60">
        <w:rPr>
          <w:rStyle w:val="FontStyle81"/>
          <w:rFonts w:ascii="Verdana" w:hAnsi="Verdana" w:cs="Arial"/>
        </w:rPr>
        <w:t>Załącznik do zarządzenia nr 46 Generalnego Dyrektora Dróg Krajowych i Autostrad z dnia 25.09.2014 r.,</w:t>
      </w:r>
    </w:p>
    <w:p w:rsidR="00683496" w:rsidRDefault="00683496" w:rsidP="002122BD">
      <w:pPr>
        <w:numPr>
          <w:ilvl w:val="0"/>
          <w:numId w:val="45"/>
        </w:numPr>
        <w:tabs>
          <w:tab w:val="num" w:pos="426"/>
        </w:tabs>
        <w:overflowPunct w:val="0"/>
        <w:autoSpaceDE w:val="0"/>
        <w:autoSpaceDN w:val="0"/>
        <w:adjustRightInd w:val="0"/>
        <w:ind w:left="426" w:hanging="426"/>
        <w:jc w:val="both"/>
        <w:textAlignment w:val="baseline"/>
        <w:rPr>
          <w:rFonts w:ascii="Verdana" w:hAnsi="Verdana" w:cs="Arial"/>
        </w:rPr>
      </w:pPr>
      <w:r>
        <w:rPr>
          <w:rFonts w:ascii="Verdana" w:hAnsi="Verdana" w:cs="Arial"/>
        </w:rPr>
        <w:t>WT-2 2014-część I</w:t>
      </w:r>
      <w:r w:rsidRPr="006D2270">
        <w:rPr>
          <w:rFonts w:ascii="Verdana" w:hAnsi="Verdana" w:cs="Arial"/>
        </w:rPr>
        <w:t xml:space="preserve"> Nawierzchnie asfaltowe na drogach krajowych </w:t>
      </w:r>
      <w:r>
        <w:rPr>
          <w:rFonts w:ascii="Verdana" w:hAnsi="Verdana" w:cs="Arial"/>
        </w:rPr>
        <w:t>Mieszanki mineralno-asfaltowe Wymagania Techniczne,</w:t>
      </w:r>
      <w:r w:rsidRPr="00966E08">
        <w:rPr>
          <w:rFonts w:ascii="Arial" w:hAnsi="Arial" w:cs="Arial"/>
        </w:rPr>
        <w:t xml:space="preserve"> </w:t>
      </w:r>
      <w:r w:rsidRPr="008C4B60">
        <w:rPr>
          <w:rStyle w:val="FontStyle81"/>
          <w:rFonts w:ascii="Verdana" w:hAnsi="Verdana" w:cs="Arial"/>
        </w:rPr>
        <w:t>Załącznik do zarządzenia nr 54 Generalnego Dyrektora Dróg Krajowych i Autostrad z dnia 18.11.2014 r.</w:t>
      </w:r>
      <w:r w:rsidRPr="008C4B60">
        <w:rPr>
          <w:rFonts w:ascii="Verdana" w:hAnsi="Verdana" w:cs="Arial"/>
        </w:rPr>
        <w:t>,</w:t>
      </w:r>
    </w:p>
    <w:p w:rsidR="00683496" w:rsidRDefault="00683496" w:rsidP="002122BD">
      <w:pPr>
        <w:numPr>
          <w:ilvl w:val="0"/>
          <w:numId w:val="45"/>
        </w:numPr>
        <w:tabs>
          <w:tab w:val="left" w:pos="426"/>
        </w:tabs>
        <w:rPr>
          <w:rFonts w:ascii="Verdana" w:hAnsi="Verdana" w:cs="Arial"/>
        </w:rPr>
      </w:pPr>
      <w:r>
        <w:rPr>
          <w:rFonts w:ascii="Verdana" w:hAnsi="Verdana" w:cs="Arial"/>
        </w:rPr>
        <w:t>WT-2 2016-część II Nawierzchnie asfaltowe na drogach krajowych Wykonanie warstw nawierzchni asfaltowych Wymagania Techniczne,</w:t>
      </w:r>
      <w:r w:rsidRPr="00966E08">
        <w:rPr>
          <w:rFonts w:ascii="Arial" w:hAnsi="Arial" w:cs="Arial"/>
        </w:rPr>
        <w:t xml:space="preserve"> </w:t>
      </w:r>
      <w:r w:rsidRPr="00966E08">
        <w:rPr>
          <w:rFonts w:ascii="Verdana" w:hAnsi="Verdana" w:cs="Arial"/>
        </w:rPr>
        <w:t>Załącznik do zarządzenia Nr 7 Generalnego Dyrektora Dróg Krajowych i Autostrad z dnia 09.05.2016 r.,</w:t>
      </w:r>
    </w:p>
    <w:p w:rsidR="00683496" w:rsidRPr="00F120FC" w:rsidRDefault="00683496" w:rsidP="002122BD">
      <w:pPr>
        <w:numPr>
          <w:ilvl w:val="0"/>
          <w:numId w:val="45"/>
        </w:numPr>
        <w:tabs>
          <w:tab w:val="right" w:pos="709"/>
        </w:tabs>
        <w:spacing w:line="276" w:lineRule="auto"/>
        <w:jc w:val="both"/>
        <w:rPr>
          <w:rFonts w:ascii="Verdana" w:hAnsi="Verdana" w:cs="Arial"/>
          <w:sz w:val="18"/>
          <w:szCs w:val="18"/>
        </w:rPr>
      </w:pPr>
      <w:r>
        <w:rPr>
          <w:rFonts w:ascii="Verdana" w:hAnsi="Verdana" w:cs="Arial"/>
          <w:sz w:val="18"/>
          <w:szCs w:val="18"/>
        </w:rPr>
        <w:t>Instrukcji DP-T 14 Ocena jakości na drogach krajowych. Część I – Roboty drogowe, załącznik do zarządzenia nr 10 Generalnego Dyrektora Dróg Krajowych i Autostrad z dnia 30 marca 2017 r.</w:t>
      </w:r>
    </w:p>
    <w:p w:rsidR="00683496" w:rsidRDefault="00683496" w:rsidP="00683496">
      <w:pPr>
        <w:keepNext/>
        <w:ind w:left="142"/>
        <w:outlineLvl w:val="1"/>
        <w:rPr>
          <w:rFonts w:ascii="Verdana" w:hAnsi="Verdana" w:cs="Arial"/>
          <w:b/>
          <w:bCs/>
          <w:iCs/>
        </w:rPr>
      </w:pPr>
    </w:p>
    <w:p w:rsidR="00683496" w:rsidRPr="00A4041B" w:rsidRDefault="00683496" w:rsidP="00683496">
      <w:pPr>
        <w:keepNext/>
        <w:ind w:left="142" w:hanging="142"/>
        <w:outlineLvl w:val="1"/>
        <w:rPr>
          <w:rFonts w:ascii="Verdana" w:hAnsi="Verdana" w:cs="Arial"/>
          <w:b/>
          <w:bCs/>
          <w:iCs/>
        </w:rPr>
      </w:pPr>
      <w:r w:rsidRPr="006D2270">
        <w:rPr>
          <w:rFonts w:ascii="Verdana" w:hAnsi="Verdana" w:cs="Arial"/>
          <w:b/>
          <w:bCs/>
          <w:iCs/>
        </w:rPr>
        <w:t>10.4. Inne dokumenty</w:t>
      </w:r>
    </w:p>
    <w:p w:rsidR="00683496" w:rsidRPr="006D2270" w:rsidRDefault="00683496" w:rsidP="002122BD">
      <w:pPr>
        <w:numPr>
          <w:ilvl w:val="0"/>
          <w:numId w:val="45"/>
        </w:numPr>
        <w:overflowPunct w:val="0"/>
        <w:autoSpaceDE w:val="0"/>
        <w:autoSpaceDN w:val="0"/>
        <w:adjustRightInd w:val="0"/>
        <w:jc w:val="both"/>
        <w:textAlignment w:val="baseline"/>
        <w:rPr>
          <w:rFonts w:ascii="Verdana" w:hAnsi="Verdana" w:cs="Arial"/>
        </w:rPr>
      </w:pPr>
      <w:r w:rsidRPr="006D2270">
        <w:rPr>
          <w:rFonts w:ascii="Verdana" w:hAnsi="Verdana" w:cs="Arial"/>
        </w:rPr>
        <w:t>Rozporządzenie Ministra Transportu i Gospodarki Morskiej z dnia 2 marca 1999 r. w sprawie warunków technicznych, jakim powinny odpowiadać drogi publiczne i ich usytuowanie (</w:t>
      </w:r>
      <w:proofErr w:type="spellStart"/>
      <w:r w:rsidRPr="006D2270">
        <w:rPr>
          <w:rFonts w:ascii="Verdana" w:hAnsi="Verdana" w:cs="Arial"/>
        </w:rPr>
        <w:t>Dz.U</w:t>
      </w:r>
      <w:proofErr w:type="spellEnd"/>
      <w:r w:rsidRPr="006D2270">
        <w:rPr>
          <w:rFonts w:ascii="Verdana" w:hAnsi="Verdana" w:cs="Arial"/>
        </w:rPr>
        <w:t>. nr 43, poz. 430</w:t>
      </w:r>
      <w:r>
        <w:rPr>
          <w:rFonts w:ascii="Verdana" w:hAnsi="Verdana" w:cs="Arial"/>
        </w:rPr>
        <w:t xml:space="preserve"> z </w:t>
      </w:r>
      <w:proofErr w:type="spellStart"/>
      <w:r>
        <w:rPr>
          <w:rFonts w:ascii="Verdana" w:hAnsi="Verdana" w:cs="Arial"/>
        </w:rPr>
        <w:t>późn</w:t>
      </w:r>
      <w:proofErr w:type="spellEnd"/>
      <w:r>
        <w:rPr>
          <w:rFonts w:ascii="Verdana" w:hAnsi="Verdana" w:cs="Arial"/>
        </w:rPr>
        <w:t>. zm.</w:t>
      </w:r>
      <w:r w:rsidRPr="006D2270">
        <w:rPr>
          <w:rFonts w:ascii="Verdana" w:hAnsi="Verdana" w:cs="Arial"/>
        </w:rPr>
        <w:t>)</w:t>
      </w:r>
      <w:r>
        <w:rPr>
          <w:rFonts w:ascii="Verdana" w:hAnsi="Verdana" w:cs="Arial"/>
        </w:rPr>
        <w:t>,</w:t>
      </w:r>
    </w:p>
    <w:p w:rsidR="00683496" w:rsidRDefault="00683496" w:rsidP="002122BD">
      <w:pPr>
        <w:numPr>
          <w:ilvl w:val="0"/>
          <w:numId w:val="45"/>
        </w:numPr>
        <w:overflowPunct w:val="0"/>
        <w:autoSpaceDE w:val="0"/>
        <w:autoSpaceDN w:val="0"/>
        <w:adjustRightInd w:val="0"/>
        <w:jc w:val="both"/>
        <w:textAlignment w:val="baseline"/>
        <w:rPr>
          <w:rFonts w:ascii="Verdana" w:hAnsi="Verdana" w:cs="Arial"/>
        </w:rPr>
      </w:pPr>
      <w:r w:rsidRPr="006D2270">
        <w:rPr>
          <w:rFonts w:ascii="Verdana" w:hAnsi="Verdana" w:cs="Arial"/>
        </w:rPr>
        <w:t xml:space="preserve">Katalog typowych konstrukcji nawierzchni podatnych i półsztywnych. </w:t>
      </w:r>
      <w:r>
        <w:rPr>
          <w:rFonts w:ascii="Verdana" w:hAnsi="Verdana" w:cs="Arial"/>
        </w:rPr>
        <w:t>Politechnika Gdańska – Katedra Inżynierii Drogowej, Gdańsk 2014,</w:t>
      </w:r>
    </w:p>
    <w:p w:rsidR="00683496" w:rsidRPr="006D2270" w:rsidRDefault="00683496" w:rsidP="002122BD">
      <w:pPr>
        <w:numPr>
          <w:ilvl w:val="0"/>
          <w:numId w:val="45"/>
        </w:numPr>
        <w:overflowPunct w:val="0"/>
        <w:autoSpaceDE w:val="0"/>
        <w:autoSpaceDN w:val="0"/>
        <w:adjustRightInd w:val="0"/>
        <w:jc w:val="both"/>
        <w:textAlignment w:val="baseline"/>
        <w:rPr>
          <w:rFonts w:ascii="Verdana" w:hAnsi="Verdana" w:cs="Arial"/>
        </w:rPr>
      </w:pPr>
      <w:r>
        <w:rPr>
          <w:rFonts w:ascii="Verdana" w:hAnsi="Verdana" w:cs="Arial"/>
        </w:rPr>
        <w:t xml:space="preserve">Instrukcja laboratoryjnego badania </w:t>
      </w:r>
      <w:proofErr w:type="spellStart"/>
      <w:r>
        <w:rPr>
          <w:rFonts w:ascii="Verdana" w:hAnsi="Verdana" w:cs="Arial"/>
        </w:rPr>
        <w:t>sczepności</w:t>
      </w:r>
      <w:proofErr w:type="spellEnd"/>
      <w:r>
        <w:rPr>
          <w:rFonts w:ascii="Verdana" w:hAnsi="Verdana" w:cs="Arial"/>
        </w:rPr>
        <w:t xml:space="preserve"> </w:t>
      </w:r>
      <w:proofErr w:type="spellStart"/>
      <w:r>
        <w:rPr>
          <w:rFonts w:ascii="Verdana" w:hAnsi="Verdana" w:cs="Arial"/>
        </w:rPr>
        <w:t>międzywarstwowej</w:t>
      </w:r>
      <w:proofErr w:type="spellEnd"/>
      <w:r>
        <w:rPr>
          <w:rFonts w:ascii="Verdana" w:hAnsi="Verdana" w:cs="Arial"/>
        </w:rPr>
        <w:t xml:space="preserve"> warstw asfaltowych wg metody </w:t>
      </w:r>
      <w:proofErr w:type="spellStart"/>
      <w:r>
        <w:rPr>
          <w:rFonts w:ascii="Verdana" w:hAnsi="Verdana" w:cs="Arial"/>
        </w:rPr>
        <w:t>Leutnera</w:t>
      </w:r>
      <w:proofErr w:type="spellEnd"/>
      <w:r>
        <w:rPr>
          <w:rFonts w:ascii="Verdana" w:hAnsi="Verdana" w:cs="Arial"/>
        </w:rPr>
        <w:t xml:space="preserve"> i Wymagania techniczne </w:t>
      </w:r>
      <w:proofErr w:type="spellStart"/>
      <w:r>
        <w:rPr>
          <w:rFonts w:ascii="Verdana" w:hAnsi="Verdana" w:cs="Arial"/>
        </w:rPr>
        <w:t>sczepności</w:t>
      </w:r>
      <w:proofErr w:type="spellEnd"/>
      <w:r>
        <w:rPr>
          <w:rFonts w:ascii="Verdana" w:hAnsi="Verdana" w:cs="Arial"/>
        </w:rPr>
        <w:t>. Politechnika Gdańska, Gdańsk 2014.</w:t>
      </w:r>
    </w:p>
    <w:p w:rsidR="00683496" w:rsidRPr="00A4041B" w:rsidRDefault="00683496" w:rsidP="00683496">
      <w:pPr>
        <w:keepNext/>
        <w:ind w:left="397"/>
        <w:outlineLvl w:val="1"/>
        <w:rPr>
          <w:rFonts w:ascii="Verdana" w:hAnsi="Verdana" w:cs="Arial"/>
          <w:b/>
          <w:bCs/>
          <w:iCs/>
        </w:rPr>
      </w:pPr>
    </w:p>
    <w:p w:rsidR="00683496" w:rsidRDefault="00683496" w:rsidP="00683496">
      <w:pPr>
        <w:ind w:left="426" w:hanging="426"/>
        <w:rPr>
          <w:rFonts w:ascii="Verdana" w:hAnsi="Verdana" w:cs="Arial"/>
        </w:rPr>
      </w:pPr>
    </w:p>
    <w:p w:rsidR="00A36FDB" w:rsidRDefault="00A36FDB" w:rsidP="00683496">
      <w:pPr>
        <w:ind w:left="426" w:hanging="426"/>
        <w:rPr>
          <w:rFonts w:ascii="Verdana" w:hAnsi="Verdana" w:cs="Arial"/>
        </w:rPr>
      </w:pPr>
    </w:p>
    <w:p w:rsidR="00A36FDB" w:rsidRDefault="00A36FDB"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Default="00E07AC4" w:rsidP="00683496">
      <w:pPr>
        <w:ind w:left="426" w:hanging="426"/>
        <w:rPr>
          <w:rFonts w:ascii="Verdana" w:hAnsi="Verdana" w:cs="Arial"/>
        </w:rPr>
      </w:pPr>
    </w:p>
    <w:p w:rsidR="00E07AC4" w:rsidRPr="006D2270" w:rsidRDefault="00E07AC4" w:rsidP="00683496">
      <w:pPr>
        <w:ind w:left="426" w:hanging="426"/>
        <w:rPr>
          <w:rFonts w:ascii="Verdana" w:hAnsi="Verdana" w:cs="Arial"/>
        </w:rPr>
      </w:pPr>
    </w:p>
    <w:p w:rsidR="00683496" w:rsidRPr="001005E9" w:rsidRDefault="00683496" w:rsidP="00683496">
      <w:pPr>
        <w:ind w:left="-142"/>
        <w:outlineLvl w:val="0"/>
        <w:rPr>
          <w:b/>
          <w:sz w:val="28"/>
        </w:rPr>
      </w:pPr>
      <w:bookmarkStart w:id="382" w:name="_Hlk15765406"/>
      <w:r>
        <w:rPr>
          <w:b/>
          <w:sz w:val="28"/>
        </w:rPr>
        <w:t>D - 08.01.01   KRAWĘŻNIKI  BETONOWE</w:t>
      </w:r>
    </w:p>
    <w:bookmarkEnd w:id="382"/>
    <w:p w:rsidR="00683496" w:rsidRDefault="00683496" w:rsidP="00683496">
      <w:pPr>
        <w:ind w:left="-142"/>
        <w:jc w:val="both"/>
        <w:rPr>
          <w:b/>
        </w:rPr>
      </w:pPr>
    </w:p>
    <w:p w:rsidR="00683496" w:rsidRDefault="00683496" w:rsidP="00683496">
      <w:pPr>
        <w:pStyle w:val="Nagwek1"/>
        <w:ind w:left="-142"/>
      </w:pPr>
      <w:bookmarkStart w:id="383" w:name="_Toc428759421"/>
      <w:r>
        <w:t>1. WSTĘP</w:t>
      </w:r>
      <w:bookmarkEnd w:id="383"/>
    </w:p>
    <w:p w:rsidR="00683496" w:rsidRDefault="00683496" w:rsidP="00683496">
      <w:pPr>
        <w:pStyle w:val="Nagwek2"/>
        <w:ind w:left="-142"/>
      </w:pPr>
      <w:r>
        <w:t>1.1. Przedmiot SST</w:t>
      </w:r>
    </w:p>
    <w:p w:rsidR="00683496" w:rsidRDefault="00683496" w:rsidP="00683496">
      <w:r>
        <w:rPr>
          <w:b/>
        </w:rPr>
        <w:tab/>
      </w:r>
      <w:r>
        <w:t xml:space="preserve">Przedmiotem niniejszej szczegółowej specyfikacji technicznej (SST) są wymagania dotyczące wykonania i odbioru robót związanych z ustawieniem krawężników betonowych </w:t>
      </w:r>
    </w:p>
    <w:p w:rsidR="00683496" w:rsidRDefault="00683496" w:rsidP="00683496">
      <w:pPr>
        <w:pStyle w:val="tekstost"/>
      </w:pPr>
      <w:r>
        <w:t>.</w:t>
      </w:r>
    </w:p>
    <w:p w:rsidR="00683496" w:rsidRDefault="00683496" w:rsidP="00683496">
      <w:pPr>
        <w:pStyle w:val="Nagwek2"/>
        <w:ind w:left="-142"/>
      </w:pPr>
      <w:r>
        <w:t>1.2. Zakres stosowania SST</w:t>
      </w:r>
    </w:p>
    <w:p w:rsidR="00683496" w:rsidRDefault="00683496" w:rsidP="00683496">
      <w:pPr>
        <w:ind w:left="-142"/>
        <w:jc w:val="both"/>
      </w:pPr>
      <w:r>
        <w:t>Szczegółowa specyfikacja techniczna (SST) stanowi jako dokument przetargowy i kontraktowy przy zlecaniu i realizacji robót na drogach.</w:t>
      </w:r>
    </w:p>
    <w:p w:rsidR="00683496" w:rsidRDefault="00683496" w:rsidP="00683496">
      <w:pPr>
        <w:pStyle w:val="Nagwek2"/>
        <w:ind w:left="-142"/>
      </w:pPr>
      <w:r>
        <w:t>1.3. Zakres robót objętych SST</w:t>
      </w:r>
    </w:p>
    <w:p w:rsidR="00683496" w:rsidRDefault="00683496" w:rsidP="00683496">
      <w:pPr>
        <w:ind w:left="-142"/>
        <w:jc w:val="both"/>
      </w:pPr>
      <w:r>
        <w:rPr>
          <w:b/>
        </w:rPr>
        <w:tab/>
      </w:r>
      <w:r>
        <w:t>Ustalenia zawarte w niniejszej specyfikacji dotyczą zasad prowadzenia robót związanych z ustawieniem krawężników przy budowie dróg:</w:t>
      </w:r>
    </w:p>
    <w:p w:rsidR="00683496" w:rsidRDefault="00683496" w:rsidP="00683496">
      <w:pPr>
        <w:numPr>
          <w:ilvl w:val="0"/>
          <w:numId w:val="1"/>
        </w:numPr>
        <w:ind w:left="-142" w:firstLine="0"/>
        <w:jc w:val="both"/>
      </w:pPr>
      <w:r>
        <w:t xml:space="preserve">betonowych na ławie betonowej z oporem </w:t>
      </w:r>
    </w:p>
    <w:p w:rsidR="00683496" w:rsidRDefault="00683496" w:rsidP="00683496">
      <w:pPr>
        <w:numPr>
          <w:ilvl w:val="0"/>
          <w:numId w:val="1"/>
        </w:numPr>
        <w:ind w:left="-142" w:firstLine="0"/>
        <w:jc w:val="both"/>
      </w:pPr>
      <w:r>
        <w:t xml:space="preserve">betonowych wtopionych na ławie betonowej w miejscu przejść dla pieszych i zjazdów, </w:t>
      </w:r>
    </w:p>
    <w:p w:rsidR="00683496" w:rsidRDefault="00683496" w:rsidP="00683496">
      <w:pPr>
        <w:pStyle w:val="Nagwek2"/>
        <w:ind w:left="-142"/>
      </w:pPr>
      <w:r>
        <w:t>1.4. Określenia podstawowe</w:t>
      </w:r>
    </w:p>
    <w:p w:rsidR="00683496" w:rsidRDefault="00683496" w:rsidP="00683496">
      <w:pPr>
        <w:ind w:left="-142"/>
        <w:jc w:val="both"/>
      </w:pPr>
      <w:r>
        <w:rPr>
          <w:b/>
        </w:rPr>
        <w:t xml:space="preserve">1.4.1. </w:t>
      </w:r>
      <w:r>
        <w:t>Krawężniki betonowe - prefabrykowane belki betonowe ograniczające chodniki dla pieszych, oraz nawierzchnie drogowe.</w:t>
      </w:r>
    </w:p>
    <w:p w:rsidR="00683496" w:rsidRDefault="00683496" w:rsidP="00683496">
      <w:pPr>
        <w:spacing w:before="120"/>
        <w:ind w:left="-142"/>
        <w:jc w:val="both"/>
      </w:pPr>
      <w:r>
        <w:rPr>
          <w:b/>
        </w:rPr>
        <w:t xml:space="preserve">1.4.2. </w:t>
      </w:r>
      <w:r>
        <w:t>Pozostałe określenia podstawowe są zgodne z obowiązującymi, odpowiednimi polskimi normami i z definicjami podanymi w SST D-M-00.00.00 „Wymagania ogólne” pkt 1.4.</w:t>
      </w:r>
    </w:p>
    <w:p w:rsidR="00683496" w:rsidRDefault="00683496" w:rsidP="00683496">
      <w:pPr>
        <w:pStyle w:val="Nagwek2"/>
        <w:ind w:left="-142"/>
      </w:pPr>
      <w:r>
        <w:t>1.5. Ogólne wymagania dotyczące robót</w:t>
      </w:r>
    </w:p>
    <w:p w:rsidR="00683496" w:rsidRDefault="00683496" w:rsidP="00683496">
      <w:pPr>
        <w:ind w:left="-142"/>
        <w:jc w:val="both"/>
      </w:pPr>
      <w:r>
        <w:tab/>
        <w:t>Ogólne wymagania dotyczące robót podano w SST D-M-00.00.00 „Wymagania ogólne” pkt 1.5.</w:t>
      </w:r>
    </w:p>
    <w:p w:rsidR="00683496" w:rsidRDefault="00683496" w:rsidP="00683496">
      <w:pPr>
        <w:pStyle w:val="Nagwek1"/>
        <w:ind w:left="-142"/>
      </w:pPr>
      <w:bookmarkStart w:id="384" w:name="_Toc428323648"/>
      <w:bookmarkStart w:id="385" w:name="_Toc428759422"/>
      <w:r>
        <w:t>2. MATERIAŁY</w:t>
      </w:r>
      <w:bookmarkEnd w:id="384"/>
      <w:bookmarkEnd w:id="385"/>
    </w:p>
    <w:p w:rsidR="00683496" w:rsidRDefault="00683496" w:rsidP="00683496">
      <w:pPr>
        <w:pStyle w:val="Nagwek2"/>
        <w:ind w:left="-142"/>
      </w:pPr>
      <w:r>
        <w:t>2.1. Ogólne wymagania dotyczące materiałów</w:t>
      </w:r>
    </w:p>
    <w:p w:rsidR="00683496" w:rsidRDefault="00683496" w:rsidP="00683496">
      <w:pPr>
        <w:ind w:left="-142"/>
        <w:jc w:val="both"/>
      </w:pPr>
      <w:r>
        <w:tab/>
        <w:t>Ogólne wymagania dotyczące materiałów, ich pozyskiwania i składowania, podano w  SST D-M-00.00.00 „Wymagania ogólne” pkt 2.</w:t>
      </w:r>
    </w:p>
    <w:p w:rsidR="00683496" w:rsidRDefault="00683496" w:rsidP="00683496">
      <w:pPr>
        <w:pStyle w:val="Nagwek2"/>
        <w:ind w:left="-142"/>
      </w:pPr>
      <w:r>
        <w:t>2.2. Stosowane materiały</w:t>
      </w:r>
    </w:p>
    <w:p w:rsidR="00683496" w:rsidRDefault="00683496" w:rsidP="00683496">
      <w:pPr>
        <w:ind w:left="-142"/>
        <w:jc w:val="both"/>
      </w:pPr>
      <w:r>
        <w:tab/>
        <w:t>Materiałami stosowanymi są:</w:t>
      </w:r>
    </w:p>
    <w:p w:rsidR="00683496" w:rsidRDefault="00683496" w:rsidP="00683496">
      <w:pPr>
        <w:numPr>
          <w:ilvl w:val="0"/>
          <w:numId w:val="1"/>
        </w:numPr>
        <w:ind w:left="-142" w:firstLine="0"/>
        <w:jc w:val="both"/>
      </w:pPr>
      <w:r>
        <w:t>krawężniki betonowe,</w:t>
      </w:r>
    </w:p>
    <w:p w:rsidR="00683496" w:rsidRDefault="00683496" w:rsidP="00683496">
      <w:pPr>
        <w:numPr>
          <w:ilvl w:val="0"/>
          <w:numId w:val="1"/>
        </w:numPr>
        <w:ind w:left="-142" w:firstLine="0"/>
        <w:jc w:val="both"/>
      </w:pPr>
      <w:r>
        <w:t>piasek na podsypkę i do zapraw,</w:t>
      </w:r>
    </w:p>
    <w:p w:rsidR="00683496" w:rsidRDefault="00683496" w:rsidP="00683496">
      <w:pPr>
        <w:numPr>
          <w:ilvl w:val="0"/>
          <w:numId w:val="1"/>
        </w:numPr>
        <w:ind w:left="-142" w:firstLine="0"/>
        <w:jc w:val="both"/>
      </w:pPr>
      <w:r>
        <w:t>cement do podsypki i zapraw,</w:t>
      </w:r>
    </w:p>
    <w:p w:rsidR="00683496" w:rsidRDefault="00683496" w:rsidP="00683496">
      <w:pPr>
        <w:numPr>
          <w:ilvl w:val="0"/>
          <w:numId w:val="1"/>
        </w:numPr>
        <w:ind w:left="-142" w:firstLine="0"/>
        <w:jc w:val="both"/>
      </w:pPr>
      <w:r>
        <w:t>woda,</w:t>
      </w:r>
    </w:p>
    <w:p w:rsidR="00683496" w:rsidRDefault="00683496" w:rsidP="00683496">
      <w:pPr>
        <w:numPr>
          <w:ilvl w:val="0"/>
          <w:numId w:val="1"/>
        </w:numPr>
        <w:ind w:left="-142" w:firstLine="0"/>
        <w:jc w:val="both"/>
      </w:pPr>
      <w:r>
        <w:t>beton do wykonania ławy pod krawężniki.</w:t>
      </w:r>
    </w:p>
    <w:p w:rsidR="00683496" w:rsidRDefault="00683496" w:rsidP="00683496">
      <w:pPr>
        <w:pStyle w:val="Nagwek2"/>
        <w:ind w:left="-142"/>
      </w:pPr>
      <w:r>
        <w:t>2.3. Krawężniki betonowe - klasyfikacja</w:t>
      </w:r>
    </w:p>
    <w:p w:rsidR="00683496" w:rsidRDefault="00683496" w:rsidP="00683496">
      <w:pPr>
        <w:ind w:left="-142"/>
        <w:jc w:val="both"/>
      </w:pPr>
      <w:r>
        <w:tab/>
        <w:t>Klasyfikacja jest zgodna z BN-80/6775-03/01 [14].</w:t>
      </w:r>
    </w:p>
    <w:p w:rsidR="00683496" w:rsidRDefault="00683496" w:rsidP="00683496">
      <w:pPr>
        <w:spacing w:before="120"/>
        <w:ind w:left="-142"/>
        <w:jc w:val="both"/>
      </w:pPr>
      <w:r>
        <w:rPr>
          <w:b/>
        </w:rPr>
        <w:t xml:space="preserve">2.3.1. </w:t>
      </w:r>
      <w:r>
        <w:t>Typy</w:t>
      </w:r>
    </w:p>
    <w:p w:rsidR="00683496" w:rsidRDefault="00683496" w:rsidP="00683496">
      <w:pPr>
        <w:spacing w:before="120"/>
        <w:ind w:left="-142"/>
        <w:jc w:val="both"/>
      </w:pPr>
      <w:r>
        <w:tab/>
        <w:t>W zależności od przeznaczenia rozróżnia się następujące typy krawężników betonowych:</w:t>
      </w:r>
    </w:p>
    <w:p w:rsidR="00683496" w:rsidRDefault="00683496" w:rsidP="00683496">
      <w:pPr>
        <w:ind w:left="-142"/>
        <w:jc w:val="both"/>
      </w:pPr>
      <w:r>
        <w:t>U   -   uliczne,</w:t>
      </w:r>
    </w:p>
    <w:p w:rsidR="00683496" w:rsidRDefault="00683496" w:rsidP="00683496">
      <w:pPr>
        <w:ind w:left="-142"/>
        <w:jc w:val="both"/>
      </w:pPr>
      <w:r>
        <w:t>D   -   drogowe.</w:t>
      </w:r>
    </w:p>
    <w:p w:rsidR="00683496" w:rsidRDefault="00683496" w:rsidP="00683496">
      <w:pPr>
        <w:ind w:left="-142"/>
        <w:jc w:val="both"/>
      </w:pPr>
      <w:r>
        <w:t>W projekcie przyjęto krawężnik uliczny</w:t>
      </w:r>
    </w:p>
    <w:p w:rsidR="00683496" w:rsidRDefault="00683496" w:rsidP="00683496">
      <w:pPr>
        <w:spacing w:before="120"/>
        <w:ind w:left="-142"/>
        <w:jc w:val="both"/>
      </w:pPr>
      <w:r>
        <w:rPr>
          <w:b/>
        </w:rPr>
        <w:t xml:space="preserve">2.3.2. </w:t>
      </w:r>
      <w:r>
        <w:t>Rodzaje</w:t>
      </w:r>
    </w:p>
    <w:p w:rsidR="00683496" w:rsidRDefault="00683496" w:rsidP="00683496">
      <w:pPr>
        <w:spacing w:before="120"/>
        <w:ind w:left="-142"/>
        <w:jc w:val="both"/>
      </w:pPr>
      <w:r>
        <w:tab/>
        <w:t>W zależności od kształtu przekroju poprzecznego rozróżnia się następujące rodzaje krawężników betonowych:</w:t>
      </w:r>
    </w:p>
    <w:p w:rsidR="00683496" w:rsidRDefault="00683496" w:rsidP="00683496">
      <w:pPr>
        <w:numPr>
          <w:ilvl w:val="0"/>
          <w:numId w:val="1"/>
        </w:numPr>
        <w:ind w:left="-142" w:firstLine="0"/>
        <w:jc w:val="both"/>
      </w:pPr>
      <w:r>
        <w:t>prostokątne ścięte  - rodzaj „a”,</w:t>
      </w:r>
    </w:p>
    <w:p w:rsidR="00683496" w:rsidRDefault="00683496" w:rsidP="00683496">
      <w:pPr>
        <w:numPr>
          <w:ilvl w:val="0"/>
          <w:numId w:val="1"/>
        </w:numPr>
        <w:ind w:left="-142" w:firstLine="0"/>
        <w:jc w:val="both"/>
      </w:pPr>
      <w:r>
        <w:t>prostokątne</w:t>
      </w:r>
      <w:r>
        <w:tab/>
        <w:t xml:space="preserve">        - rodzaj „b”.</w:t>
      </w:r>
    </w:p>
    <w:p w:rsidR="00683496" w:rsidRDefault="00683496" w:rsidP="00683496">
      <w:pPr>
        <w:numPr>
          <w:ilvl w:val="0"/>
          <w:numId w:val="1"/>
        </w:numPr>
        <w:ind w:left="-142" w:firstLine="0"/>
        <w:jc w:val="both"/>
      </w:pPr>
      <w:r>
        <w:t>W projekcie przyjęto prostokątne ścięte - "a"</w:t>
      </w:r>
    </w:p>
    <w:p w:rsidR="00683496" w:rsidRDefault="00683496" w:rsidP="00683496">
      <w:pPr>
        <w:spacing w:before="120"/>
        <w:ind w:left="-142"/>
        <w:jc w:val="both"/>
      </w:pPr>
      <w:r>
        <w:rPr>
          <w:b/>
        </w:rPr>
        <w:t xml:space="preserve">2.3.3. </w:t>
      </w:r>
      <w:r>
        <w:t>Odmiany</w:t>
      </w:r>
    </w:p>
    <w:p w:rsidR="00683496" w:rsidRDefault="00683496" w:rsidP="00683496">
      <w:pPr>
        <w:spacing w:before="120"/>
        <w:ind w:left="-142"/>
        <w:jc w:val="both"/>
      </w:pPr>
      <w:r>
        <w:lastRenderedPageBreak/>
        <w:tab/>
        <w:t>W zależności od technologii i produkcji krawężników betonowych, rozróżnia się odmiany:</w:t>
      </w:r>
    </w:p>
    <w:p w:rsidR="00683496" w:rsidRDefault="00683496" w:rsidP="00683496">
      <w:pPr>
        <w:ind w:left="-142"/>
        <w:jc w:val="both"/>
      </w:pPr>
      <w:r>
        <w:t>1 - krawężnik betonowy jednowarstwowy,</w:t>
      </w:r>
    </w:p>
    <w:p w:rsidR="00683496" w:rsidRDefault="00683496" w:rsidP="00683496">
      <w:pPr>
        <w:ind w:left="-142"/>
        <w:jc w:val="both"/>
      </w:pPr>
      <w:r>
        <w:t>2 - krawężnik betonowy dwuwarstwowy.</w:t>
      </w:r>
    </w:p>
    <w:p w:rsidR="00683496" w:rsidRDefault="00683496" w:rsidP="00683496">
      <w:pPr>
        <w:spacing w:before="120"/>
        <w:ind w:left="-142"/>
        <w:jc w:val="both"/>
        <w:rPr>
          <w:b/>
        </w:rPr>
      </w:pPr>
    </w:p>
    <w:p w:rsidR="00683496" w:rsidRDefault="00683496" w:rsidP="00683496">
      <w:pPr>
        <w:spacing w:before="120"/>
        <w:ind w:left="-142"/>
        <w:jc w:val="both"/>
      </w:pPr>
      <w:r>
        <w:rPr>
          <w:b/>
        </w:rPr>
        <w:t xml:space="preserve">2.3.4. </w:t>
      </w:r>
      <w:r>
        <w:t>Gatunki</w:t>
      </w:r>
    </w:p>
    <w:p w:rsidR="00683496" w:rsidRDefault="00683496" w:rsidP="00683496">
      <w:pPr>
        <w:spacing w:before="120"/>
        <w:ind w:left="-142"/>
        <w:jc w:val="both"/>
      </w:pPr>
      <w:r>
        <w:tab/>
        <w:t>W zależności od dopuszczalnych wad, uszkodzeń krawężniki betonowe dzieli się na:</w:t>
      </w:r>
    </w:p>
    <w:p w:rsidR="00683496" w:rsidRDefault="00683496" w:rsidP="00683496">
      <w:pPr>
        <w:numPr>
          <w:ilvl w:val="0"/>
          <w:numId w:val="1"/>
        </w:numPr>
        <w:ind w:left="-142" w:firstLine="0"/>
        <w:jc w:val="both"/>
      </w:pPr>
      <w:r>
        <w:t>gatunek 1 - G1,</w:t>
      </w:r>
    </w:p>
    <w:p w:rsidR="00683496" w:rsidRDefault="00683496" w:rsidP="00683496">
      <w:pPr>
        <w:numPr>
          <w:ilvl w:val="0"/>
          <w:numId w:val="1"/>
        </w:numPr>
        <w:ind w:left="-142" w:firstLine="0"/>
        <w:jc w:val="both"/>
      </w:pPr>
      <w:r>
        <w:t>gatunek 2 - G2.</w:t>
      </w:r>
    </w:p>
    <w:p w:rsidR="00683496" w:rsidRDefault="00683496" w:rsidP="00683496">
      <w:pPr>
        <w:ind w:left="-142"/>
        <w:jc w:val="both"/>
      </w:pPr>
      <w:r>
        <w:tab/>
        <w:t xml:space="preserve">Przykład oznaczenia krawężnika betonowego ulicznego (U), prostokątnego (b), jednowarstwowego (1) o wymiarach 12 x 15 x 100 cm, gat. 1: Ub-1/12/15/100                     BN-80/6775-03/04 [15]. </w:t>
      </w:r>
    </w:p>
    <w:p w:rsidR="00683496" w:rsidRDefault="00683496" w:rsidP="00683496">
      <w:pPr>
        <w:ind w:left="-142"/>
        <w:jc w:val="both"/>
      </w:pPr>
      <w:r>
        <w:t>Do wbudowania należy użyć krawężników gatunku 1.</w:t>
      </w:r>
    </w:p>
    <w:p w:rsidR="00683496" w:rsidRDefault="00683496" w:rsidP="00683496">
      <w:pPr>
        <w:pStyle w:val="Nagwek2"/>
        <w:ind w:left="-142"/>
      </w:pPr>
      <w:r>
        <w:t>2.4. Krawężniki betonowe - wymagania techniczne</w:t>
      </w:r>
    </w:p>
    <w:p w:rsidR="00683496" w:rsidRDefault="00683496" w:rsidP="00683496">
      <w:pPr>
        <w:ind w:left="-142"/>
        <w:jc w:val="both"/>
      </w:pPr>
      <w:r>
        <w:rPr>
          <w:b/>
        </w:rPr>
        <w:t xml:space="preserve">2.4.1. </w:t>
      </w:r>
      <w:r>
        <w:t>Kształt i wymiary</w:t>
      </w:r>
    </w:p>
    <w:p w:rsidR="00683496" w:rsidRDefault="00683496" w:rsidP="00683496">
      <w:pPr>
        <w:spacing w:before="120"/>
        <w:ind w:left="-142"/>
        <w:jc w:val="both"/>
      </w:pPr>
      <w:r>
        <w:tab/>
        <w:t>Kształt krawężników betonowych przedstawiono na rysunku 1, a wymiary podano w tablicy 1.</w:t>
      </w:r>
    </w:p>
    <w:p w:rsidR="00683496" w:rsidRDefault="00683496" w:rsidP="00683496">
      <w:pPr>
        <w:ind w:left="-142"/>
        <w:jc w:val="both"/>
      </w:pPr>
      <w:r>
        <w:t>Wymiary krawężników betonowych podano w tablicy 1.</w:t>
      </w:r>
    </w:p>
    <w:p w:rsidR="00683496" w:rsidRDefault="00683496" w:rsidP="00683496">
      <w:pPr>
        <w:ind w:left="-142"/>
        <w:jc w:val="both"/>
      </w:pPr>
      <w:r>
        <w:t>Dopuszczalne odchyłki wymiarów krawężników betonowych podano w tablicy 2.</w:t>
      </w:r>
    </w:p>
    <w:p w:rsidR="00683496" w:rsidRDefault="00683496" w:rsidP="00683496">
      <w:pPr>
        <w:spacing w:before="120"/>
        <w:ind w:left="-142"/>
        <w:jc w:val="both"/>
      </w:pPr>
      <w:r>
        <w:t>a) krawężnik rodzaju „a”</w:t>
      </w:r>
    </w:p>
    <w:p w:rsidR="00683496" w:rsidRDefault="00683496" w:rsidP="00683496">
      <w:pPr>
        <w:framePr w:hSpace="141" w:wrap="around" w:vAnchor="text" w:hAnchor="page" w:x="2587" w:y="201"/>
        <w:ind w:left="-142"/>
        <w:jc w:val="both"/>
      </w:pPr>
      <w:r>
        <w:rPr>
          <w:noProof/>
        </w:rPr>
        <w:drawing>
          <wp:inline distT="0" distB="0" distL="0" distR="0" wp14:anchorId="7A938414" wp14:editId="083EF006">
            <wp:extent cx="2564765" cy="1124585"/>
            <wp:effectExtent l="0" t="0" r="6985"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64765" cy="1124585"/>
                    </a:xfrm>
                    <a:prstGeom prst="rect">
                      <a:avLst/>
                    </a:prstGeom>
                    <a:noFill/>
                    <a:ln>
                      <a:noFill/>
                    </a:ln>
                  </pic:spPr>
                </pic:pic>
              </a:graphicData>
            </a:graphic>
          </wp:inline>
        </w:drawing>
      </w: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jc w:val="both"/>
      </w:pPr>
    </w:p>
    <w:p w:rsidR="00683496" w:rsidRDefault="00683496" w:rsidP="00683496">
      <w:pPr>
        <w:ind w:left="-142"/>
        <w:jc w:val="both"/>
      </w:pPr>
      <w:r>
        <w:t>b) krawężnik rodzaju „b”</w:t>
      </w:r>
    </w:p>
    <w:p w:rsidR="00683496" w:rsidRDefault="00683496" w:rsidP="00683496">
      <w:pPr>
        <w:framePr w:hSpace="141" w:wrap="around" w:vAnchor="text" w:hAnchor="page" w:x="2947" w:y="99"/>
        <w:ind w:left="-142"/>
        <w:jc w:val="both"/>
      </w:pPr>
      <w:r>
        <w:rPr>
          <w:noProof/>
        </w:rPr>
        <w:drawing>
          <wp:inline distT="0" distB="0" distL="0" distR="0" wp14:anchorId="718ADA49" wp14:editId="76E526FD">
            <wp:extent cx="2375535" cy="1124585"/>
            <wp:effectExtent l="0" t="0" r="5715"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75535" cy="1124585"/>
                    </a:xfrm>
                    <a:prstGeom prst="rect">
                      <a:avLst/>
                    </a:prstGeom>
                    <a:noFill/>
                    <a:ln>
                      <a:noFill/>
                    </a:ln>
                  </pic:spPr>
                </pic:pic>
              </a:graphicData>
            </a:graphic>
          </wp:inline>
        </w:drawing>
      </w: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r>
        <w:t>c) wpusty na powierzchniach stykowych krawężników</w:t>
      </w:r>
    </w:p>
    <w:p w:rsidR="00683496" w:rsidRDefault="00683496" w:rsidP="00683496">
      <w:pPr>
        <w:framePr w:hSpace="141" w:wrap="around" w:vAnchor="text" w:hAnchor="page" w:x="2887" w:y="122"/>
        <w:ind w:left="-142"/>
        <w:jc w:val="both"/>
      </w:pPr>
      <w:r>
        <w:rPr>
          <w:noProof/>
        </w:rPr>
        <w:drawing>
          <wp:inline distT="0" distB="0" distL="0" distR="0" wp14:anchorId="5015BD82" wp14:editId="6D13F8F8">
            <wp:extent cx="2059940" cy="91440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59940" cy="914400"/>
                    </a:xfrm>
                    <a:prstGeom prst="rect">
                      <a:avLst/>
                    </a:prstGeom>
                    <a:noFill/>
                    <a:ln>
                      <a:noFill/>
                    </a:ln>
                  </pic:spPr>
                </pic:pic>
              </a:graphicData>
            </a:graphic>
          </wp:inline>
        </w:drawing>
      </w: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pPr>
    </w:p>
    <w:p w:rsidR="00683496" w:rsidRDefault="00683496" w:rsidP="00683496">
      <w:pPr>
        <w:ind w:left="-142"/>
        <w:jc w:val="both"/>
        <w:outlineLvl w:val="0"/>
      </w:pPr>
      <w:r>
        <w:t>Rys. 1. Wymiarowanie krawężników</w:t>
      </w:r>
    </w:p>
    <w:p w:rsidR="00683496" w:rsidRDefault="00683496" w:rsidP="00683496">
      <w:pPr>
        <w:spacing w:before="120" w:after="120"/>
        <w:ind w:left="-142"/>
        <w:jc w:val="both"/>
      </w:pPr>
      <w:r>
        <w:t>Tablica 1. Wymiary krawężników betonowych</w:t>
      </w:r>
    </w:p>
    <w:tbl>
      <w:tblPr>
        <w:tblW w:w="0" w:type="auto"/>
        <w:tblLayout w:type="fixed"/>
        <w:tblCellMar>
          <w:left w:w="70" w:type="dxa"/>
          <w:right w:w="70" w:type="dxa"/>
        </w:tblCellMar>
        <w:tblLook w:val="0000" w:firstRow="0" w:lastRow="0" w:firstColumn="0" w:lastColumn="0" w:noHBand="0" w:noVBand="0"/>
      </w:tblPr>
      <w:tblGrid>
        <w:gridCol w:w="1063"/>
        <w:gridCol w:w="1134"/>
        <w:gridCol w:w="704"/>
        <w:gridCol w:w="669"/>
        <w:gridCol w:w="668"/>
        <w:gridCol w:w="1088"/>
        <w:gridCol w:w="1088"/>
        <w:gridCol w:w="1088"/>
        <w:gridCol w:w="7"/>
      </w:tblGrid>
      <w:tr w:rsidR="00683496" w:rsidTr="00683496">
        <w:tc>
          <w:tcPr>
            <w:tcW w:w="1063" w:type="dxa"/>
            <w:tcBorders>
              <w:top w:val="single" w:sz="6" w:space="0" w:color="auto"/>
              <w:left w:val="single" w:sz="6" w:space="0" w:color="auto"/>
            </w:tcBorders>
          </w:tcPr>
          <w:p w:rsidR="00683496" w:rsidRDefault="00683496" w:rsidP="00683496">
            <w:pPr>
              <w:spacing w:before="120"/>
              <w:ind w:left="-142"/>
              <w:jc w:val="center"/>
            </w:pPr>
            <w:r>
              <w:t>Typ</w:t>
            </w:r>
          </w:p>
        </w:tc>
        <w:tc>
          <w:tcPr>
            <w:tcW w:w="1134" w:type="dxa"/>
            <w:tcBorders>
              <w:top w:val="single" w:sz="6" w:space="0" w:color="auto"/>
              <w:left w:val="single" w:sz="6" w:space="0" w:color="auto"/>
            </w:tcBorders>
          </w:tcPr>
          <w:p w:rsidR="00683496" w:rsidRDefault="00683496" w:rsidP="00683496">
            <w:pPr>
              <w:spacing w:before="120"/>
              <w:ind w:left="-142"/>
              <w:jc w:val="center"/>
            </w:pPr>
            <w:r>
              <w:t>Rodzaj</w:t>
            </w:r>
          </w:p>
        </w:tc>
        <w:tc>
          <w:tcPr>
            <w:tcW w:w="5312" w:type="dxa"/>
            <w:gridSpan w:val="7"/>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t>Wymiary krawężników,   cm</w:t>
            </w:r>
          </w:p>
        </w:tc>
      </w:tr>
      <w:tr w:rsidR="00683496" w:rsidTr="00683496">
        <w:trPr>
          <w:gridAfter w:val="1"/>
          <w:wAfter w:w="7" w:type="dxa"/>
        </w:trPr>
        <w:tc>
          <w:tcPr>
            <w:tcW w:w="1063" w:type="dxa"/>
            <w:tcBorders>
              <w:left w:val="single" w:sz="6" w:space="0" w:color="auto"/>
              <w:bottom w:val="double" w:sz="6" w:space="0" w:color="auto"/>
              <w:right w:val="single" w:sz="6" w:space="0" w:color="auto"/>
            </w:tcBorders>
          </w:tcPr>
          <w:p w:rsidR="00683496" w:rsidRDefault="00683496" w:rsidP="00683496">
            <w:pPr>
              <w:ind w:left="-142"/>
              <w:jc w:val="center"/>
            </w:pPr>
            <w:r>
              <w:t>krawężnika</w:t>
            </w:r>
          </w:p>
        </w:tc>
        <w:tc>
          <w:tcPr>
            <w:tcW w:w="1134" w:type="dxa"/>
            <w:tcBorders>
              <w:left w:val="nil"/>
              <w:bottom w:val="double" w:sz="6" w:space="0" w:color="auto"/>
            </w:tcBorders>
          </w:tcPr>
          <w:p w:rsidR="00683496" w:rsidRDefault="00683496" w:rsidP="00683496">
            <w:pPr>
              <w:ind w:left="-142"/>
              <w:jc w:val="center"/>
            </w:pPr>
            <w:r>
              <w:t>krawężnika</w:t>
            </w:r>
          </w:p>
        </w:tc>
        <w:tc>
          <w:tcPr>
            <w:tcW w:w="704" w:type="dxa"/>
            <w:tcBorders>
              <w:top w:val="single" w:sz="6" w:space="0" w:color="auto"/>
              <w:left w:val="single" w:sz="6" w:space="0" w:color="auto"/>
              <w:bottom w:val="double" w:sz="6" w:space="0" w:color="auto"/>
              <w:right w:val="single" w:sz="6" w:space="0" w:color="auto"/>
            </w:tcBorders>
          </w:tcPr>
          <w:p w:rsidR="00683496" w:rsidRDefault="00683496" w:rsidP="00683496">
            <w:pPr>
              <w:spacing w:before="60" w:after="60"/>
              <w:ind w:left="-142"/>
              <w:jc w:val="center"/>
            </w:pPr>
            <w:r>
              <w:t>l</w:t>
            </w:r>
          </w:p>
        </w:tc>
        <w:tc>
          <w:tcPr>
            <w:tcW w:w="669" w:type="dxa"/>
            <w:tcBorders>
              <w:top w:val="single" w:sz="6" w:space="0" w:color="auto"/>
              <w:left w:val="single" w:sz="6" w:space="0" w:color="auto"/>
              <w:bottom w:val="double" w:sz="6" w:space="0" w:color="auto"/>
              <w:right w:val="single" w:sz="6" w:space="0" w:color="auto"/>
            </w:tcBorders>
          </w:tcPr>
          <w:p w:rsidR="00683496" w:rsidRDefault="00683496" w:rsidP="00683496">
            <w:pPr>
              <w:spacing w:before="60" w:after="60"/>
              <w:ind w:left="-142"/>
              <w:jc w:val="center"/>
            </w:pPr>
            <w:r>
              <w:t>b</w:t>
            </w:r>
          </w:p>
        </w:tc>
        <w:tc>
          <w:tcPr>
            <w:tcW w:w="668" w:type="dxa"/>
            <w:tcBorders>
              <w:top w:val="single" w:sz="6" w:space="0" w:color="auto"/>
              <w:left w:val="single" w:sz="6" w:space="0" w:color="auto"/>
              <w:bottom w:val="double" w:sz="6" w:space="0" w:color="auto"/>
              <w:right w:val="single" w:sz="6" w:space="0" w:color="auto"/>
            </w:tcBorders>
          </w:tcPr>
          <w:p w:rsidR="00683496" w:rsidRDefault="00683496" w:rsidP="00683496">
            <w:pPr>
              <w:spacing w:before="60" w:after="60"/>
              <w:ind w:left="-142"/>
              <w:jc w:val="center"/>
            </w:pPr>
            <w:r>
              <w:t>h</w:t>
            </w:r>
          </w:p>
        </w:tc>
        <w:tc>
          <w:tcPr>
            <w:tcW w:w="1088" w:type="dxa"/>
            <w:tcBorders>
              <w:top w:val="single" w:sz="6" w:space="0" w:color="auto"/>
              <w:left w:val="single" w:sz="6" w:space="0" w:color="auto"/>
              <w:bottom w:val="double" w:sz="6" w:space="0" w:color="auto"/>
              <w:right w:val="single" w:sz="6" w:space="0" w:color="auto"/>
            </w:tcBorders>
          </w:tcPr>
          <w:p w:rsidR="00683496" w:rsidRDefault="00683496" w:rsidP="00683496">
            <w:pPr>
              <w:spacing w:before="60" w:after="60"/>
              <w:ind w:left="-142"/>
              <w:jc w:val="center"/>
            </w:pPr>
            <w:r>
              <w:t>c</w:t>
            </w:r>
          </w:p>
        </w:tc>
        <w:tc>
          <w:tcPr>
            <w:tcW w:w="1088" w:type="dxa"/>
            <w:tcBorders>
              <w:top w:val="single" w:sz="6" w:space="0" w:color="auto"/>
              <w:left w:val="single" w:sz="6" w:space="0" w:color="auto"/>
              <w:bottom w:val="double" w:sz="6" w:space="0" w:color="auto"/>
              <w:right w:val="single" w:sz="6" w:space="0" w:color="auto"/>
            </w:tcBorders>
          </w:tcPr>
          <w:p w:rsidR="00683496" w:rsidRDefault="00683496" w:rsidP="00683496">
            <w:pPr>
              <w:spacing w:before="60" w:after="60"/>
              <w:ind w:left="-142"/>
              <w:jc w:val="center"/>
            </w:pPr>
            <w:r>
              <w:t>d</w:t>
            </w:r>
          </w:p>
        </w:tc>
        <w:tc>
          <w:tcPr>
            <w:tcW w:w="1088" w:type="dxa"/>
            <w:tcBorders>
              <w:top w:val="single" w:sz="6" w:space="0" w:color="auto"/>
              <w:left w:val="single" w:sz="6" w:space="0" w:color="auto"/>
              <w:bottom w:val="double" w:sz="6" w:space="0" w:color="auto"/>
              <w:right w:val="single" w:sz="6" w:space="0" w:color="auto"/>
            </w:tcBorders>
          </w:tcPr>
          <w:p w:rsidR="00683496" w:rsidRDefault="00683496" w:rsidP="00683496">
            <w:pPr>
              <w:spacing w:before="60" w:after="60"/>
              <w:ind w:left="-142"/>
              <w:jc w:val="center"/>
            </w:pPr>
            <w:r>
              <w:t>r</w:t>
            </w:r>
          </w:p>
        </w:tc>
      </w:tr>
      <w:tr w:rsidR="00683496" w:rsidTr="00683496">
        <w:trPr>
          <w:gridAfter w:val="1"/>
          <w:wAfter w:w="7" w:type="dxa"/>
        </w:trPr>
        <w:tc>
          <w:tcPr>
            <w:tcW w:w="1063" w:type="dxa"/>
            <w:tcBorders>
              <w:left w:val="single" w:sz="6" w:space="0" w:color="auto"/>
              <w:bottom w:val="single" w:sz="6" w:space="0" w:color="auto"/>
              <w:right w:val="single" w:sz="6" w:space="0" w:color="auto"/>
            </w:tcBorders>
          </w:tcPr>
          <w:p w:rsidR="00683496" w:rsidRDefault="00683496" w:rsidP="00683496">
            <w:pPr>
              <w:spacing w:before="180"/>
              <w:ind w:left="-142"/>
              <w:jc w:val="center"/>
            </w:pPr>
            <w:r>
              <w:t>U</w:t>
            </w:r>
          </w:p>
        </w:tc>
        <w:tc>
          <w:tcPr>
            <w:tcW w:w="1134" w:type="dxa"/>
            <w:tcBorders>
              <w:left w:val="single" w:sz="6" w:space="0" w:color="auto"/>
              <w:bottom w:val="single" w:sz="6" w:space="0" w:color="auto"/>
            </w:tcBorders>
          </w:tcPr>
          <w:p w:rsidR="00683496" w:rsidRDefault="00683496" w:rsidP="00683496">
            <w:pPr>
              <w:spacing w:before="180"/>
              <w:ind w:left="-142"/>
              <w:jc w:val="center"/>
            </w:pPr>
            <w:r>
              <w:t>a</w:t>
            </w:r>
          </w:p>
        </w:tc>
        <w:tc>
          <w:tcPr>
            <w:tcW w:w="704" w:type="dxa"/>
            <w:tcBorders>
              <w:left w:val="single" w:sz="6" w:space="0" w:color="auto"/>
              <w:bottom w:val="single" w:sz="6" w:space="0" w:color="auto"/>
              <w:right w:val="single" w:sz="6" w:space="0" w:color="auto"/>
            </w:tcBorders>
          </w:tcPr>
          <w:p w:rsidR="00683496" w:rsidRDefault="00683496" w:rsidP="00683496">
            <w:pPr>
              <w:spacing w:before="180"/>
              <w:ind w:left="-142"/>
              <w:jc w:val="center"/>
            </w:pPr>
            <w:r>
              <w:t>100</w:t>
            </w:r>
          </w:p>
        </w:tc>
        <w:tc>
          <w:tcPr>
            <w:tcW w:w="669" w:type="dxa"/>
            <w:tcBorders>
              <w:left w:val="single" w:sz="6" w:space="0" w:color="auto"/>
              <w:bottom w:val="single" w:sz="6" w:space="0" w:color="auto"/>
              <w:right w:val="single" w:sz="6" w:space="0" w:color="auto"/>
            </w:tcBorders>
          </w:tcPr>
          <w:p w:rsidR="00683496" w:rsidRDefault="00683496" w:rsidP="00683496">
            <w:pPr>
              <w:spacing w:before="60"/>
              <w:ind w:left="-142"/>
              <w:jc w:val="center"/>
            </w:pPr>
            <w:r>
              <w:t>20</w:t>
            </w:r>
          </w:p>
          <w:p w:rsidR="00683496" w:rsidRDefault="00683496" w:rsidP="00683496">
            <w:pPr>
              <w:spacing w:after="60"/>
              <w:ind w:left="-142"/>
              <w:jc w:val="center"/>
            </w:pPr>
            <w:r>
              <w:t>15</w:t>
            </w:r>
          </w:p>
        </w:tc>
        <w:tc>
          <w:tcPr>
            <w:tcW w:w="668" w:type="dxa"/>
            <w:tcBorders>
              <w:left w:val="single" w:sz="6" w:space="0" w:color="auto"/>
              <w:bottom w:val="single" w:sz="6" w:space="0" w:color="auto"/>
              <w:right w:val="single" w:sz="6" w:space="0" w:color="auto"/>
            </w:tcBorders>
          </w:tcPr>
          <w:p w:rsidR="00683496" w:rsidRDefault="00683496" w:rsidP="00683496">
            <w:pPr>
              <w:spacing w:before="60"/>
              <w:ind w:left="-142"/>
              <w:jc w:val="center"/>
            </w:pPr>
            <w:r>
              <w:t>30</w:t>
            </w:r>
          </w:p>
        </w:tc>
        <w:tc>
          <w:tcPr>
            <w:tcW w:w="1088" w:type="dxa"/>
            <w:tcBorders>
              <w:left w:val="single" w:sz="6" w:space="0" w:color="auto"/>
              <w:bottom w:val="single" w:sz="6" w:space="0" w:color="auto"/>
              <w:right w:val="single" w:sz="6" w:space="0" w:color="auto"/>
            </w:tcBorders>
          </w:tcPr>
          <w:p w:rsidR="00683496" w:rsidRDefault="00683496" w:rsidP="00683496">
            <w:pPr>
              <w:spacing w:before="60"/>
              <w:ind w:left="-142"/>
              <w:jc w:val="center"/>
            </w:pPr>
            <w:r>
              <w:t>min. 3</w:t>
            </w:r>
          </w:p>
          <w:p w:rsidR="00683496" w:rsidRDefault="00683496" w:rsidP="00683496">
            <w:pPr>
              <w:ind w:left="-142"/>
              <w:jc w:val="center"/>
            </w:pPr>
            <w:r>
              <w:t>max. 7</w:t>
            </w:r>
          </w:p>
        </w:tc>
        <w:tc>
          <w:tcPr>
            <w:tcW w:w="1088" w:type="dxa"/>
            <w:tcBorders>
              <w:left w:val="single" w:sz="6" w:space="0" w:color="auto"/>
              <w:bottom w:val="single" w:sz="6" w:space="0" w:color="auto"/>
              <w:right w:val="single" w:sz="6" w:space="0" w:color="auto"/>
            </w:tcBorders>
          </w:tcPr>
          <w:p w:rsidR="00683496" w:rsidRDefault="00683496" w:rsidP="00683496">
            <w:pPr>
              <w:spacing w:before="60"/>
              <w:ind w:left="-142"/>
              <w:jc w:val="center"/>
            </w:pPr>
            <w:r>
              <w:t>min. 12</w:t>
            </w:r>
          </w:p>
          <w:p w:rsidR="00683496" w:rsidRDefault="00683496" w:rsidP="00683496">
            <w:pPr>
              <w:ind w:left="-142"/>
              <w:jc w:val="center"/>
            </w:pPr>
            <w:r>
              <w:t>max. 15</w:t>
            </w:r>
          </w:p>
        </w:tc>
        <w:tc>
          <w:tcPr>
            <w:tcW w:w="1088" w:type="dxa"/>
            <w:tcBorders>
              <w:left w:val="single" w:sz="6" w:space="0" w:color="auto"/>
              <w:bottom w:val="single" w:sz="6" w:space="0" w:color="auto"/>
              <w:right w:val="single" w:sz="6" w:space="0" w:color="auto"/>
            </w:tcBorders>
          </w:tcPr>
          <w:p w:rsidR="00683496" w:rsidRDefault="00683496" w:rsidP="00683496">
            <w:pPr>
              <w:spacing w:before="180"/>
              <w:ind w:left="-142"/>
              <w:jc w:val="center"/>
            </w:pPr>
            <w:r>
              <w:t>1,0</w:t>
            </w:r>
          </w:p>
        </w:tc>
      </w:tr>
      <w:tr w:rsidR="00683496" w:rsidTr="00683496">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rsidR="00683496" w:rsidRDefault="00683496" w:rsidP="00683496">
            <w:pPr>
              <w:ind w:left="-142"/>
              <w:jc w:val="center"/>
            </w:pPr>
          </w:p>
          <w:p w:rsidR="00683496" w:rsidRDefault="00683496" w:rsidP="00683496">
            <w:pPr>
              <w:spacing w:before="60"/>
              <w:ind w:left="-142"/>
              <w:jc w:val="center"/>
            </w:pPr>
            <w:r>
              <w:t>D</w:t>
            </w:r>
          </w:p>
        </w:tc>
        <w:tc>
          <w:tcPr>
            <w:tcW w:w="1134" w:type="dxa"/>
            <w:tcBorders>
              <w:top w:val="single" w:sz="6" w:space="0" w:color="auto"/>
              <w:left w:val="single" w:sz="6" w:space="0" w:color="auto"/>
              <w:bottom w:val="single" w:sz="6" w:space="0" w:color="auto"/>
            </w:tcBorders>
          </w:tcPr>
          <w:p w:rsidR="00683496" w:rsidRDefault="00683496" w:rsidP="00683496">
            <w:pPr>
              <w:ind w:left="-142"/>
              <w:jc w:val="center"/>
            </w:pPr>
          </w:p>
          <w:p w:rsidR="00683496" w:rsidRDefault="00683496" w:rsidP="00683496">
            <w:pPr>
              <w:spacing w:before="60"/>
              <w:ind w:left="-142"/>
              <w:jc w:val="center"/>
            </w:pPr>
            <w:r>
              <w:t>b</w:t>
            </w:r>
          </w:p>
        </w:tc>
        <w:tc>
          <w:tcPr>
            <w:tcW w:w="704" w:type="dxa"/>
            <w:tcBorders>
              <w:top w:val="single" w:sz="6" w:space="0" w:color="auto"/>
              <w:left w:val="single" w:sz="6" w:space="0" w:color="auto"/>
              <w:bottom w:val="single" w:sz="6" w:space="0" w:color="auto"/>
              <w:right w:val="single" w:sz="6" w:space="0" w:color="auto"/>
            </w:tcBorders>
          </w:tcPr>
          <w:p w:rsidR="00683496" w:rsidRDefault="00683496" w:rsidP="00683496">
            <w:pPr>
              <w:ind w:left="-142"/>
              <w:jc w:val="center"/>
            </w:pPr>
          </w:p>
          <w:p w:rsidR="00683496" w:rsidRDefault="00683496" w:rsidP="00683496">
            <w:pPr>
              <w:spacing w:before="60"/>
              <w:ind w:left="-142"/>
              <w:jc w:val="center"/>
            </w:pPr>
            <w:r>
              <w:t>100</w:t>
            </w:r>
          </w:p>
        </w:tc>
        <w:tc>
          <w:tcPr>
            <w:tcW w:w="669"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ind w:left="-142"/>
              <w:jc w:val="center"/>
            </w:pPr>
            <w:r>
              <w:t>15</w:t>
            </w:r>
          </w:p>
          <w:p w:rsidR="00683496" w:rsidRDefault="00683496" w:rsidP="00683496">
            <w:pPr>
              <w:ind w:left="-142"/>
              <w:jc w:val="center"/>
            </w:pPr>
            <w:r>
              <w:t>12</w:t>
            </w:r>
          </w:p>
          <w:p w:rsidR="00683496" w:rsidRDefault="00683496" w:rsidP="00683496">
            <w:pPr>
              <w:ind w:left="-142"/>
              <w:jc w:val="center"/>
            </w:pPr>
            <w:r>
              <w:t>10</w:t>
            </w:r>
          </w:p>
        </w:tc>
        <w:tc>
          <w:tcPr>
            <w:tcW w:w="668"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ind w:left="-142"/>
              <w:jc w:val="center"/>
            </w:pPr>
            <w:r>
              <w:t>20</w:t>
            </w:r>
          </w:p>
          <w:p w:rsidR="00683496" w:rsidRDefault="00683496" w:rsidP="00683496">
            <w:pPr>
              <w:ind w:left="-142"/>
              <w:jc w:val="center"/>
            </w:pPr>
            <w:r>
              <w:t>25</w:t>
            </w:r>
          </w:p>
          <w:p w:rsidR="00683496" w:rsidRDefault="00683496" w:rsidP="00683496">
            <w:pPr>
              <w:spacing w:after="60"/>
              <w:ind w:left="-142"/>
              <w:jc w:val="center"/>
            </w:pPr>
            <w:r>
              <w:t>25</w:t>
            </w:r>
          </w:p>
        </w:tc>
        <w:tc>
          <w:tcPr>
            <w:tcW w:w="1088" w:type="dxa"/>
            <w:tcBorders>
              <w:top w:val="single" w:sz="6" w:space="0" w:color="auto"/>
              <w:left w:val="single" w:sz="6" w:space="0" w:color="auto"/>
              <w:bottom w:val="single" w:sz="6" w:space="0" w:color="auto"/>
              <w:right w:val="single" w:sz="6" w:space="0" w:color="auto"/>
            </w:tcBorders>
          </w:tcPr>
          <w:p w:rsidR="00683496" w:rsidRDefault="00683496" w:rsidP="00683496">
            <w:pPr>
              <w:ind w:left="-142"/>
              <w:jc w:val="center"/>
            </w:pPr>
          </w:p>
          <w:p w:rsidR="00683496" w:rsidRDefault="00683496" w:rsidP="00683496">
            <w:pPr>
              <w:spacing w:before="60"/>
              <w:ind w:left="-142"/>
              <w:jc w:val="center"/>
            </w:pPr>
            <w:r>
              <w:t>-</w:t>
            </w:r>
          </w:p>
        </w:tc>
        <w:tc>
          <w:tcPr>
            <w:tcW w:w="1088" w:type="dxa"/>
            <w:tcBorders>
              <w:top w:val="single" w:sz="6" w:space="0" w:color="auto"/>
              <w:left w:val="single" w:sz="6" w:space="0" w:color="auto"/>
              <w:bottom w:val="single" w:sz="6" w:space="0" w:color="auto"/>
              <w:right w:val="single" w:sz="6" w:space="0" w:color="auto"/>
            </w:tcBorders>
          </w:tcPr>
          <w:p w:rsidR="00683496" w:rsidRDefault="00683496" w:rsidP="00683496">
            <w:pPr>
              <w:ind w:left="-142"/>
              <w:jc w:val="center"/>
            </w:pPr>
          </w:p>
          <w:p w:rsidR="00683496" w:rsidRDefault="00683496" w:rsidP="00683496">
            <w:pPr>
              <w:spacing w:before="60"/>
              <w:ind w:left="-142"/>
              <w:jc w:val="center"/>
            </w:pPr>
            <w:r>
              <w:t>-</w:t>
            </w:r>
          </w:p>
        </w:tc>
        <w:tc>
          <w:tcPr>
            <w:tcW w:w="1088" w:type="dxa"/>
            <w:tcBorders>
              <w:top w:val="single" w:sz="6" w:space="0" w:color="auto"/>
              <w:left w:val="single" w:sz="6" w:space="0" w:color="auto"/>
              <w:bottom w:val="single" w:sz="6" w:space="0" w:color="auto"/>
              <w:right w:val="single" w:sz="6" w:space="0" w:color="auto"/>
            </w:tcBorders>
          </w:tcPr>
          <w:p w:rsidR="00683496" w:rsidRDefault="00683496" w:rsidP="00683496">
            <w:pPr>
              <w:ind w:left="-142"/>
              <w:jc w:val="center"/>
            </w:pPr>
          </w:p>
          <w:p w:rsidR="00683496" w:rsidRDefault="00683496" w:rsidP="00683496">
            <w:pPr>
              <w:spacing w:before="60"/>
              <w:ind w:left="-142"/>
              <w:jc w:val="center"/>
            </w:pPr>
            <w:r>
              <w:t>1,0</w:t>
            </w:r>
          </w:p>
        </w:tc>
      </w:tr>
    </w:tbl>
    <w:p w:rsidR="00683496" w:rsidRDefault="00683496" w:rsidP="00683496">
      <w:pPr>
        <w:spacing w:before="120" w:after="120"/>
        <w:ind w:left="-142"/>
        <w:jc w:val="both"/>
      </w:pPr>
    </w:p>
    <w:p w:rsidR="00683496" w:rsidRDefault="00683496" w:rsidP="00683496">
      <w:pPr>
        <w:spacing w:before="120" w:after="120"/>
        <w:ind w:left="-142"/>
        <w:jc w:val="both"/>
        <w:outlineLvl w:val="0"/>
      </w:pPr>
      <w:r>
        <w:t>Tablica 2. Dopuszczalne odchyłki wymiarów krawężników betonowych</w:t>
      </w:r>
    </w:p>
    <w:tbl>
      <w:tblPr>
        <w:tblW w:w="0" w:type="auto"/>
        <w:tblInd w:w="70" w:type="dxa"/>
        <w:tblLayout w:type="fixed"/>
        <w:tblCellMar>
          <w:left w:w="70" w:type="dxa"/>
          <w:right w:w="70" w:type="dxa"/>
        </w:tblCellMar>
        <w:tblLook w:val="0000" w:firstRow="0" w:lastRow="0" w:firstColumn="0" w:lastColumn="0" w:noHBand="0" w:noVBand="0"/>
      </w:tblPr>
      <w:tblGrid>
        <w:gridCol w:w="1701"/>
        <w:gridCol w:w="2190"/>
        <w:gridCol w:w="1921"/>
      </w:tblGrid>
      <w:tr w:rsidR="00683496" w:rsidTr="00683496">
        <w:tc>
          <w:tcPr>
            <w:tcW w:w="1701" w:type="dxa"/>
            <w:tcBorders>
              <w:top w:val="single" w:sz="6" w:space="0" w:color="auto"/>
              <w:left w:val="single" w:sz="6" w:space="0" w:color="auto"/>
            </w:tcBorders>
          </w:tcPr>
          <w:p w:rsidR="00683496" w:rsidRDefault="00683496" w:rsidP="00683496">
            <w:pPr>
              <w:spacing w:before="60"/>
              <w:ind w:left="-142"/>
              <w:jc w:val="center"/>
            </w:pPr>
            <w:r>
              <w:t>Rodzaj</w:t>
            </w:r>
          </w:p>
        </w:tc>
        <w:tc>
          <w:tcPr>
            <w:tcW w:w="4111" w:type="dxa"/>
            <w:gridSpan w:val="2"/>
            <w:tcBorders>
              <w:top w:val="single" w:sz="6" w:space="0" w:color="auto"/>
              <w:left w:val="single" w:sz="6" w:space="0" w:color="auto"/>
              <w:bottom w:val="single" w:sz="6" w:space="0" w:color="auto"/>
              <w:right w:val="single" w:sz="6" w:space="0" w:color="auto"/>
            </w:tcBorders>
          </w:tcPr>
          <w:p w:rsidR="00683496" w:rsidRDefault="00683496" w:rsidP="00683496">
            <w:pPr>
              <w:spacing w:before="60"/>
              <w:ind w:left="-142"/>
              <w:jc w:val="center"/>
            </w:pPr>
            <w:r>
              <w:t>Dopuszczalna odchyłka, mm</w:t>
            </w:r>
          </w:p>
        </w:tc>
      </w:tr>
      <w:tr w:rsidR="00683496" w:rsidTr="00683496">
        <w:tc>
          <w:tcPr>
            <w:tcW w:w="1701" w:type="dxa"/>
            <w:tcBorders>
              <w:left w:val="single" w:sz="6" w:space="0" w:color="auto"/>
              <w:bottom w:val="double" w:sz="6" w:space="0" w:color="auto"/>
            </w:tcBorders>
          </w:tcPr>
          <w:p w:rsidR="00683496" w:rsidRDefault="00683496" w:rsidP="00683496">
            <w:pPr>
              <w:spacing w:after="60"/>
              <w:ind w:left="-142"/>
              <w:jc w:val="center"/>
            </w:pPr>
            <w:r>
              <w:t>wymiaru</w:t>
            </w:r>
          </w:p>
        </w:tc>
        <w:tc>
          <w:tcPr>
            <w:tcW w:w="2190" w:type="dxa"/>
            <w:tcBorders>
              <w:top w:val="single" w:sz="6" w:space="0" w:color="auto"/>
              <w:left w:val="single" w:sz="6" w:space="0" w:color="auto"/>
              <w:bottom w:val="double" w:sz="6" w:space="0" w:color="auto"/>
              <w:right w:val="single" w:sz="6" w:space="0" w:color="auto"/>
            </w:tcBorders>
          </w:tcPr>
          <w:p w:rsidR="00683496" w:rsidRDefault="00683496" w:rsidP="00683496">
            <w:pPr>
              <w:spacing w:after="60"/>
              <w:ind w:left="-142"/>
              <w:jc w:val="center"/>
            </w:pPr>
            <w:r>
              <w:t>Gatunek 1</w:t>
            </w:r>
          </w:p>
        </w:tc>
        <w:tc>
          <w:tcPr>
            <w:tcW w:w="1921" w:type="dxa"/>
            <w:tcBorders>
              <w:top w:val="single" w:sz="6" w:space="0" w:color="auto"/>
              <w:left w:val="single" w:sz="6" w:space="0" w:color="auto"/>
              <w:bottom w:val="double" w:sz="6" w:space="0" w:color="auto"/>
              <w:right w:val="single" w:sz="6" w:space="0" w:color="auto"/>
            </w:tcBorders>
          </w:tcPr>
          <w:p w:rsidR="00683496" w:rsidRDefault="00683496" w:rsidP="00683496">
            <w:pPr>
              <w:spacing w:after="60"/>
              <w:ind w:left="-142"/>
              <w:jc w:val="center"/>
            </w:pPr>
            <w:r>
              <w:t>Gatunek 2</w:t>
            </w:r>
          </w:p>
        </w:tc>
      </w:tr>
      <w:tr w:rsidR="00683496" w:rsidTr="00683496">
        <w:tc>
          <w:tcPr>
            <w:tcW w:w="1701" w:type="dxa"/>
            <w:tcBorders>
              <w:left w:val="single" w:sz="6" w:space="0" w:color="auto"/>
              <w:bottom w:val="single" w:sz="6" w:space="0" w:color="auto"/>
              <w:right w:val="single" w:sz="6" w:space="0" w:color="auto"/>
            </w:tcBorders>
          </w:tcPr>
          <w:p w:rsidR="00683496" w:rsidRDefault="00683496" w:rsidP="00683496">
            <w:pPr>
              <w:spacing w:before="60" w:after="60"/>
              <w:ind w:left="-142"/>
              <w:jc w:val="center"/>
            </w:pPr>
            <w:r>
              <w:t>l</w:t>
            </w:r>
          </w:p>
        </w:tc>
        <w:tc>
          <w:tcPr>
            <w:tcW w:w="2190" w:type="dxa"/>
            <w:tcBorders>
              <w:left w:val="single" w:sz="6" w:space="0" w:color="auto"/>
              <w:bottom w:val="single" w:sz="6" w:space="0" w:color="auto"/>
              <w:right w:val="single" w:sz="6" w:space="0" w:color="auto"/>
            </w:tcBorders>
          </w:tcPr>
          <w:p w:rsidR="00683496" w:rsidRDefault="00683496" w:rsidP="00683496">
            <w:pPr>
              <w:spacing w:before="60" w:after="60"/>
              <w:ind w:left="-142"/>
              <w:jc w:val="center"/>
            </w:pPr>
            <w:r>
              <w:sym w:font="Symbol" w:char="F0B1"/>
            </w:r>
            <w:r>
              <w:t xml:space="preserve"> 8</w:t>
            </w:r>
          </w:p>
        </w:tc>
        <w:tc>
          <w:tcPr>
            <w:tcW w:w="1921" w:type="dxa"/>
            <w:tcBorders>
              <w:left w:val="single" w:sz="6" w:space="0" w:color="auto"/>
              <w:bottom w:val="single" w:sz="6" w:space="0" w:color="auto"/>
              <w:right w:val="single" w:sz="6" w:space="0" w:color="auto"/>
            </w:tcBorders>
          </w:tcPr>
          <w:p w:rsidR="00683496" w:rsidRDefault="00683496" w:rsidP="00683496">
            <w:pPr>
              <w:spacing w:before="60" w:after="60"/>
              <w:ind w:left="-142"/>
              <w:jc w:val="center"/>
            </w:pPr>
            <w:r>
              <w:sym w:font="Symbol" w:char="F0B1"/>
            </w:r>
            <w:r>
              <w:t xml:space="preserve"> 12</w:t>
            </w:r>
          </w:p>
        </w:tc>
      </w:tr>
      <w:tr w:rsidR="00683496" w:rsidTr="00683496">
        <w:tc>
          <w:tcPr>
            <w:tcW w:w="1701"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t>b,   h</w:t>
            </w:r>
          </w:p>
        </w:tc>
        <w:tc>
          <w:tcPr>
            <w:tcW w:w="2190"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sym w:font="Symbol" w:char="F0B1"/>
            </w:r>
            <w:r>
              <w:t xml:space="preserve"> 3</w:t>
            </w:r>
          </w:p>
        </w:tc>
        <w:tc>
          <w:tcPr>
            <w:tcW w:w="1921"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sym w:font="Symbol" w:char="F0B1"/>
            </w:r>
            <w:r>
              <w:t xml:space="preserve"> 3</w:t>
            </w:r>
          </w:p>
        </w:tc>
      </w:tr>
    </w:tbl>
    <w:p w:rsidR="00683496" w:rsidRDefault="00683496" w:rsidP="00683496">
      <w:pPr>
        <w:ind w:left="-142"/>
        <w:jc w:val="both"/>
        <w:rPr>
          <w:b/>
        </w:rPr>
      </w:pPr>
    </w:p>
    <w:p w:rsidR="00683496" w:rsidRDefault="00683496" w:rsidP="00683496">
      <w:pPr>
        <w:ind w:left="-142"/>
        <w:jc w:val="both"/>
        <w:outlineLvl w:val="0"/>
        <w:rPr>
          <w:i/>
        </w:rPr>
      </w:pPr>
      <w:r>
        <w:rPr>
          <w:i/>
        </w:rPr>
        <w:t>Zaprojektowano krawężnik U 100x15x30</w:t>
      </w:r>
    </w:p>
    <w:p w:rsidR="00683496" w:rsidRDefault="00683496" w:rsidP="00683496">
      <w:pPr>
        <w:spacing w:before="120"/>
        <w:ind w:left="-142"/>
        <w:jc w:val="both"/>
      </w:pPr>
      <w:r>
        <w:rPr>
          <w:b/>
        </w:rPr>
        <w:t xml:space="preserve">2.4.2. </w:t>
      </w:r>
      <w:r>
        <w:t>Dopuszczalne wady i uszkodzenia</w:t>
      </w:r>
    </w:p>
    <w:p w:rsidR="00683496" w:rsidRDefault="00683496" w:rsidP="00683496">
      <w:pPr>
        <w:spacing w:before="120"/>
        <w:ind w:left="-142"/>
        <w:jc w:val="both"/>
      </w:pPr>
      <w:r>
        <w:tab/>
        <w:t>Powierzchnie krawężników betonowych powinny być bez rys, pęknięć i ubytków betonu, o fakturze z formy lub zatartej. Krawędzie elementów powinny być równe i proste.</w:t>
      </w:r>
    </w:p>
    <w:p w:rsidR="00683496" w:rsidRDefault="00683496" w:rsidP="00683496">
      <w:pPr>
        <w:ind w:left="-142"/>
        <w:jc w:val="both"/>
      </w:pPr>
      <w:r>
        <w:tab/>
        <w:t>Dopuszczalne wady oraz uszkodzenia powierzchni i krawędzi elementów, zgodnie z BN-80/6775-03/01 [14], nie powinny przekraczać wartości podanych w tablicy 3.</w:t>
      </w:r>
    </w:p>
    <w:p w:rsidR="00683496" w:rsidRDefault="00683496" w:rsidP="00683496">
      <w:pPr>
        <w:spacing w:before="120" w:after="120"/>
        <w:ind w:left="-142"/>
        <w:jc w:val="both"/>
      </w:pPr>
      <w:r>
        <w:t>Tablica 3. Dopuszczalne wady i uszkodzenia krawężników betonowych</w:t>
      </w:r>
    </w:p>
    <w:tbl>
      <w:tblPr>
        <w:tblW w:w="0" w:type="auto"/>
        <w:tblLayout w:type="fixed"/>
        <w:tblCellMar>
          <w:left w:w="70" w:type="dxa"/>
          <w:right w:w="70" w:type="dxa"/>
        </w:tblCellMar>
        <w:tblLook w:val="0000" w:firstRow="0" w:lastRow="0" w:firstColumn="0" w:lastColumn="0" w:noHBand="0" w:noVBand="0"/>
      </w:tblPr>
      <w:tblGrid>
        <w:gridCol w:w="2055"/>
        <w:gridCol w:w="3260"/>
        <w:gridCol w:w="1098"/>
        <w:gridCol w:w="1098"/>
      </w:tblGrid>
      <w:tr w:rsidR="00683496" w:rsidTr="00683496">
        <w:tc>
          <w:tcPr>
            <w:tcW w:w="5315" w:type="dxa"/>
            <w:gridSpan w:val="2"/>
            <w:tcBorders>
              <w:top w:val="single" w:sz="6" w:space="0" w:color="auto"/>
              <w:left w:val="single" w:sz="6" w:space="0" w:color="auto"/>
            </w:tcBorders>
          </w:tcPr>
          <w:p w:rsidR="00683496" w:rsidRDefault="00683496" w:rsidP="00683496">
            <w:pPr>
              <w:ind w:left="-142"/>
              <w:jc w:val="center"/>
            </w:pPr>
          </w:p>
          <w:p w:rsidR="00683496" w:rsidRDefault="00683496" w:rsidP="00683496">
            <w:pPr>
              <w:spacing w:before="60"/>
              <w:ind w:left="-142"/>
              <w:jc w:val="center"/>
            </w:pPr>
            <w:r>
              <w:t>Rodzaj wad i uszkodzeń</w:t>
            </w:r>
          </w:p>
        </w:tc>
        <w:tc>
          <w:tcPr>
            <w:tcW w:w="2195" w:type="dxa"/>
            <w:gridSpan w:val="2"/>
            <w:tcBorders>
              <w:top w:val="single" w:sz="6" w:space="0" w:color="auto"/>
              <w:left w:val="single" w:sz="6" w:space="0" w:color="auto"/>
              <w:bottom w:val="single" w:sz="6" w:space="0" w:color="auto"/>
              <w:right w:val="single" w:sz="6" w:space="0" w:color="auto"/>
            </w:tcBorders>
          </w:tcPr>
          <w:p w:rsidR="00683496" w:rsidRDefault="00683496" w:rsidP="00683496">
            <w:pPr>
              <w:spacing w:before="60"/>
              <w:ind w:left="-142"/>
              <w:jc w:val="center"/>
            </w:pPr>
            <w:r>
              <w:t>Dopuszczalna wielkość wad i uszkodzeń</w:t>
            </w:r>
          </w:p>
        </w:tc>
      </w:tr>
      <w:tr w:rsidR="00683496" w:rsidTr="00683496">
        <w:tc>
          <w:tcPr>
            <w:tcW w:w="5315" w:type="dxa"/>
            <w:gridSpan w:val="2"/>
            <w:tcBorders>
              <w:left w:val="single" w:sz="6" w:space="0" w:color="auto"/>
              <w:bottom w:val="double" w:sz="6" w:space="0" w:color="auto"/>
            </w:tcBorders>
          </w:tcPr>
          <w:p w:rsidR="00683496" w:rsidRDefault="00683496" w:rsidP="00683496">
            <w:pPr>
              <w:ind w:left="-142"/>
              <w:jc w:val="center"/>
            </w:pPr>
          </w:p>
        </w:tc>
        <w:tc>
          <w:tcPr>
            <w:tcW w:w="1098" w:type="dxa"/>
            <w:tcBorders>
              <w:top w:val="single" w:sz="6" w:space="0" w:color="auto"/>
              <w:left w:val="single" w:sz="6" w:space="0" w:color="auto"/>
              <w:bottom w:val="double" w:sz="6" w:space="0" w:color="auto"/>
              <w:right w:val="single" w:sz="6" w:space="0" w:color="auto"/>
            </w:tcBorders>
          </w:tcPr>
          <w:p w:rsidR="00683496" w:rsidRDefault="00683496" w:rsidP="00683496">
            <w:pPr>
              <w:spacing w:after="60"/>
              <w:ind w:left="-142"/>
              <w:jc w:val="center"/>
            </w:pPr>
            <w:r>
              <w:t>Gatunek 1</w:t>
            </w:r>
          </w:p>
        </w:tc>
        <w:tc>
          <w:tcPr>
            <w:tcW w:w="1098" w:type="dxa"/>
            <w:tcBorders>
              <w:top w:val="single" w:sz="6" w:space="0" w:color="auto"/>
              <w:left w:val="single" w:sz="6" w:space="0" w:color="auto"/>
              <w:bottom w:val="double" w:sz="6" w:space="0" w:color="auto"/>
              <w:right w:val="single" w:sz="6" w:space="0" w:color="auto"/>
            </w:tcBorders>
          </w:tcPr>
          <w:p w:rsidR="00683496" w:rsidRDefault="00683496" w:rsidP="00683496">
            <w:pPr>
              <w:spacing w:after="60"/>
              <w:ind w:left="-142"/>
              <w:jc w:val="center"/>
            </w:pPr>
            <w:r>
              <w:t>Gatunek 2</w:t>
            </w:r>
          </w:p>
        </w:tc>
      </w:tr>
      <w:tr w:rsidR="00683496" w:rsidTr="00683496">
        <w:tc>
          <w:tcPr>
            <w:tcW w:w="5315" w:type="dxa"/>
            <w:gridSpan w:val="2"/>
            <w:tcBorders>
              <w:left w:val="single" w:sz="6" w:space="0" w:color="auto"/>
            </w:tcBorders>
          </w:tcPr>
          <w:p w:rsidR="00683496" w:rsidRDefault="00683496" w:rsidP="00683496">
            <w:pPr>
              <w:spacing w:before="60" w:after="60"/>
              <w:ind w:left="-142"/>
              <w:jc w:val="center"/>
            </w:pPr>
            <w:r>
              <w:t>Wklęsłość lub wypukłość powierzchni krawężników w mm</w:t>
            </w:r>
          </w:p>
        </w:tc>
        <w:tc>
          <w:tcPr>
            <w:tcW w:w="1098" w:type="dxa"/>
            <w:tcBorders>
              <w:left w:val="single" w:sz="6" w:space="0" w:color="auto"/>
              <w:bottom w:val="single" w:sz="6" w:space="0" w:color="auto"/>
              <w:right w:val="single" w:sz="6" w:space="0" w:color="auto"/>
            </w:tcBorders>
          </w:tcPr>
          <w:p w:rsidR="00683496" w:rsidRDefault="00683496" w:rsidP="00683496">
            <w:pPr>
              <w:spacing w:before="60" w:after="60"/>
              <w:ind w:left="-142"/>
              <w:jc w:val="center"/>
            </w:pPr>
            <w:r>
              <w:t>2</w:t>
            </w:r>
          </w:p>
        </w:tc>
        <w:tc>
          <w:tcPr>
            <w:tcW w:w="1098" w:type="dxa"/>
            <w:tcBorders>
              <w:left w:val="single" w:sz="6" w:space="0" w:color="auto"/>
              <w:bottom w:val="single" w:sz="6" w:space="0" w:color="auto"/>
              <w:right w:val="single" w:sz="6" w:space="0" w:color="auto"/>
            </w:tcBorders>
          </w:tcPr>
          <w:p w:rsidR="00683496" w:rsidRDefault="00683496" w:rsidP="00683496">
            <w:pPr>
              <w:spacing w:before="60" w:after="60"/>
              <w:ind w:left="-142"/>
              <w:jc w:val="center"/>
            </w:pPr>
            <w:r>
              <w:t>3</w:t>
            </w:r>
          </w:p>
        </w:tc>
      </w:tr>
      <w:tr w:rsidR="00683496" w:rsidTr="00683496">
        <w:tc>
          <w:tcPr>
            <w:tcW w:w="2055" w:type="dxa"/>
            <w:tcBorders>
              <w:top w:val="single" w:sz="6" w:space="0" w:color="auto"/>
              <w:left w:val="single" w:sz="6" w:space="0" w:color="auto"/>
            </w:tcBorders>
          </w:tcPr>
          <w:p w:rsidR="00683496" w:rsidRDefault="00683496" w:rsidP="00683496">
            <w:pPr>
              <w:spacing w:before="60"/>
              <w:jc w:val="both"/>
            </w:pPr>
            <w:r>
              <w:t>Szczerby i uszkodzenia</w:t>
            </w:r>
          </w:p>
          <w:p w:rsidR="00683496" w:rsidRDefault="00683496" w:rsidP="00683496">
            <w:pPr>
              <w:spacing w:after="60"/>
              <w:jc w:val="both"/>
            </w:pPr>
            <w:r>
              <w:t>krawędzi i naroży</w:t>
            </w:r>
          </w:p>
        </w:tc>
        <w:tc>
          <w:tcPr>
            <w:tcW w:w="3260"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jc w:val="both"/>
            </w:pPr>
            <w:r>
              <w:t>ograniczających powierzchnie górne (ścieralne),   mm</w:t>
            </w:r>
          </w:p>
        </w:tc>
        <w:tc>
          <w:tcPr>
            <w:tcW w:w="2194" w:type="dxa"/>
            <w:gridSpan w:val="2"/>
            <w:tcBorders>
              <w:top w:val="single" w:sz="6" w:space="0" w:color="auto"/>
              <w:left w:val="single" w:sz="6" w:space="0" w:color="auto"/>
              <w:bottom w:val="single" w:sz="6" w:space="0" w:color="auto"/>
              <w:right w:val="single" w:sz="6" w:space="0" w:color="auto"/>
            </w:tcBorders>
          </w:tcPr>
          <w:p w:rsidR="00683496" w:rsidRDefault="00683496" w:rsidP="00683496">
            <w:pPr>
              <w:spacing w:before="180"/>
              <w:ind w:left="-142"/>
              <w:jc w:val="center"/>
            </w:pPr>
            <w:r>
              <w:t>niedopuszczalne</w:t>
            </w:r>
          </w:p>
        </w:tc>
      </w:tr>
      <w:tr w:rsidR="00683496" w:rsidTr="00683496">
        <w:tc>
          <w:tcPr>
            <w:tcW w:w="2055" w:type="dxa"/>
            <w:tcBorders>
              <w:left w:val="single" w:sz="6" w:space="0" w:color="auto"/>
            </w:tcBorders>
          </w:tcPr>
          <w:p w:rsidR="00683496" w:rsidRDefault="00683496" w:rsidP="00683496">
            <w:pPr>
              <w:jc w:val="both"/>
            </w:pPr>
          </w:p>
        </w:tc>
        <w:tc>
          <w:tcPr>
            <w:tcW w:w="3260" w:type="dxa"/>
            <w:tcBorders>
              <w:top w:val="single" w:sz="6" w:space="0" w:color="auto"/>
              <w:left w:val="single" w:sz="6" w:space="0" w:color="auto"/>
              <w:right w:val="single" w:sz="6" w:space="0" w:color="auto"/>
            </w:tcBorders>
          </w:tcPr>
          <w:p w:rsidR="00683496" w:rsidRDefault="00683496" w:rsidP="00683496">
            <w:pPr>
              <w:spacing w:before="60"/>
              <w:jc w:val="both"/>
            </w:pPr>
            <w:r>
              <w:t>ograniczających pozostałe</w:t>
            </w:r>
          </w:p>
          <w:p w:rsidR="00683496" w:rsidRDefault="00683496" w:rsidP="00683496">
            <w:pPr>
              <w:spacing w:after="60"/>
              <w:jc w:val="both"/>
            </w:pPr>
            <w:r>
              <w:t>powierzchnie:</w:t>
            </w:r>
          </w:p>
        </w:tc>
        <w:tc>
          <w:tcPr>
            <w:tcW w:w="1098" w:type="dxa"/>
            <w:tcBorders>
              <w:top w:val="single" w:sz="6" w:space="0" w:color="auto"/>
              <w:left w:val="single" w:sz="6" w:space="0" w:color="auto"/>
              <w:right w:val="single" w:sz="6" w:space="0" w:color="auto"/>
            </w:tcBorders>
          </w:tcPr>
          <w:p w:rsidR="00683496" w:rsidRDefault="00683496" w:rsidP="00683496">
            <w:pPr>
              <w:ind w:left="-142"/>
              <w:jc w:val="center"/>
            </w:pPr>
          </w:p>
        </w:tc>
        <w:tc>
          <w:tcPr>
            <w:tcW w:w="1098" w:type="dxa"/>
            <w:tcBorders>
              <w:top w:val="single" w:sz="6" w:space="0" w:color="auto"/>
              <w:left w:val="single" w:sz="6" w:space="0" w:color="auto"/>
              <w:right w:val="single" w:sz="6" w:space="0" w:color="auto"/>
            </w:tcBorders>
          </w:tcPr>
          <w:p w:rsidR="00683496" w:rsidRDefault="00683496" w:rsidP="00683496">
            <w:pPr>
              <w:ind w:left="-142"/>
              <w:jc w:val="center"/>
            </w:pPr>
          </w:p>
        </w:tc>
      </w:tr>
      <w:tr w:rsidR="00683496" w:rsidTr="00683496">
        <w:tc>
          <w:tcPr>
            <w:tcW w:w="2055" w:type="dxa"/>
            <w:tcBorders>
              <w:left w:val="single" w:sz="6" w:space="0" w:color="auto"/>
            </w:tcBorders>
          </w:tcPr>
          <w:p w:rsidR="00683496" w:rsidRDefault="00683496" w:rsidP="00683496">
            <w:pPr>
              <w:spacing w:before="60" w:after="60"/>
              <w:jc w:val="both"/>
            </w:pPr>
          </w:p>
        </w:tc>
        <w:tc>
          <w:tcPr>
            <w:tcW w:w="3260" w:type="dxa"/>
            <w:tcBorders>
              <w:left w:val="single" w:sz="6" w:space="0" w:color="auto"/>
              <w:bottom w:val="single" w:sz="6" w:space="0" w:color="auto"/>
              <w:right w:val="single" w:sz="6" w:space="0" w:color="auto"/>
            </w:tcBorders>
          </w:tcPr>
          <w:p w:rsidR="00683496" w:rsidRDefault="00683496" w:rsidP="00683496">
            <w:pPr>
              <w:spacing w:before="60" w:after="60"/>
              <w:jc w:val="both"/>
            </w:pPr>
            <w:r>
              <w:t>- liczba max</w:t>
            </w:r>
          </w:p>
        </w:tc>
        <w:tc>
          <w:tcPr>
            <w:tcW w:w="1098" w:type="dxa"/>
            <w:tcBorders>
              <w:left w:val="single" w:sz="6" w:space="0" w:color="auto"/>
              <w:bottom w:val="single" w:sz="6" w:space="0" w:color="auto"/>
              <w:right w:val="single" w:sz="6" w:space="0" w:color="auto"/>
            </w:tcBorders>
          </w:tcPr>
          <w:p w:rsidR="00683496" w:rsidRDefault="00683496" w:rsidP="00683496">
            <w:pPr>
              <w:spacing w:before="60" w:after="60"/>
              <w:ind w:left="-142"/>
              <w:jc w:val="center"/>
            </w:pPr>
            <w:r>
              <w:t>2</w:t>
            </w:r>
          </w:p>
        </w:tc>
        <w:tc>
          <w:tcPr>
            <w:tcW w:w="1098" w:type="dxa"/>
            <w:tcBorders>
              <w:left w:val="single" w:sz="6" w:space="0" w:color="auto"/>
              <w:bottom w:val="single" w:sz="6" w:space="0" w:color="auto"/>
              <w:right w:val="single" w:sz="6" w:space="0" w:color="auto"/>
            </w:tcBorders>
          </w:tcPr>
          <w:p w:rsidR="00683496" w:rsidRDefault="00683496" w:rsidP="00683496">
            <w:pPr>
              <w:spacing w:before="60" w:after="60"/>
              <w:ind w:left="-142"/>
              <w:jc w:val="center"/>
            </w:pPr>
            <w:r>
              <w:t>2</w:t>
            </w:r>
          </w:p>
        </w:tc>
      </w:tr>
      <w:tr w:rsidR="00683496" w:rsidTr="00683496">
        <w:tc>
          <w:tcPr>
            <w:tcW w:w="2055" w:type="dxa"/>
            <w:tcBorders>
              <w:left w:val="single" w:sz="6" w:space="0" w:color="auto"/>
            </w:tcBorders>
          </w:tcPr>
          <w:p w:rsidR="00683496" w:rsidRDefault="00683496" w:rsidP="00683496">
            <w:pPr>
              <w:spacing w:before="60" w:after="60"/>
              <w:jc w:val="both"/>
            </w:pPr>
          </w:p>
        </w:tc>
        <w:tc>
          <w:tcPr>
            <w:tcW w:w="3260"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jc w:val="both"/>
            </w:pPr>
            <w:r>
              <w:t>- długość, mm, max</w:t>
            </w:r>
          </w:p>
        </w:tc>
        <w:tc>
          <w:tcPr>
            <w:tcW w:w="1098"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t>20</w:t>
            </w:r>
          </w:p>
        </w:tc>
        <w:tc>
          <w:tcPr>
            <w:tcW w:w="1098"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t>40</w:t>
            </w:r>
          </w:p>
        </w:tc>
      </w:tr>
      <w:tr w:rsidR="00683496" w:rsidTr="00683496">
        <w:tc>
          <w:tcPr>
            <w:tcW w:w="2055" w:type="dxa"/>
            <w:tcBorders>
              <w:left w:val="single" w:sz="6" w:space="0" w:color="auto"/>
              <w:bottom w:val="single" w:sz="6" w:space="0" w:color="auto"/>
            </w:tcBorders>
          </w:tcPr>
          <w:p w:rsidR="00683496" w:rsidRDefault="00683496" w:rsidP="00683496">
            <w:pPr>
              <w:spacing w:before="60" w:after="60"/>
              <w:jc w:val="both"/>
            </w:pPr>
          </w:p>
        </w:tc>
        <w:tc>
          <w:tcPr>
            <w:tcW w:w="3260"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jc w:val="both"/>
            </w:pPr>
            <w:r>
              <w:t>- głębokość, mm, max</w:t>
            </w:r>
          </w:p>
        </w:tc>
        <w:tc>
          <w:tcPr>
            <w:tcW w:w="1098"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t>6</w:t>
            </w:r>
          </w:p>
        </w:tc>
        <w:tc>
          <w:tcPr>
            <w:tcW w:w="1098"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ind w:left="-142"/>
              <w:jc w:val="center"/>
            </w:pPr>
            <w:r>
              <w:t>10</w:t>
            </w:r>
          </w:p>
        </w:tc>
      </w:tr>
    </w:tbl>
    <w:p w:rsidR="00683496" w:rsidRDefault="00683496" w:rsidP="00683496">
      <w:pPr>
        <w:ind w:left="-142"/>
        <w:jc w:val="both"/>
      </w:pPr>
    </w:p>
    <w:p w:rsidR="00683496" w:rsidRDefault="00683496" w:rsidP="00683496">
      <w:pPr>
        <w:spacing w:before="120"/>
        <w:ind w:left="-142"/>
        <w:jc w:val="both"/>
      </w:pPr>
      <w:r>
        <w:rPr>
          <w:b/>
        </w:rPr>
        <w:t xml:space="preserve">2.4.3. </w:t>
      </w:r>
      <w:r>
        <w:t>Składowanie</w:t>
      </w:r>
    </w:p>
    <w:p w:rsidR="00683496" w:rsidRDefault="00683496" w:rsidP="00683496">
      <w:pPr>
        <w:spacing w:before="120"/>
        <w:ind w:left="-142"/>
        <w:jc w:val="both"/>
      </w:pPr>
      <w:r>
        <w:tab/>
        <w:t>Krawężniki betonowe mogą być przechowywane na składowiskach otwartych, posegregowane według typów, rodzajów, odmian, gatunków i wielkości.</w:t>
      </w:r>
    </w:p>
    <w:p w:rsidR="00683496" w:rsidRDefault="00683496" w:rsidP="00683496">
      <w:pPr>
        <w:ind w:left="-142"/>
        <w:jc w:val="both"/>
      </w:pPr>
      <w:r>
        <w:tab/>
        <w:t>Krawężniki betonowe należy układać z zastosowaniem podkładek i przekładek drewnianych o wymiarach: grubość 2,5 cm, szerokość 5 cm, długość min. 5 cm większa niż szerokość krawężnika.</w:t>
      </w:r>
    </w:p>
    <w:p w:rsidR="00683496" w:rsidRDefault="00683496" w:rsidP="00683496">
      <w:pPr>
        <w:keepNext/>
        <w:spacing w:before="120"/>
        <w:ind w:left="-142"/>
        <w:jc w:val="both"/>
      </w:pPr>
      <w:r>
        <w:rPr>
          <w:b/>
        </w:rPr>
        <w:t xml:space="preserve">2.4.4. </w:t>
      </w:r>
      <w:r>
        <w:t>Beton i jego składniki</w:t>
      </w:r>
    </w:p>
    <w:p w:rsidR="00683496" w:rsidRDefault="00683496" w:rsidP="00683496">
      <w:pPr>
        <w:keepNext/>
        <w:spacing w:before="120"/>
        <w:ind w:left="-142"/>
        <w:jc w:val="both"/>
        <w:outlineLvl w:val="0"/>
      </w:pPr>
      <w:r>
        <w:rPr>
          <w:b/>
        </w:rPr>
        <w:t xml:space="preserve">2.4.4.1. </w:t>
      </w:r>
      <w:r>
        <w:t>Beton do produkcji krawężników</w:t>
      </w:r>
    </w:p>
    <w:p w:rsidR="00683496" w:rsidRDefault="00683496" w:rsidP="00683496">
      <w:pPr>
        <w:spacing w:before="120"/>
        <w:ind w:left="-142"/>
        <w:jc w:val="both"/>
      </w:pPr>
      <w:r>
        <w:tab/>
        <w:t>Do produkcji krawężników należy stosować beton wg PN-B-06250 [2], klasy B 30. W przypadku wykonywania krawężników dwuwarstwowych, górna (licowa) warstwa krawężników powinna być wykonana z betonu klasy B 30.</w:t>
      </w:r>
    </w:p>
    <w:p w:rsidR="00683496" w:rsidRDefault="00683496" w:rsidP="00683496">
      <w:pPr>
        <w:ind w:left="-142"/>
        <w:jc w:val="both"/>
      </w:pPr>
      <w:r>
        <w:tab/>
        <w:t>Beton użyty do produkcji krawężników powinien charakteryzować się:</w:t>
      </w:r>
    </w:p>
    <w:p w:rsidR="00683496" w:rsidRDefault="00683496" w:rsidP="00683496">
      <w:pPr>
        <w:numPr>
          <w:ilvl w:val="0"/>
          <w:numId w:val="1"/>
        </w:numPr>
        <w:ind w:left="-142" w:firstLine="0"/>
        <w:jc w:val="both"/>
      </w:pPr>
      <w:r>
        <w:t>nasiąkliwością, poniżej 4%,</w:t>
      </w:r>
    </w:p>
    <w:p w:rsidR="00683496" w:rsidRDefault="00683496" w:rsidP="00683496">
      <w:pPr>
        <w:numPr>
          <w:ilvl w:val="0"/>
          <w:numId w:val="1"/>
        </w:numPr>
        <w:ind w:left="-142" w:firstLine="0"/>
        <w:jc w:val="both"/>
      </w:pPr>
      <w:r>
        <w:t xml:space="preserve">ścieralnością na tarczy </w:t>
      </w:r>
      <w:proofErr w:type="spellStart"/>
      <w:r>
        <w:t>Boehmego</w:t>
      </w:r>
      <w:proofErr w:type="spellEnd"/>
      <w:r>
        <w:t>, dla gatunku 1: 3 mm</w:t>
      </w:r>
    </w:p>
    <w:p w:rsidR="00683496" w:rsidRDefault="00683496" w:rsidP="00683496">
      <w:pPr>
        <w:numPr>
          <w:ilvl w:val="0"/>
          <w:numId w:val="1"/>
        </w:numPr>
        <w:ind w:left="-142" w:firstLine="0"/>
        <w:jc w:val="both"/>
      </w:pPr>
      <w:r>
        <w:t>mrozoodpornością i wodoszczelnością, zgodnie z normą PN-B-06250 [2].</w:t>
      </w:r>
    </w:p>
    <w:p w:rsidR="00683496" w:rsidRDefault="00683496" w:rsidP="00683496">
      <w:pPr>
        <w:spacing w:before="120"/>
        <w:ind w:left="-142"/>
        <w:jc w:val="both"/>
        <w:outlineLvl w:val="0"/>
      </w:pPr>
      <w:r>
        <w:rPr>
          <w:b/>
        </w:rPr>
        <w:t xml:space="preserve">2.4.4.2. </w:t>
      </w:r>
      <w:r>
        <w:t xml:space="preserve"> Cement</w:t>
      </w:r>
    </w:p>
    <w:p w:rsidR="00683496" w:rsidRDefault="00683496" w:rsidP="00683496">
      <w:pPr>
        <w:spacing w:before="120"/>
        <w:ind w:left="-142"/>
        <w:jc w:val="both"/>
      </w:pPr>
      <w:r>
        <w:tab/>
        <w:t>Cement stosowany do betonu powinien być cementem portlandzkim klasy nie niższej niż „32,5” wg PN-B-19701 [10].</w:t>
      </w:r>
    </w:p>
    <w:p w:rsidR="00683496" w:rsidRDefault="00683496" w:rsidP="00683496">
      <w:pPr>
        <w:spacing w:before="120"/>
        <w:ind w:left="-142"/>
        <w:jc w:val="both"/>
      </w:pPr>
      <w:r>
        <w:tab/>
        <w:t>Przechowywanie cementu powinno być zgodne z BN-88/6731-08 [12].</w:t>
      </w:r>
    </w:p>
    <w:p w:rsidR="00683496" w:rsidRDefault="00683496" w:rsidP="00683496">
      <w:pPr>
        <w:spacing w:before="120"/>
        <w:ind w:left="-142"/>
        <w:jc w:val="both"/>
        <w:outlineLvl w:val="0"/>
      </w:pPr>
      <w:r>
        <w:rPr>
          <w:b/>
        </w:rPr>
        <w:t xml:space="preserve">2.4.4.3. </w:t>
      </w:r>
      <w:r>
        <w:t>Kruszywo</w:t>
      </w:r>
    </w:p>
    <w:p w:rsidR="00683496" w:rsidRDefault="00683496" w:rsidP="00683496">
      <w:pPr>
        <w:spacing w:before="120"/>
        <w:ind w:left="-142"/>
        <w:jc w:val="both"/>
      </w:pPr>
      <w:r>
        <w:tab/>
        <w:t>Kruszywo powinno odpowiadać wymaganiom PN-B-06712 [5].</w:t>
      </w:r>
    </w:p>
    <w:p w:rsidR="00683496" w:rsidRDefault="00683496" w:rsidP="00683496">
      <w:pPr>
        <w:ind w:left="-142"/>
        <w:jc w:val="both"/>
      </w:pPr>
      <w:r>
        <w:lastRenderedPageBreak/>
        <w:tab/>
        <w:t>Kruszywo należy przechowywać w warunkach zabezpieczających je przed zanieczyszczeniem, zmieszaniem z kruszywami innych asortymentów, gatunków i marek.</w:t>
      </w:r>
    </w:p>
    <w:p w:rsidR="00683496" w:rsidRDefault="00683496" w:rsidP="00683496">
      <w:pPr>
        <w:spacing w:before="120"/>
        <w:ind w:left="-142"/>
        <w:jc w:val="both"/>
        <w:outlineLvl w:val="0"/>
        <w:rPr>
          <w:b/>
        </w:rPr>
      </w:pPr>
    </w:p>
    <w:p w:rsidR="00683496" w:rsidRDefault="00683496" w:rsidP="00683496">
      <w:pPr>
        <w:spacing w:before="120"/>
        <w:ind w:left="-142"/>
        <w:jc w:val="both"/>
        <w:outlineLvl w:val="0"/>
      </w:pPr>
      <w:r>
        <w:rPr>
          <w:b/>
        </w:rPr>
        <w:t xml:space="preserve">2.4.4.4. </w:t>
      </w:r>
      <w:r>
        <w:t>Woda</w:t>
      </w:r>
    </w:p>
    <w:p w:rsidR="00683496" w:rsidRDefault="00683496" w:rsidP="00683496">
      <w:pPr>
        <w:spacing w:before="120"/>
        <w:ind w:left="-142"/>
        <w:jc w:val="both"/>
      </w:pPr>
      <w:r>
        <w:tab/>
        <w:t>Woda powinna być odmiany „1” i odpowiadać wymaganiom PN-B-32250 [11].</w:t>
      </w:r>
    </w:p>
    <w:p w:rsidR="00683496" w:rsidRDefault="00683496" w:rsidP="00683496">
      <w:pPr>
        <w:pStyle w:val="Nagwek2"/>
        <w:ind w:left="-142"/>
      </w:pPr>
      <w:r>
        <w:t>2.5. Materiały na podsypkę i do zapraw</w:t>
      </w:r>
    </w:p>
    <w:p w:rsidR="00683496" w:rsidRDefault="00683496" w:rsidP="00683496">
      <w:pPr>
        <w:ind w:left="-142"/>
        <w:jc w:val="both"/>
      </w:pPr>
      <w:r>
        <w:tab/>
        <w:t>Piasek na podsypkę cementowo-piaskową powinien odpowiadać wymaganiom PN-B-06712 [5], a do zaprawy cementowo-piaskowej PN-B-06711 [4].</w:t>
      </w:r>
    </w:p>
    <w:p w:rsidR="00683496" w:rsidRDefault="00683496" w:rsidP="00683496">
      <w:pPr>
        <w:ind w:left="-142"/>
        <w:jc w:val="both"/>
      </w:pPr>
      <w:r>
        <w:tab/>
        <w:t>Cement na podsypkę i do zaprawy cementowo-piaskowej powinien być cementem portlandzkim klasy nie mniejszej niż „32,5”, odpowiadający wymaganiom PN-B-19701 [10].</w:t>
      </w:r>
    </w:p>
    <w:p w:rsidR="00683496" w:rsidRDefault="00683496" w:rsidP="00683496">
      <w:pPr>
        <w:ind w:left="-142"/>
        <w:jc w:val="both"/>
      </w:pPr>
      <w:r>
        <w:tab/>
        <w:t>Woda powinna być odmiany „1” i odpowiadać wymaganiom PN-B-32250 [11].</w:t>
      </w:r>
    </w:p>
    <w:p w:rsidR="00683496" w:rsidRDefault="00683496" w:rsidP="00683496">
      <w:pPr>
        <w:pStyle w:val="Nagwek2"/>
        <w:ind w:left="-142"/>
      </w:pPr>
      <w:r>
        <w:t>2.6. Materiały na ławy</w:t>
      </w:r>
    </w:p>
    <w:p w:rsidR="00683496" w:rsidRDefault="00683496" w:rsidP="00683496">
      <w:pPr>
        <w:ind w:left="-142"/>
        <w:jc w:val="both"/>
      </w:pPr>
      <w:r>
        <w:tab/>
        <w:t>Do wykonania ław pod krawężniki należy stosować, dla:</w:t>
      </w:r>
    </w:p>
    <w:p w:rsidR="00683496" w:rsidRDefault="00683496" w:rsidP="002122BD">
      <w:pPr>
        <w:numPr>
          <w:ilvl w:val="0"/>
          <w:numId w:val="49"/>
        </w:numPr>
        <w:ind w:left="-142" w:firstLine="0"/>
        <w:jc w:val="both"/>
      </w:pPr>
      <w:r>
        <w:t>ławy betonowej - beton klasy B 15 , wg PN-B-06250 [2], którego składniki powinny odpowiadać wymaganiom punktu 2.4.4,</w:t>
      </w:r>
    </w:p>
    <w:p w:rsidR="00683496" w:rsidRDefault="00683496" w:rsidP="00683496">
      <w:pPr>
        <w:pStyle w:val="Nagwek2"/>
        <w:ind w:left="-142"/>
      </w:pPr>
      <w:r>
        <w:t>2.7. Masa zalewowa</w:t>
      </w:r>
    </w:p>
    <w:p w:rsidR="00683496" w:rsidRDefault="00683496" w:rsidP="00683496">
      <w:pPr>
        <w:ind w:left="-142"/>
        <w:jc w:val="both"/>
      </w:pPr>
      <w:r>
        <w:tab/>
        <w:t>Masa zalewowa, do wypełnienia szczelin dylatacyjnych na gorąco, powinna odpowiadać wymaganiom BN-74/6771-04 [13] lub aprobaty technicznej.</w:t>
      </w:r>
    </w:p>
    <w:p w:rsidR="00683496" w:rsidRDefault="00683496" w:rsidP="00683496">
      <w:pPr>
        <w:pStyle w:val="Nagwek1"/>
        <w:ind w:left="-142"/>
      </w:pPr>
      <w:bookmarkStart w:id="386" w:name="_Toc428239274"/>
      <w:bookmarkStart w:id="387" w:name="_Toc428759423"/>
      <w:r>
        <w:t>3. SPRZĘT</w:t>
      </w:r>
      <w:bookmarkEnd w:id="386"/>
      <w:bookmarkEnd w:id="387"/>
    </w:p>
    <w:p w:rsidR="00683496" w:rsidRDefault="00683496" w:rsidP="00683496">
      <w:pPr>
        <w:pStyle w:val="Nagwek2"/>
        <w:ind w:left="-142"/>
      </w:pPr>
      <w:r>
        <w:t>3.1. Ogólne wymagania dotyczące sprzętu</w:t>
      </w:r>
    </w:p>
    <w:p w:rsidR="00683496" w:rsidRDefault="00683496" w:rsidP="00683496">
      <w:pPr>
        <w:tabs>
          <w:tab w:val="right" w:leader="dot" w:pos="-1985"/>
          <w:tab w:val="left" w:pos="284"/>
        </w:tabs>
        <w:ind w:left="-142"/>
        <w:jc w:val="both"/>
      </w:pPr>
      <w:r>
        <w:rPr>
          <w:b/>
        </w:rPr>
        <w:tab/>
      </w:r>
      <w:r>
        <w:rPr>
          <w:b/>
        </w:rPr>
        <w:tab/>
      </w:r>
      <w:r>
        <w:t>Ogólne wymagania dotyczące sprzętu podano w SST D-M-00.00.00 „Wymagania ogólne” pkt 3.</w:t>
      </w:r>
    </w:p>
    <w:p w:rsidR="00683496" w:rsidRDefault="00683496" w:rsidP="00683496">
      <w:pPr>
        <w:pStyle w:val="Nagwek2"/>
        <w:ind w:left="-142"/>
      </w:pPr>
      <w:r>
        <w:t xml:space="preserve">3.2. Sprzęt </w:t>
      </w:r>
    </w:p>
    <w:p w:rsidR="00683496" w:rsidRDefault="00683496" w:rsidP="00683496">
      <w:pPr>
        <w:tabs>
          <w:tab w:val="right" w:leader="dot" w:pos="-1985"/>
          <w:tab w:val="left" w:pos="284"/>
        </w:tabs>
        <w:ind w:left="-142"/>
        <w:jc w:val="both"/>
      </w:pPr>
      <w:r>
        <w:rPr>
          <w:b/>
        </w:rPr>
        <w:tab/>
      </w:r>
      <w:r>
        <w:rPr>
          <w:b/>
        </w:rPr>
        <w:tab/>
      </w:r>
      <w:r>
        <w:t>Roboty wykonuje się ręcznie przy zastosowaniu:</w:t>
      </w:r>
    </w:p>
    <w:p w:rsidR="00683496" w:rsidRDefault="00683496" w:rsidP="00683496">
      <w:pPr>
        <w:numPr>
          <w:ilvl w:val="0"/>
          <w:numId w:val="1"/>
        </w:numPr>
        <w:tabs>
          <w:tab w:val="right" w:leader="dot" w:pos="-1985"/>
          <w:tab w:val="left" w:pos="284"/>
        </w:tabs>
        <w:ind w:left="-142" w:firstLine="0"/>
        <w:jc w:val="both"/>
      </w:pPr>
      <w:r>
        <w:t>betoniarek do wytwarzania betonu i zapraw oraz przygotowania podsypki cementowo-piaskowej,</w:t>
      </w:r>
    </w:p>
    <w:p w:rsidR="00683496" w:rsidRDefault="00683496" w:rsidP="00683496">
      <w:pPr>
        <w:numPr>
          <w:ilvl w:val="0"/>
          <w:numId w:val="1"/>
        </w:numPr>
        <w:tabs>
          <w:tab w:val="right" w:leader="dot" w:pos="-1985"/>
          <w:tab w:val="left" w:pos="284"/>
        </w:tabs>
        <w:ind w:left="-142" w:firstLine="0"/>
        <w:jc w:val="both"/>
      </w:pPr>
      <w:r>
        <w:t>wibratorów płytowych, ubijaków ręcznych lub mechanicznych.</w:t>
      </w:r>
    </w:p>
    <w:p w:rsidR="00683496" w:rsidRDefault="00683496" w:rsidP="00683496">
      <w:pPr>
        <w:pStyle w:val="Nagwek1"/>
        <w:ind w:left="-142"/>
      </w:pPr>
      <w:bookmarkStart w:id="388" w:name="_Toc428239275"/>
      <w:bookmarkStart w:id="389" w:name="_Toc428759424"/>
      <w:r>
        <w:t>4. TRANSPORT</w:t>
      </w:r>
      <w:bookmarkEnd w:id="388"/>
      <w:bookmarkEnd w:id="389"/>
    </w:p>
    <w:p w:rsidR="00683496" w:rsidRDefault="00683496" w:rsidP="00683496">
      <w:pPr>
        <w:pStyle w:val="Nagwek2"/>
        <w:ind w:left="-142"/>
      </w:pPr>
      <w:r>
        <w:t>4.1. Ogólne wymagania dotyczące transportu</w:t>
      </w:r>
    </w:p>
    <w:p w:rsidR="00683496" w:rsidRDefault="00683496" w:rsidP="00683496">
      <w:pPr>
        <w:tabs>
          <w:tab w:val="right" w:leader="dot" w:pos="-1985"/>
          <w:tab w:val="left" w:pos="284"/>
        </w:tabs>
        <w:ind w:left="-142"/>
        <w:jc w:val="both"/>
      </w:pPr>
      <w:r>
        <w:tab/>
      </w:r>
      <w:r>
        <w:tab/>
        <w:t>Ogólne wymagania dotyczące transportu podano w SST D-M-00.00.00 „Wymagania ogólne” pkt 4.</w:t>
      </w:r>
    </w:p>
    <w:p w:rsidR="00683496" w:rsidRDefault="00683496" w:rsidP="00683496">
      <w:pPr>
        <w:pStyle w:val="Nagwek2"/>
        <w:ind w:left="-142"/>
      </w:pPr>
      <w:r>
        <w:t>4.2. Transport krawężników</w:t>
      </w:r>
    </w:p>
    <w:p w:rsidR="00683496" w:rsidRDefault="00683496" w:rsidP="00683496">
      <w:pPr>
        <w:tabs>
          <w:tab w:val="right" w:leader="dot" w:pos="-1985"/>
          <w:tab w:val="left" w:pos="284"/>
        </w:tabs>
        <w:ind w:left="-142"/>
        <w:jc w:val="both"/>
      </w:pPr>
      <w:r>
        <w:rPr>
          <w:b/>
        </w:rPr>
        <w:tab/>
      </w:r>
      <w:r>
        <w:rPr>
          <w:b/>
        </w:rPr>
        <w:tab/>
      </w:r>
      <w:r>
        <w:t>Krawężniki betonowe mogą być przewożone dowolnymi środkami transportowymi.</w:t>
      </w:r>
    </w:p>
    <w:p w:rsidR="00683496" w:rsidRDefault="00683496" w:rsidP="00683496">
      <w:pPr>
        <w:tabs>
          <w:tab w:val="right" w:leader="dot" w:pos="-1985"/>
          <w:tab w:val="left" w:pos="284"/>
        </w:tabs>
        <w:ind w:left="-142"/>
        <w:jc w:val="both"/>
      </w:pPr>
      <w:r>
        <w:tab/>
      </w:r>
      <w:r>
        <w:tab/>
        <w:t>Krawężniki betonowe układać należy na środkach transportowych w pozycji pionowej z nachyleniem w kierunku jazdy.</w:t>
      </w:r>
    </w:p>
    <w:p w:rsidR="00683496" w:rsidRDefault="00683496" w:rsidP="00683496">
      <w:pPr>
        <w:tabs>
          <w:tab w:val="right" w:leader="dot" w:pos="-1985"/>
          <w:tab w:val="left" w:pos="284"/>
        </w:tabs>
        <w:ind w:left="-142"/>
        <w:jc w:val="both"/>
      </w:pPr>
      <w:r>
        <w:tab/>
      </w:r>
      <w:r>
        <w:tab/>
        <w:t>Krawężniki powinny być zabezpieczone przed przemieszczeniem się i uszkodzeniami w czasie transportu, a górna warstwa nie powinna wystawać poza ściany środka transportowego więcej niż 1/3 wysokości tej warstwy.</w:t>
      </w:r>
    </w:p>
    <w:p w:rsidR="00683496" w:rsidRDefault="00683496" w:rsidP="00683496">
      <w:pPr>
        <w:pStyle w:val="Nagwek2"/>
        <w:ind w:left="-142"/>
      </w:pPr>
      <w:r>
        <w:t>4.3. Transport pozostałych materiałów</w:t>
      </w:r>
    </w:p>
    <w:p w:rsidR="00683496" w:rsidRDefault="00683496" w:rsidP="00683496">
      <w:pPr>
        <w:ind w:left="-142"/>
        <w:jc w:val="both"/>
      </w:pPr>
      <w:r>
        <w:tab/>
        <w:t>Transport cementu powinien się odbywać w warunkach zgodnych z BN-88/6731-08 [12].</w:t>
      </w:r>
    </w:p>
    <w:p w:rsidR="00683496" w:rsidRDefault="00683496" w:rsidP="00683496">
      <w:pPr>
        <w:ind w:left="-142"/>
        <w:jc w:val="both"/>
      </w:pPr>
      <w: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683496" w:rsidRDefault="00683496" w:rsidP="00683496">
      <w:pPr>
        <w:ind w:left="-142"/>
        <w:jc w:val="both"/>
      </w:pPr>
      <w:r>
        <w:tab/>
        <w:t>Masę zalewową należy pakować w bębny blaszane lub beczki drewniane. Transport powinien odbywać się w warunkach zabezpieczających przed uszkodzeniem bębnów i beczek.</w:t>
      </w:r>
    </w:p>
    <w:p w:rsidR="00683496" w:rsidRDefault="00683496" w:rsidP="00683496">
      <w:pPr>
        <w:pStyle w:val="Nagwek1"/>
        <w:ind w:left="-142"/>
      </w:pPr>
      <w:bookmarkStart w:id="390" w:name="_Toc428239276"/>
      <w:bookmarkStart w:id="391" w:name="_Toc428759425"/>
      <w:r>
        <w:t>5. WYKONANIE ROBÓT</w:t>
      </w:r>
      <w:bookmarkEnd w:id="390"/>
      <w:bookmarkEnd w:id="391"/>
    </w:p>
    <w:p w:rsidR="00683496" w:rsidRDefault="00683496" w:rsidP="00683496">
      <w:pPr>
        <w:pStyle w:val="Nagwek2"/>
        <w:ind w:left="-142"/>
      </w:pPr>
      <w:r>
        <w:t>5.1. Ogólne zasady wykonania robót</w:t>
      </w:r>
    </w:p>
    <w:p w:rsidR="00683496" w:rsidRDefault="00683496" w:rsidP="00683496">
      <w:pPr>
        <w:ind w:left="-142"/>
        <w:jc w:val="both"/>
      </w:pPr>
      <w:r>
        <w:rPr>
          <w:b/>
        </w:rPr>
        <w:tab/>
      </w:r>
      <w:r>
        <w:t>Ogólne zasady wykonania robót podano w SST D-M-00.00.00 „Wymagania ogólne” pkt 5.</w:t>
      </w:r>
    </w:p>
    <w:p w:rsidR="00683496" w:rsidRDefault="00683496" w:rsidP="00683496">
      <w:pPr>
        <w:pStyle w:val="Nagwek2"/>
        <w:ind w:left="-142"/>
      </w:pPr>
      <w:r>
        <w:t>5.2. Wykonanie koryta pod ławy</w:t>
      </w:r>
    </w:p>
    <w:p w:rsidR="00683496" w:rsidRDefault="00683496" w:rsidP="00683496">
      <w:pPr>
        <w:ind w:left="-142"/>
        <w:jc w:val="both"/>
      </w:pPr>
      <w:r>
        <w:tab/>
        <w:t>Koryto pod ławy należy wykonywać zgodnie z PN-B-06050 [1].</w:t>
      </w:r>
    </w:p>
    <w:p w:rsidR="00683496" w:rsidRDefault="00683496" w:rsidP="00683496">
      <w:pPr>
        <w:ind w:left="-142"/>
        <w:jc w:val="both"/>
      </w:pPr>
      <w:r>
        <w:lastRenderedPageBreak/>
        <w:tab/>
        <w:t>Wymiary wykopu powinny odpowiadać wymiarom ławy w planie z uwzględnieniem w szerokości dna wykopu ew. konstrukcji szalunku.</w:t>
      </w:r>
    </w:p>
    <w:p w:rsidR="00683496" w:rsidRDefault="00683496" w:rsidP="00683496">
      <w:pPr>
        <w:ind w:left="-142"/>
        <w:jc w:val="both"/>
      </w:pPr>
      <w:r>
        <w:tab/>
        <w:t xml:space="preserve">Wskaźnik zagęszczenia dna wykonanego koryta pod ławę powinien wynosić co najmniej 0,97 według normalnej metody </w:t>
      </w:r>
      <w:proofErr w:type="spellStart"/>
      <w:r>
        <w:t>Proctora</w:t>
      </w:r>
      <w:proofErr w:type="spellEnd"/>
      <w:r>
        <w:t>.</w:t>
      </w:r>
    </w:p>
    <w:p w:rsidR="00683496" w:rsidRDefault="00683496" w:rsidP="00683496">
      <w:pPr>
        <w:pStyle w:val="Nagwek2"/>
        <w:ind w:left="-142"/>
      </w:pPr>
      <w:r>
        <w:t>5.3. Wykonanie ław</w:t>
      </w:r>
    </w:p>
    <w:p w:rsidR="00683496" w:rsidRDefault="00683496" w:rsidP="00683496">
      <w:pPr>
        <w:ind w:left="-142"/>
        <w:jc w:val="both"/>
      </w:pPr>
      <w:r>
        <w:tab/>
        <w:t>Wykonanie ław powinno być zgodne z BN-64/8845-02 [16].</w:t>
      </w:r>
    </w:p>
    <w:p w:rsidR="00683496" w:rsidRDefault="00683496" w:rsidP="00683496">
      <w:pPr>
        <w:spacing w:before="120"/>
        <w:ind w:left="-142"/>
        <w:jc w:val="both"/>
      </w:pPr>
      <w:r>
        <w:rPr>
          <w:b/>
        </w:rPr>
        <w:t xml:space="preserve">5.3.3. </w:t>
      </w:r>
      <w:r>
        <w:t>Ława betonowa</w:t>
      </w:r>
    </w:p>
    <w:p w:rsidR="00683496" w:rsidRDefault="00683496" w:rsidP="00683496">
      <w:pPr>
        <w:spacing w:before="120"/>
        <w:ind w:left="-142"/>
        <w:jc w:val="both"/>
      </w:pPr>
      <w:r>
        <w:tab/>
        <w:t>Ławy betonowe zwykłe w gruntach spoistych wykonuje się bez szalowania, przy gruntach sypkich należy stosować szalowanie.</w:t>
      </w:r>
    </w:p>
    <w:p w:rsidR="00683496" w:rsidRDefault="00683496" w:rsidP="00683496">
      <w:pPr>
        <w:ind w:left="-142"/>
        <w:jc w:val="both"/>
      </w:pPr>
      <w:r>
        <w:tab/>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683496" w:rsidRDefault="00683496" w:rsidP="00683496">
      <w:pPr>
        <w:ind w:left="-142"/>
        <w:jc w:val="both"/>
      </w:pPr>
      <w:r>
        <w:tab/>
      </w:r>
    </w:p>
    <w:p w:rsidR="00683496" w:rsidRDefault="00683496" w:rsidP="00683496">
      <w:pPr>
        <w:pStyle w:val="Nagwek2"/>
        <w:ind w:left="-142"/>
      </w:pPr>
      <w:r>
        <w:t>5.4. Ustawienie krawężników betonowych</w:t>
      </w:r>
    </w:p>
    <w:p w:rsidR="00683496" w:rsidRDefault="00683496" w:rsidP="00683496">
      <w:pPr>
        <w:ind w:left="-142"/>
        <w:jc w:val="both"/>
      </w:pPr>
      <w:r>
        <w:rPr>
          <w:b/>
        </w:rPr>
        <w:t xml:space="preserve">5.4.1. </w:t>
      </w:r>
      <w:r>
        <w:t>Zasady ustawiania krawężników</w:t>
      </w:r>
    </w:p>
    <w:p w:rsidR="00683496" w:rsidRDefault="00683496" w:rsidP="00683496">
      <w:pPr>
        <w:spacing w:before="120"/>
        <w:ind w:left="-142"/>
        <w:jc w:val="both"/>
      </w:pPr>
      <w:r>
        <w:tab/>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rsidR="00683496" w:rsidRDefault="00683496" w:rsidP="00683496">
      <w:pPr>
        <w:ind w:left="-142"/>
        <w:jc w:val="both"/>
      </w:pPr>
      <w:r>
        <w:tab/>
        <w:t>Zewnętrzna ściana krawężnika od strony chodnika powinna być po ustawieniu krawężnika obsypana piaskiem, żwirem, tłuczniem lub miejscowym gruntem przepuszczalnym, starannie ubitym.</w:t>
      </w:r>
    </w:p>
    <w:p w:rsidR="00683496" w:rsidRDefault="00683496" w:rsidP="00683496">
      <w:pPr>
        <w:ind w:left="-142"/>
        <w:jc w:val="both"/>
      </w:pPr>
      <w:r>
        <w:tab/>
        <w:t>Ustawienie krawężników powinno być zgodne z BN-64/8845-02 [16].</w:t>
      </w:r>
    </w:p>
    <w:p w:rsidR="00683496" w:rsidRDefault="00683496" w:rsidP="00683496">
      <w:pPr>
        <w:spacing w:before="120"/>
        <w:ind w:left="-142"/>
        <w:jc w:val="both"/>
      </w:pPr>
      <w:r>
        <w:rPr>
          <w:b/>
        </w:rPr>
        <w:t xml:space="preserve">5.4.3. </w:t>
      </w:r>
      <w:r>
        <w:t>Ustawienie krawężników na ławie betonowej</w:t>
      </w:r>
    </w:p>
    <w:p w:rsidR="00683496" w:rsidRDefault="00683496" w:rsidP="00683496">
      <w:pPr>
        <w:spacing w:before="120"/>
        <w:ind w:left="-142"/>
        <w:jc w:val="both"/>
      </w:pPr>
      <w:r>
        <w:tab/>
        <w:t>Ustawianie krawężników na ławie betonowej wykonuje się  na podsypce z piasku lub na podsypce cementowo-piaskowej o grubości 3 do 5 cm po zagęszczeniu.</w:t>
      </w:r>
    </w:p>
    <w:p w:rsidR="00683496" w:rsidRDefault="00683496" w:rsidP="00683496">
      <w:pPr>
        <w:spacing w:before="120"/>
        <w:ind w:left="-142"/>
        <w:jc w:val="both"/>
      </w:pPr>
      <w:r>
        <w:rPr>
          <w:b/>
        </w:rPr>
        <w:t xml:space="preserve">5.4.4. </w:t>
      </w:r>
      <w:r>
        <w:t>Wypełnianie spoin</w:t>
      </w:r>
    </w:p>
    <w:p w:rsidR="00683496" w:rsidRDefault="00683496" w:rsidP="00683496">
      <w:pPr>
        <w:spacing w:before="120"/>
        <w:ind w:left="-142"/>
        <w:jc w:val="both"/>
      </w:pPr>
      <w:r>
        <w:tab/>
        <w:t>Spoiny krawężników nie powinny przekraczać szerokości 1 cm. Spoiny należy wypełnić żwirem, piaskiem lub zaprawą cementowo-piaskową, przygotowaną w stosunku 1:2. Zalewanie spoin krawężników zaprawą cementowo-piaskową stosuje się wyłącznie do krawężników ustawionych na ławie betonowej.</w:t>
      </w:r>
    </w:p>
    <w:p w:rsidR="00683496" w:rsidRDefault="00683496" w:rsidP="00683496">
      <w:pPr>
        <w:ind w:left="-142"/>
        <w:jc w:val="both"/>
      </w:pPr>
      <w: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683496" w:rsidRDefault="00683496" w:rsidP="00683496">
      <w:pPr>
        <w:pStyle w:val="Nagwek1"/>
        <w:ind w:left="-142"/>
      </w:pPr>
      <w:bookmarkStart w:id="392" w:name="_Toc428759426"/>
      <w:r>
        <w:t>6. kontrola jakości robót</w:t>
      </w:r>
      <w:bookmarkEnd w:id="392"/>
    </w:p>
    <w:p w:rsidR="00683496" w:rsidRDefault="00683496" w:rsidP="00683496">
      <w:pPr>
        <w:pStyle w:val="Nagwek2"/>
        <w:ind w:left="-142"/>
      </w:pPr>
      <w:r>
        <w:t>6.1. Ogólne zasady kontroli jakości robót</w:t>
      </w:r>
    </w:p>
    <w:p w:rsidR="00683496" w:rsidRDefault="00683496" w:rsidP="00683496">
      <w:pPr>
        <w:ind w:left="-142"/>
        <w:jc w:val="both"/>
      </w:pPr>
      <w:r>
        <w:tab/>
        <w:t>Ogólne zasady kontroli jakości robót podano w SST D-M-00.00.00 „Wymagania ogólne” pkt 6.</w:t>
      </w:r>
    </w:p>
    <w:p w:rsidR="00683496" w:rsidRDefault="00683496" w:rsidP="00683496">
      <w:pPr>
        <w:pStyle w:val="Nagwek2"/>
        <w:ind w:left="-142"/>
      </w:pPr>
      <w:r>
        <w:t>6.2. Badania przed przystąpieniem do robót</w:t>
      </w:r>
    </w:p>
    <w:p w:rsidR="00683496" w:rsidRDefault="00683496" w:rsidP="00683496">
      <w:pPr>
        <w:spacing w:after="120"/>
        <w:ind w:left="-142"/>
        <w:jc w:val="both"/>
        <w:outlineLvl w:val="0"/>
      </w:pPr>
      <w:r>
        <w:rPr>
          <w:b/>
        </w:rPr>
        <w:t xml:space="preserve">6.2.1. </w:t>
      </w:r>
      <w:r>
        <w:t>Badania krawężników</w:t>
      </w:r>
    </w:p>
    <w:p w:rsidR="00683496" w:rsidRDefault="00683496" w:rsidP="00683496">
      <w:pPr>
        <w:ind w:left="-142"/>
        <w:jc w:val="both"/>
      </w:pPr>
      <w:r>
        <w:tab/>
        <w:t>Przed przystąpieniem do robót Wykonawca powinien wykonać badania materiałów przeznaczonych do ustawienia krawężników betonowych i przedstawić wyniki tych badań Inżynierowi  do akceptacji.</w:t>
      </w:r>
    </w:p>
    <w:p w:rsidR="00683496" w:rsidRDefault="00683496" w:rsidP="00683496">
      <w:pPr>
        <w:ind w:left="-142"/>
        <w:jc w:val="both"/>
      </w:pPr>
      <w: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rsidR="00683496" w:rsidRDefault="00683496" w:rsidP="00683496">
      <w:pPr>
        <w:ind w:left="-142"/>
        <w:jc w:val="both"/>
      </w:pPr>
      <w: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683496" w:rsidRDefault="00683496" w:rsidP="00683496">
      <w:pPr>
        <w:keepNext/>
        <w:spacing w:before="120"/>
        <w:ind w:left="-142"/>
        <w:jc w:val="both"/>
      </w:pPr>
      <w:r>
        <w:rPr>
          <w:b/>
        </w:rPr>
        <w:t xml:space="preserve">6.2.2. </w:t>
      </w:r>
      <w:r>
        <w:t>Badania pozostałych materiałów</w:t>
      </w:r>
    </w:p>
    <w:p w:rsidR="00683496" w:rsidRDefault="00683496" w:rsidP="00683496">
      <w:pPr>
        <w:spacing w:before="120"/>
        <w:ind w:left="-142"/>
        <w:jc w:val="both"/>
      </w:pPr>
      <w:r>
        <w:tab/>
        <w:t>Badania pozostałych materiałów stosowanych przy ustawianiu krawężników betonowych powinny obejmować wszystkie właściwości, określone w normach podanych dla odpowiednich materiałów w pkt 2.</w:t>
      </w:r>
    </w:p>
    <w:p w:rsidR="00683496" w:rsidRDefault="00683496" w:rsidP="00683496">
      <w:pPr>
        <w:spacing w:before="120"/>
        <w:ind w:left="-142"/>
        <w:jc w:val="both"/>
        <w:outlineLvl w:val="0"/>
        <w:rPr>
          <w:b/>
        </w:rPr>
      </w:pPr>
      <w:r>
        <w:rPr>
          <w:b/>
        </w:rPr>
        <w:t>6.3. Badania w czasie robót</w:t>
      </w:r>
    </w:p>
    <w:p w:rsidR="00683496" w:rsidRDefault="00683496" w:rsidP="00683496">
      <w:pPr>
        <w:spacing w:before="120"/>
        <w:ind w:left="-142"/>
        <w:jc w:val="both"/>
      </w:pPr>
      <w:r>
        <w:rPr>
          <w:b/>
        </w:rPr>
        <w:lastRenderedPageBreak/>
        <w:t xml:space="preserve">6.3.1. </w:t>
      </w:r>
      <w:r>
        <w:t>Sprawdzenie koryta pod ławę</w:t>
      </w:r>
    </w:p>
    <w:p w:rsidR="00683496" w:rsidRDefault="00683496" w:rsidP="00683496">
      <w:pPr>
        <w:spacing w:before="120"/>
        <w:ind w:left="-142"/>
        <w:jc w:val="both"/>
      </w:pPr>
      <w:r>
        <w:tab/>
        <w:t>Należy sprawdzać wymiary koryta oraz zagęszczenie podłoża na dnie wykopu.</w:t>
      </w:r>
    </w:p>
    <w:p w:rsidR="00683496" w:rsidRDefault="00683496" w:rsidP="00683496">
      <w:pPr>
        <w:ind w:left="-142"/>
        <w:jc w:val="both"/>
      </w:pPr>
      <w:r>
        <w:tab/>
        <w:t xml:space="preserve">Tolerancja dla szerokości wykopu wynosi </w:t>
      </w:r>
      <w:r>
        <w:sym w:font="Symbol" w:char="F0B1"/>
      </w:r>
      <w:r>
        <w:t xml:space="preserve"> 2 cm. Zagęszczenie podłoża powinno być zgodne z pkt 5.2.</w:t>
      </w:r>
    </w:p>
    <w:p w:rsidR="00683496" w:rsidRDefault="00683496" w:rsidP="00683496">
      <w:pPr>
        <w:spacing w:before="120"/>
        <w:ind w:left="-142"/>
        <w:jc w:val="both"/>
        <w:outlineLvl w:val="0"/>
      </w:pPr>
      <w:r>
        <w:rPr>
          <w:b/>
        </w:rPr>
        <w:t xml:space="preserve">6.3.2. </w:t>
      </w:r>
      <w:r>
        <w:t>Sprawdzenie ław</w:t>
      </w:r>
    </w:p>
    <w:p w:rsidR="00683496" w:rsidRDefault="00683496" w:rsidP="00683496">
      <w:pPr>
        <w:spacing w:before="120"/>
        <w:ind w:left="-142"/>
        <w:jc w:val="both"/>
      </w:pPr>
      <w:r>
        <w:tab/>
        <w:t>Przy wykonywaniu ław badaniu podlegają:</w:t>
      </w:r>
    </w:p>
    <w:p w:rsidR="00683496" w:rsidRDefault="00683496" w:rsidP="002122BD">
      <w:pPr>
        <w:numPr>
          <w:ilvl w:val="0"/>
          <w:numId w:val="50"/>
        </w:numPr>
        <w:ind w:left="-142" w:firstLine="0"/>
        <w:jc w:val="both"/>
      </w:pPr>
      <w:r>
        <w:t>Zgodność profilu podłużnego górnej powierzchni ław z dokumentacją projektową.</w:t>
      </w:r>
    </w:p>
    <w:p w:rsidR="00683496" w:rsidRDefault="00683496" w:rsidP="00683496">
      <w:pPr>
        <w:ind w:left="-142"/>
        <w:jc w:val="both"/>
      </w:pPr>
      <w:r>
        <w:tab/>
        <w:t xml:space="preserve">Profil podłużny górnej powierzchni ławy powinien być zgodny z projektowaną niweletą. Dopuszczalne odchylenia mogą wynosić </w:t>
      </w:r>
      <w:r>
        <w:sym w:font="Symbol" w:char="F0B1"/>
      </w:r>
      <w:r>
        <w:t xml:space="preserve"> 1 cm na każde 100 m ławy.</w:t>
      </w:r>
    </w:p>
    <w:p w:rsidR="00683496" w:rsidRDefault="00683496" w:rsidP="00683496">
      <w:pPr>
        <w:ind w:left="-142"/>
        <w:jc w:val="both"/>
      </w:pPr>
      <w:r>
        <w:t>b)</w:t>
      </w:r>
      <w:r>
        <w:tab/>
        <w:t>Wymiary ław.</w:t>
      </w:r>
    </w:p>
    <w:p w:rsidR="00683496" w:rsidRDefault="00683496" w:rsidP="00683496">
      <w:pPr>
        <w:ind w:left="-142"/>
        <w:jc w:val="both"/>
      </w:pPr>
      <w:r>
        <w:tab/>
        <w:t>Wymiary ław należy sprawdzić w dwóch dowolnie wybranych punktach na każde 100 m ławy. Tolerancje wymiarów wynoszą:</w:t>
      </w:r>
    </w:p>
    <w:p w:rsidR="00683496" w:rsidRDefault="00683496" w:rsidP="00683496">
      <w:pPr>
        <w:ind w:left="-142"/>
        <w:jc w:val="both"/>
      </w:pPr>
      <w:r>
        <w:tab/>
        <w:t xml:space="preserve">- dla wysokości  </w:t>
      </w:r>
      <w:r>
        <w:sym w:font="Symbol" w:char="F0B1"/>
      </w:r>
      <w:r>
        <w:t xml:space="preserve"> 10% wysokości projektowanej,</w:t>
      </w:r>
    </w:p>
    <w:p w:rsidR="00683496" w:rsidRDefault="00683496" w:rsidP="00683496">
      <w:pPr>
        <w:ind w:left="-142"/>
        <w:jc w:val="both"/>
      </w:pPr>
      <w:r>
        <w:tab/>
        <w:t xml:space="preserve">- dla szerokości  </w:t>
      </w:r>
      <w:r>
        <w:sym w:font="Symbol" w:char="F0B1"/>
      </w:r>
      <w:r>
        <w:t xml:space="preserve"> 10% szerokości projektowanej.</w:t>
      </w:r>
    </w:p>
    <w:p w:rsidR="00683496" w:rsidRDefault="00683496" w:rsidP="00683496">
      <w:pPr>
        <w:ind w:left="-142"/>
        <w:jc w:val="both"/>
      </w:pPr>
      <w:r>
        <w:t>c)</w:t>
      </w:r>
      <w:r>
        <w:tab/>
        <w:t>Równość górnej powierzchni ław.</w:t>
      </w:r>
    </w:p>
    <w:p w:rsidR="00683496" w:rsidRDefault="00683496" w:rsidP="00683496">
      <w:pPr>
        <w:ind w:left="-142"/>
        <w:jc w:val="both"/>
      </w:pPr>
      <w:r>
        <w:tab/>
        <w:t>Równość górnej powierzchni ławy sprawdza się przez przyłożenie w dwóch punktach, na każde 100 m ławy, trzymetrowej łaty.</w:t>
      </w:r>
    </w:p>
    <w:p w:rsidR="00683496" w:rsidRDefault="00683496" w:rsidP="00683496">
      <w:pPr>
        <w:ind w:left="-142"/>
        <w:jc w:val="both"/>
      </w:pPr>
      <w:r>
        <w:tab/>
        <w:t>Prześwit pomiędzy górną powierzchnią ławy i przyłożoną łatą nie może przekraczać               1 cm.</w:t>
      </w:r>
    </w:p>
    <w:p w:rsidR="00683496" w:rsidRDefault="00683496" w:rsidP="00683496">
      <w:pPr>
        <w:ind w:left="-142"/>
        <w:jc w:val="both"/>
      </w:pPr>
      <w:r>
        <w:t>d)</w:t>
      </w:r>
      <w:r>
        <w:tab/>
        <w:t>Zagęszczenie ław.</w:t>
      </w:r>
    </w:p>
    <w:p w:rsidR="00683496" w:rsidRDefault="00683496" w:rsidP="00683496">
      <w:pPr>
        <w:ind w:left="-142"/>
        <w:jc w:val="both"/>
      </w:pPr>
      <w:r>
        <w:tab/>
        <w:t>Zagęszczenie ław bada się w dwóch przekrojach na każde 100 m. Ławy ze żwiru lub piasku nie mogą wykazywać śladu urządzenia zagęszczającego.</w:t>
      </w:r>
    </w:p>
    <w:p w:rsidR="00683496" w:rsidRDefault="00683496" w:rsidP="00683496">
      <w:pPr>
        <w:ind w:left="-142"/>
        <w:jc w:val="both"/>
      </w:pPr>
      <w:r>
        <w:tab/>
        <w:t xml:space="preserve">Ławy z tłucznia, badane próbą wyjęcia poszczególnych </w:t>
      </w:r>
      <w:proofErr w:type="spellStart"/>
      <w:r>
        <w:t>ziarn</w:t>
      </w:r>
      <w:proofErr w:type="spellEnd"/>
      <w:r>
        <w:t xml:space="preserve"> tłucznia, nie powinny pozwalać na wyjęcie ziarna z ławy.</w:t>
      </w:r>
    </w:p>
    <w:p w:rsidR="00683496" w:rsidRDefault="00683496" w:rsidP="00683496">
      <w:pPr>
        <w:ind w:left="-142"/>
        <w:jc w:val="both"/>
      </w:pPr>
      <w:r>
        <w:t>e)</w:t>
      </w:r>
      <w:r>
        <w:tab/>
        <w:t>Odchylenie linii ław od projektowanego kierunku.</w:t>
      </w:r>
    </w:p>
    <w:p w:rsidR="00683496" w:rsidRDefault="00683496" w:rsidP="00683496">
      <w:pPr>
        <w:ind w:left="-142"/>
        <w:jc w:val="both"/>
      </w:pPr>
      <w:r>
        <w:tab/>
        <w:t xml:space="preserve">Dopuszczalne odchylenie linii ław od projektowanego kierunku nie może przekraczać         </w:t>
      </w:r>
      <w:r>
        <w:sym w:font="Symbol" w:char="F0B1"/>
      </w:r>
      <w:r>
        <w:t xml:space="preserve"> 2 cm na każde 100 m wykonanej ławy.</w:t>
      </w:r>
    </w:p>
    <w:p w:rsidR="00683496" w:rsidRDefault="00683496" w:rsidP="00683496">
      <w:pPr>
        <w:spacing w:before="120"/>
        <w:ind w:left="-142"/>
        <w:jc w:val="both"/>
        <w:outlineLvl w:val="0"/>
      </w:pPr>
      <w:r>
        <w:rPr>
          <w:b/>
        </w:rPr>
        <w:t xml:space="preserve">6.3.3. </w:t>
      </w:r>
      <w:r>
        <w:t>Sprawdzenie ustawienia krawężników</w:t>
      </w:r>
    </w:p>
    <w:p w:rsidR="00683496" w:rsidRDefault="00683496" w:rsidP="00683496">
      <w:pPr>
        <w:spacing w:before="120"/>
        <w:ind w:left="-142"/>
        <w:jc w:val="both"/>
      </w:pPr>
      <w:r>
        <w:tab/>
        <w:t>Przy ustawianiu krawężników należy sprawdzać:</w:t>
      </w:r>
    </w:p>
    <w:p w:rsidR="00683496" w:rsidRDefault="00683496" w:rsidP="002122BD">
      <w:pPr>
        <w:numPr>
          <w:ilvl w:val="0"/>
          <w:numId w:val="51"/>
        </w:numPr>
        <w:ind w:left="-142" w:firstLine="0"/>
        <w:jc w:val="both"/>
      </w:pPr>
      <w:r>
        <w:t xml:space="preserve">dopuszczalne odchylenia linii krawężników w poziomie od linii projektowanej, które wynosi </w:t>
      </w:r>
      <w:r>
        <w:sym w:font="Symbol" w:char="F0B1"/>
      </w:r>
      <w:r>
        <w:t xml:space="preserve"> 1 cm na każde 100 m ustawionego krawężnika,</w:t>
      </w:r>
    </w:p>
    <w:p w:rsidR="00683496" w:rsidRDefault="00683496" w:rsidP="002122BD">
      <w:pPr>
        <w:numPr>
          <w:ilvl w:val="0"/>
          <w:numId w:val="51"/>
        </w:numPr>
        <w:ind w:left="-142" w:firstLine="0"/>
        <w:jc w:val="both"/>
      </w:pPr>
      <w:r>
        <w:t xml:space="preserve">dopuszczalne odchylenie niwelety górnej płaszczyzny krawężnika od niwelety projektowanej, które wynosi </w:t>
      </w:r>
      <w:r>
        <w:sym w:font="Symbol" w:char="F0B1"/>
      </w:r>
      <w:r>
        <w:t xml:space="preserve"> 1 cm na każde 100 m ustawionego krawężnika,</w:t>
      </w:r>
    </w:p>
    <w:p w:rsidR="00683496" w:rsidRDefault="00683496" w:rsidP="002122BD">
      <w:pPr>
        <w:numPr>
          <w:ilvl w:val="0"/>
          <w:numId w:val="51"/>
        </w:numPr>
        <w:ind w:left="-142" w:firstLine="0"/>
        <w:jc w:val="both"/>
      </w:pPr>
      <w: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683496" w:rsidRDefault="00683496" w:rsidP="002122BD">
      <w:pPr>
        <w:numPr>
          <w:ilvl w:val="0"/>
          <w:numId w:val="51"/>
        </w:numPr>
        <w:ind w:left="-142" w:firstLine="0"/>
        <w:jc w:val="both"/>
      </w:pPr>
      <w:r>
        <w:t>dokładność wypełnienia spoin bada się co 10 metrów. Spoiny muszą być wypełnione całkowicie na pełną głębokość.</w:t>
      </w:r>
    </w:p>
    <w:p w:rsidR="00683496" w:rsidRDefault="00683496" w:rsidP="00683496">
      <w:pPr>
        <w:pStyle w:val="Nagwek1"/>
        <w:ind w:left="-142"/>
      </w:pPr>
      <w:bookmarkStart w:id="393" w:name="_Toc428169263"/>
      <w:bookmarkStart w:id="394" w:name="_Toc428323653"/>
      <w:bookmarkStart w:id="395" w:name="_Toc428759427"/>
      <w:r>
        <w:t>7. OBMIAR ROBÓT</w:t>
      </w:r>
      <w:bookmarkEnd w:id="393"/>
      <w:bookmarkEnd w:id="394"/>
      <w:bookmarkEnd w:id="395"/>
    </w:p>
    <w:p w:rsidR="00683496" w:rsidRDefault="00683496" w:rsidP="00683496">
      <w:pPr>
        <w:pStyle w:val="Nagwek2"/>
        <w:ind w:left="-142"/>
      </w:pPr>
      <w:r>
        <w:t>7.1. Ogólne zasady obmiaru robót</w:t>
      </w:r>
    </w:p>
    <w:p w:rsidR="00683496" w:rsidRDefault="00683496" w:rsidP="00683496">
      <w:pPr>
        <w:ind w:left="-142"/>
        <w:jc w:val="both"/>
      </w:pPr>
      <w:r>
        <w:tab/>
        <w:t>Ogólne zasady obmiaru robót podano w SST D-M-00.00.00 „Wymagania ogólne” pkt 7.</w:t>
      </w:r>
    </w:p>
    <w:p w:rsidR="00683496" w:rsidRDefault="00683496" w:rsidP="00683496">
      <w:pPr>
        <w:pStyle w:val="Nagwek2"/>
        <w:ind w:left="-142"/>
      </w:pPr>
      <w:r>
        <w:t>7.2. Jednostka obmiarowa</w:t>
      </w:r>
    </w:p>
    <w:p w:rsidR="00683496" w:rsidRDefault="00683496" w:rsidP="00683496">
      <w:pPr>
        <w:ind w:left="-142"/>
        <w:jc w:val="both"/>
      </w:pPr>
      <w:r>
        <w:tab/>
        <w:t>Jednostką obmiarową jest m (metr) ustawionego krawężnika betonowego.</w:t>
      </w:r>
    </w:p>
    <w:p w:rsidR="00683496" w:rsidRDefault="00683496" w:rsidP="00683496">
      <w:pPr>
        <w:ind w:left="-142"/>
        <w:jc w:val="both"/>
      </w:pPr>
      <w:r>
        <w:t xml:space="preserve">Zaprojektowano ustawienie krawężnika po prawej stronie drogi w </w:t>
      </w:r>
      <w:proofErr w:type="spellStart"/>
      <w:r>
        <w:t>ilosci</w:t>
      </w:r>
      <w:proofErr w:type="spellEnd"/>
      <w:r>
        <w:t xml:space="preserve"> 200,56 </w:t>
      </w:r>
      <w:proofErr w:type="spellStart"/>
      <w:r>
        <w:t>mb</w:t>
      </w:r>
      <w:proofErr w:type="spellEnd"/>
      <w:r>
        <w:t xml:space="preserve">, a po lewej stronie 252,56 </w:t>
      </w:r>
      <w:proofErr w:type="spellStart"/>
      <w:r>
        <w:t>mb</w:t>
      </w:r>
      <w:proofErr w:type="spellEnd"/>
      <w:r>
        <w:t xml:space="preserve"> i 29.00 </w:t>
      </w:r>
      <w:proofErr w:type="spellStart"/>
      <w:r>
        <w:t>mb</w:t>
      </w:r>
      <w:proofErr w:type="spellEnd"/>
      <w:r>
        <w:t xml:space="preserve"> na zjazdach</w:t>
      </w:r>
    </w:p>
    <w:p w:rsidR="00683496" w:rsidRDefault="00683496" w:rsidP="00683496">
      <w:pPr>
        <w:pStyle w:val="Nagwek1"/>
        <w:ind w:left="-142"/>
      </w:pPr>
      <w:bookmarkStart w:id="396" w:name="_Toc428169264"/>
      <w:bookmarkStart w:id="397" w:name="_Toc428323654"/>
      <w:bookmarkStart w:id="398" w:name="_Toc428759428"/>
      <w:r>
        <w:t>8. ODBIÓR ROBÓT</w:t>
      </w:r>
      <w:bookmarkEnd w:id="396"/>
      <w:bookmarkEnd w:id="397"/>
      <w:bookmarkEnd w:id="398"/>
    </w:p>
    <w:p w:rsidR="00683496" w:rsidRDefault="00683496" w:rsidP="00683496">
      <w:pPr>
        <w:pStyle w:val="Nagwek2"/>
        <w:ind w:left="-142"/>
      </w:pPr>
      <w:r>
        <w:t>8.1. Ogólne zasady odbioru robót</w:t>
      </w:r>
    </w:p>
    <w:p w:rsidR="00683496" w:rsidRDefault="00683496" w:rsidP="00683496">
      <w:pPr>
        <w:ind w:left="-142"/>
        <w:jc w:val="both"/>
      </w:pPr>
      <w:r>
        <w:tab/>
        <w:t>Ogólne zasady odbioru robót podano w SST D-M-00.00.00 „Wymagania ogólne” pkt 8.</w:t>
      </w:r>
    </w:p>
    <w:p w:rsidR="00683496" w:rsidRDefault="00683496" w:rsidP="00683496">
      <w:pPr>
        <w:ind w:left="-142"/>
        <w:jc w:val="both"/>
      </w:pPr>
      <w:r>
        <w:tab/>
        <w:t>Roboty uznaje się za wykonane zgodnie z dokumentacją projektową, SST i wymaganiami Inżyniera, jeżeli wszystkie pomiary i badania z zachowaniem tolerancji wg pkt 6 dały wyniki pozytywne.</w:t>
      </w:r>
    </w:p>
    <w:p w:rsidR="00683496" w:rsidRDefault="00683496" w:rsidP="00683496">
      <w:pPr>
        <w:pStyle w:val="Nagwek2"/>
        <w:ind w:left="-142"/>
      </w:pPr>
      <w:r>
        <w:t>8.2. Odbiór robót zanikających i ulegających zakryciu</w:t>
      </w:r>
    </w:p>
    <w:p w:rsidR="00683496" w:rsidRDefault="00683496" w:rsidP="00683496">
      <w:pPr>
        <w:ind w:left="-142"/>
        <w:jc w:val="both"/>
      </w:pPr>
      <w:r>
        <w:tab/>
        <w:t>Odbiorowi robót zanikających i ulegających zakryciu podlegają:</w:t>
      </w:r>
    </w:p>
    <w:p w:rsidR="00683496" w:rsidRDefault="00683496" w:rsidP="00683496">
      <w:pPr>
        <w:numPr>
          <w:ilvl w:val="0"/>
          <w:numId w:val="1"/>
        </w:numPr>
        <w:ind w:left="-142" w:firstLine="0"/>
        <w:jc w:val="both"/>
      </w:pPr>
      <w:r>
        <w:t>wykonanie koryta pod ławę,</w:t>
      </w:r>
    </w:p>
    <w:p w:rsidR="00683496" w:rsidRDefault="00683496" w:rsidP="00683496">
      <w:pPr>
        <w:numPr>
          <w:ilvl w:val="0"/>
          <w:numId w:val="1"/>
        </w:numPr>
        <w:ind w:left="-142" w:firstLine="0"/>
        <w:jc w:val="both"/>
      </w:pPr>
      <w:r>
        <w:t>wykonanie ławy,</w:t>
      </w:r>
    </w:p>
    <w:p w:rsidR="00683496" w:rsidRDefault="00683496" w:rsidP="00683496">
      <w:pPr>
        <w:numPr>
          <w:ilvl w:val="0"/>
          <w:numId w:val="1"/>
        </w:numPr>
        <w:ind w:left="-142" w:firstLine="0"/>
        <w:jc w:val="both"/>
      </w:pPr>
      <w:r>
        <w:t>wykonanie podsypki.</w:t>
      </w:r>
    </w:p>
    <w:p w:rsidR="00683496" w:rsidRDefault="00683496" w:rsidP="00683496">
      <w:pPr>
        <w:pStyle w:val="Nagwek1"/>
        <w:ind w:left="-142"/>
      </w:pPr>
      <w:bookmarkStart w:id="399" w:name="_Toc428169265"/>
      <w:bookmarkStart w:id="400" w:name="_Toc428323655"/>
      <w:bookmarkStart w:id="401" w:name="_Toc428759429"/>
      <w:r>
        <w:lastRenderedPageBreak/>
        <w:t>9. PODSTAWA PŁATNOŚCI</w:t>
      </w:r>
      <w:bookmarkEnd w:id="399"/>
      <w:bookmarkEnd w:id="400"/>
      <w:bookmarkEnd w:id="401"/>
    </w:p>
    <w:p w:rsidR="00683496" w:rsidRDefault="00683496" w:rsidP="00683496">
      <w:pPr>
        <w:pStyle w:val="Nagwek2"/>
        <w:ind w:left="-142"/>
      </w:pPr>
      <w:r>
        <w:t>9.1. Ogólne ustalenia dotyczące podstawy płatności</w:t>
      </w:r>
    </w:p>
    <w:p w:rsidR="00683496" w:rsidRDefault="00683496" w:rsidP="00683496">
      <w:pPr>
        <w:ind w:left="-142"/>
        <w:jc w:val="both"/>
      </w:pPr>
      <w:r>
        <w:tab/>
        <w:t>Ogólne ustalenia dotyczące podstawy płatności podano w SST D-M-00.00.00 „Wymagania ogólne” pkt 9.</w:t>
      </w:r>
    </w:p>
    <w:p w:rsidR="00683496" w:rsidRDefault="00683496" w:rsidP="00683496">
      <w:pPr>
        <w:pStyle w:val="Nagwek2"/>
        <w:ind w:left="-142"/>
      </w:pPr>
      <w:r>
        <w:t>9.2. Cena jednostki obmiarowej</w:t>
      </w:r>
    </w:p>
    <w:p w:rsidR="00683496" w:rsidRDefault="00683496" w:rsidP="00683496">
      <w:pPr>
        <w:ind w:left="-142"/>
        <w:jc w:val="both"/>
      </w:pPr>
      <w:r>
        <w:tab/>
        <w:t>Cena wykonania 1 m krawężnika betonowego obejmuje:</w:t>
      </w:r>
    </w:p>
    <w:p w:rsidR="00683496" w:rsidRDefault="00683496" w:rsidP="00683496">
      <w:pPr>
        <w:numPr>
          <w:ilvl w:val="0"/>
          <w:numId w:val="1"/>
        </w:numPr>
        <w:ind w:left="-142" w:firstLine="0"/>
        <w:jc w:val="both"/>
      </w:pPr>
      <w:r>
        <w:t>prace pomiarowe i roboty przygotowawcze,</w:t>
      </w:r>
    </w:p>
    <w:p w:rsidR="00683496" w:rsidRDefault="00683496" w:rsidP="00683496">
      <w:pPr>
        <w:numPr>
          <w:ilvl w:val="0"/>
          <w:numId w:val="1"/>
        </w:numPr>
        <w:ind w:left="-142" w:firstLine="0"/>
        <w:jc w:val="both"/>
      </w:pPr>
      <w:r>
        <w:t>dostarczenie materiałów na miejsce wbudowania,</w:t>
      </w:r>
    </w:p>
    <w:p w:rsidR="00683496" w:rsidRDefault="00683496" w:rsidP="00683496">
      <w:pPr>
        <w:numPr>
          <w:ilvl w:val="0"/>
          <w:numId w:val="1"/>
        </w:numPr>
        <w:ind w:left="-142" w:firstLine="0"/>
        <w:jc w:val="both"/>
      </w:pPr>
      <w:r>
        <w:t>wykonanie koryta pod ławę,</w:t>
      </w:r>
    </w:p>
    <w:p w:rsidR="00683496" w:rsidRDefault="00683496" w:rsidP="00683496">
      <w:pPr>
        <w:numPr>
          <w:ilvl w:val="0"/>
          <w:numId w:val="1"/>
        </w:numPr>
        <w:ind w:left="-142" w:firstLine="0"/>
        <w:jc w:val="both"/>
      </w:pPr>
      <w:r>
        <w:t>ew. wykonanie szalunku,</w:t>
      </w:r>
    </w:p>
    <w:p w:rsidR="00683496" w:rsidRDefault="00683496" w:rsidP="00683496">
      <w:pPr>
        <w:numPr>
          <w:ilvl w:val="0"/>
          <w:numId w:val="1"/>
        </w:numPr>
        <w:ind w:left="-142" w:firstLine="0"/>
        <w:jc w:val="both"/>
      </w:pPr>
      <w:r>
        <w:t>wykonanie ławy,</w:t>
      </w:r>
    </w:p>
    <w:p w:rsidR="00683496" w:rsidRDefault="00683496" w:rsidP="00683496">
      <w:pPr>
        <w:numPr>
          <w:ilvl w:val="0"/>
          <w:numId w:val="1"/>
        </w:numPr>
        <w:ind w:left="-142" w:firstLine="0"/>
        <w:jc w:val="both"/>
      </w:pPr>
      <w:r>
        <w:t>wykonanie podsypki,</w:t>
      </w:r>
    </w:p>
    <w:p w:rsidR="00683496" w:rsidRDefault="00683496" w:rsidP="00683496">
      <w:pPr>
        <w:numPr>
          <w:ilvl w:val="0"/>
          <w:numId w:val="1"/>
        </w:numPr>
        <w:ind w:left="-142" w:firstLine="0"/>
        <w:jc w:val="both"/>
      </w:pPr>
      <w:r>
        <w:t>ustawienie krawężników na podsypce (piaskowej lub cementowo-piaskowej),</w:t>
      </w:r>
    </w:p>
    <w:p w:rsidR="00683496" w:rsidRDefault="00683496" w:rsidP="00683496">
      <w:pPr>
        <w:numPr>
          <w:ilvl w:val="0"/>
          <w:numId w:val="1"/>
        </w:numPr>
        <w:ind w:left="-142" w:firstLine="0"/>
        <w:jc w:val="both"/>
      </w:pPr>
      <w:r>
        <w:t>wypełnienie spoin krawężników zaprawą,</w:t>
      </w:r>
    </w:p>
    <w:p w:rsidR="00683496" w:rsidRDefault="00683496" w:rsidP="00683496">
      <w:pPr>
        <w:numPr>
          <w:ilvl w:val="0"/>
          <w:numId w:val="1"/>
        </w:numPr>
        <w:ind w:left="-142" w:firstLine="0"/>
        <w:jc w:val="both"/>
      </w:pPr>
      <w:r>
        <w:t>ew. zalanie spoin masą zalewową,</w:t>
      </w:r>
    </w:p>
    <w:p w:rsidR="00683496" w:rsidRDefault="00683496" w:rsidP="00683496">
      <w:pPr>
        <w:numPr>
          <w:ilvl w:val="0"/>
          <w:numId w:val="1"/>
        </w:numPr>
        <w:ind w:left="-142" w:firstLine="0"/>
        <w:jc w:val="both"/>
      </w:pPr>
      <w:r>
        <w:t>zasypanie zewnętrznej ściany krawężnika gruntem i ubicie,</w:t>
      </w:r>
    </w:p>
    <w:p w:rsidR="00683496" w:rsidRDefault="00683496" w:rsidP="00683496">
      <w:pPr>
        <w:numPr>
          <w:ilvl w:val="0"/>
          <w:numId w:val="1"/>
        </w:numPr>
        <w:ind w:left="-142" w:firstLine="0"/>
        <w:jc w:val="both"/>
      </w:pPr>
      <w:r>
        <w:t>przeprowadzenie badań i pomiarów wymaganych w specyfikacji technicznej.</w:t>
      </w:r>
    </w:p>
    <w:p w:rsidR="00683496" w:rsidRDefault="00683496" w:rsidP="00683496">
      <w:pPr>
        <w:pStyle w:val="Nagwek1"/>
        <w:ind w:left="-142"/>
      </w:pPr>
      <w:bookmarkStart w:id="402" w:name="_Toc428759430"/>
      <w:r>
        <w:t>10. przepisy związane</w:t>
      </w:r>
      <w:bookmarkEnd w:id="402"/>
    </w:p>
    <w:p w:rsidR="00683496" w:rsidRDefault="00683496" w:rsidP="00683496">
      <w:pPr>
        <w:pStyle w:val="Nagwek2"/>
        <w:ind w:left="-142"/>
      </w:pPr>
      <w:r>
        <w:t>10.1. 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683496" w:rsidTr="00683496">
        <w:tc>
          <w:tcPr>
            <w:tcW w:w="637" w:type="dxa"/>
          </w:tcPr>
          <w:p w:rsidR="00683496" w:rsidRDefault="00683496" w:rsidP="00683496">
            <w:pPr>
              <w:ind w:left="-142"/>
              <w:jc w:val="center"/>
            </w:pPr>
            <w:r>
              <w:t>1.</w:t>
            </w:r>
          </w:p>
        </w:tc>
        <w:tc>
          <w:tcPr>
            <w:tcW w:w="1701" w:type="dxa"/>
          </w:tcPr>
          <w:p w:rsidR="00683496" w:rsidRDefault="00683496" w:rsidP="00683496">
            <w:pPr>
              <w:jc w:val="both"/>
            </w:pPr>
            <w:r>
              <w:t>PN-B-06050</w:t>
            </w:r>
          </w:p>
        </w:tc>
        <w:tc>
          <w:tcPr>
            <w:tcW w:w="5171" w:type="dxa"/>
          </w:tcPr>
          <w:p w:rsidR="00683496" w:rsidRDefault="00683496" w:rsidP="00683496">
            <w:pPr>
              <w:jc w:val="both"/>
            </w:pPr>
            <w:r>
              <w:t>Roboty ziemne budowlane</w:t>
            </w:r>
          </w:p>
        </w:tc>
      </w:tr>
      <w:tr w:rsidR="00683496" w:rsidTr="00683496">
        <w:tc>
          <w:tcPr>
            <w:tcW w:w="637" w:type="dxa"/>
          </w:tcPr>
          <w:p w:rsidR="00683496" w:rsidRDefault="00683496" w:rsidP="00683496">
            <w:pPr>
              <w:ind w:left="-142"/>
              <w:jc w:val="center"/>
            </w:pPr>
            <w:r>
              <w:t>2.</w:t>
            </w:r>
          </w:p>
        </w:tc>
        <w:tc>
          <w:tcPr>
            <w:tcW w:w="1701" w:type="dxa"/>
          </w:tcPr>
          <w:p w:rsidR="00683496" w:rsidRDefault="00683496" w:rsidP="00683496">
            <w:pPr>
              <w:jc w:val="both"/>
            </w:pPr>
            <w:r>
              <w:t>PN-B-06250</w:t>
            </w:r>
          </w:p>
        </w:tc>
        <w:tc>
          <w:tcPr>
            <w:tcW w:w="5171" w:type="dxa"/>
          </w:tcPr>
          <w:p w:rsidR="00683496" w:rsidRDefault="00683496" w:rsidP="00683496">
            <w:pPr>
              <w:jc w:val="both"/>
            </w:pPr>
            <w:r>
              <w:t>Beton zwykły</w:t>
            </w:r>
          </w:p>
        </w:tc>
      </w:tr>
      <w:tr w:rsidR="00683496" w:rsidTr="00683496">
        <w:tc>
          <w:tcPr>
            <w:tcW w:w="637" w:type="dxa"/>
          </w:tcPr>
          <w:p w:rsidR="00683496" w:rsidRDefault="00683496" w:rsidP="00683496">
            <w:pPr>
              <w:ind w:left="-142"/>
              <w:jc w:val="center"/>
            </w:pPr>
            <w:r>
              <w:t>3.</w:t>
            </w:r>
          </w:p>
        </w:tc>
        <w:tc>
          <w:tcPr>
            <w:tcW w:w="1701" w:type="dxa"/>
          </w:tcPr>
          <w:p w:rsidR="00683496" w:rsidRDefault="00683496" w:rsidP="00683496">
            <w:pPr>
              <w:jc w:val="both"/>
            </w:pPr>
            <w:r>
              <w:t>PN-B-06251</w:t>
            </w:r>
          </w:p>
        </w:tc>
        <w:tc>
          <w:tcPr>
            <w:tcW w:w="5171" w:type="dxa"/>
          </w:tcPr>
          <w:p w:rsidR="00683496" w:rsidRDefault="00683496" w:rsidP="00683496">
            <w:pPr>
              <w:jc w:val="both"/>
            </w:pPr>
            <w:r>
              <w:t>Roboty betonowe i żelbetowe</w:t>
            </w:r>
          </w:p>
        </w:tc>
      </w:tr>
      <w:tr w:rsidR="00683496" w:rsidTr="00683496">
        <w:tc>
          <w:tcPr>
            <w:tcW w:w="637" w:type="dxa"/>
          </w:tcPr>
          <w:p w:rsidR="00683496" w:rsidRDefault="00683496" w:rsidP="00683496">
            <w:pPr>
              <w:ind w:left="-142"/>
              <w:jc w:val="center"/>
            </w:pPr>
            <w:r>
              <w:t>4.</w:t>
            </w:r>
          </w:p>
        </w:tc>
        <w:tc>
          <w:tcPr>
            <w:tcW w:w="1701" w:type="dxa"/>
          </w:tcPr>
          <w:p w:rsidR="00683496" w:rsidRDefault="00683496" w:rsidP="00683496">
            <w:pPr>
              <w:jc w:val="both"/>
            </w:pPr>
            <w:r>
              <w:t>PN-B-06711</w:t>
            </w:r>
          </w:p>
        </w:tc>
        <w:tc>
          <w:tcPr>
            <w:tcW w:w="5171" w:type="dxa"/>
          </w:tcPr>
          <w:p w:rsidR="00683496" w:rsidRDefault="00683496" w:rsidP="00683496">
            <w:pPr>
              <w:jc w:val="both"/>
            </w:pPr>
            <w:r>
              <w:t>Kruszywo mineralne. Piasek do betonów i zapraw</w:t>
            </w:r>
          </w:p>
        </w:tc>
      </w:tr>
      <w:tr w:rsidR="00683496" w:rsidTr="00683496">
        <w:tc>
          <w:tcPr>
            <w:tcW w:w="637" w:type="dxa"/>
          </w:tcPr>
          <w:p w:rsidR="00683496" w:rsidRDefault="00683496" w:rsidP="00683496">
            <w:pPr>
              <w:ind w:left="-142"/>
              <w:jc w:val="center"/>
            </w:pPr>
            <w:r>
              <w:t>5.</w:t>
            </w:r>
          </w:p>
        </w:tc>
        <w:tc>
          <w:tcPr>
            <w:tcW w:w="1701" w:type="dxa"/>
          </w:tcPr>
          <w:p w:rsidR="00683496" w:rsidRDefault="00683496" w:rsidP="00683496">
            <w:pPr>
              <w:jc w:val="both"/>
            </w:pPr>
            <w:r>
              <w:t>PN-B-06712</w:t>
            </w:r>
          </w:p>
        </w:tc>
        <w:tc>
          <w:tcPr>
            <w:tcW w:w="5171" w:type="dxa"/>
          </w:tcPr>
          <w:p w:rsidR="00683496" w:rsidRDefault="00683496" w:rsidP="00683496">
            <w:pPr>
              <w:jc w:val="both"/>
            </w:pPr>
            <w:r>
              <w:t>Kruszywa mineralne do betonu zwykłego</w:t>
            </w:r>
          </w:p>
        </w:tc>
      </w:tr>
      <w:tr w:rsidR="00683496" w:rsidTr="00683496">
        <w:tc>
          <w:tcPr>
            <w:tcW w:w="637" w:type="dxa"/>
          </w:tcPr>
          <w:p w:rsidR="00683496" w:rsidRDefault="00683496" w:rsidP="00683496">
            <w:pPr>
              <w:ind w:left="-142"/>
              <w:jc w:val="center"/>
            </w:pPr>
            <w:r>
              <w:t>6.</w:t>
            </w:r>
          </w:p>
        </w:tc>
        <w:tc>
          <w:tcPr>
            <w:tcW w:w="1701" w:type="dxa"/>
          </w:tcPr>
          <w:p w:rsidR="00683496" w:rsidRDefault="00683496" w:rsidP="00683496">
            <w:pPr>
              <w:jc w:val="both"/>
            </w:pPr>
            <w:r>
              <w:t>PN-B-10021</w:t>
            </w:r>
          </w:p>
        </w:tc>
        <w:tc>
          <w:tcPr>
            <w:tcW w:w="5171" w:type="dxa"/>
          </w:tcPr>
          <w:p w:rsidR="00683496" w:rsidRDefault="00683496" w:rsidP="00683496">
            <w:pPr>
              <w:jc w:val="both"/>
            </w:pPr>
            <w:r>
              <w:t>Prefabrykaty budowlane z betonu. Metody pomiaru cech geometrycznych</w:t>
            </w:r>
          </w:p>
        </w:tc>
      </w:tr>
      <w:tr w:rsidR="00683496" w:rsidTr="00683496">
        <w:tc>
          <w:tcPr>
            <w:tcW w:w="637" w:type="dxa"/>
          </w:tcPr>
          <w:p w:rsidR="00683496" w:rsidRDefault="00683496" w:rsidP="00683496">
            <w:pPr>
              <w:ind w:left="-142"/>
              <w:jc w:val="center"/>
            </w:pPr>
            <w:r>
              <w:t>7.</w:t>
            </w:r>
          </w:p>
        </w:tc>
        <w:tc>
          <w:tcPr>
            <w:tcW w:w="1701" w:type="dxa"/>
          </w:tcPr>
          <w:p w:rsidR="00683496" w:rsidRDefault="00683496" w:rsidP="00683496">
            <w:pPr>
              <w:jc w:val="both"/>
            </w:pPr>
            <w:r>
              <w:t>PN-B-11111</w:t>
            </w:r>
          </w:p>
        </w:tc>
        <w:tc>
          <w:tcPr>
            <w:tcW w:w="5171" w:type="dxa"/>
          </w:tcPr>
          <w:p w:rsidR="00683496" w:rsidRDefault="00683496" w:rsidP="00683496">
            <w:pPr>
              <w:jc w:val="both"/>
            </w:pPr>
            <w:r>
              <w:t>Kruszywa mineralne. Kruszywa naturalne do nawierzchni drogowych. Żwir i mieszanka</w:t>
            </w:r>
          </w:p>
        </w:tc>
      </w:tr>
      <w:tr w:rsidR="00683496" w:rsidTr="00683496">
        <w:tc>
          <w:tcPr>
            <w:tcW w:w="637" w:type="dxa"/>
          </w:tcPr>
          <w:p w:rsidR="00683496" w:rsidRDefault="00683496" w:rsidP="00683496">
            <w:pPr>
              <w:ind w:left="-142"/>
              <w:jc w:val="center"/>
            </w:pPr>
            <w:r>
              <w:t>8.</w:t>
            </w:r>
          </w:p>
        </w:tc>
        <w:tc>
          <w:tcPr>
            <w:tcW w:w="1701" w:type="dxa"/>
          </w:tcPr>
          <w:p w:rsidR="00683496" w:rsidRDefault="00683496" w:rsidP="00683496">
            <w:pPr>
              <w:jc w:val="both"/>
            </w:pPr>
            <w:r>
              <w:t>PN-B-11112</w:t>
            </w:r>
          </w:p>
        </w:tc>
        <w:tc>
          <w:tcPr>
            <w:tcW w:w="5171" w:type="dxa"/>
          </w:tcPr>
          <w:p w:rsidR="00683496" w:rsidRDefault="00683496" w:rsidP="00683496">
            <w:pPr>
              <w:jc w:val="both"/>
            </w:pPr>
            <w:r>
              <w:t>Kruszywa mineralne. Kruszywo łamane do nawierzchni drogowych</w:t>
            </w:r>
          </w:p>
        </w:tc>
      </w:tr>
      <w:tr w:rsidR="00683496" w:rsidTr="00683496">
        <w:tc>
          <w:tcPr>
            <w:tcW w:w="637" w:type="dxa"/>
          </w:tcPr>
          <w:p w:rsidR="00683496" w:rsidRDefault="00683496" w:rsidP="00683496">
            <w:pPr>
              <w:ind w:left="-142"/>
              <w:jc w:val="center"/>
            </w:pPr>
            <w:r>
              <w:t>9.</w:t>
            </w:r>
          </w:p>
        </w:tc>
        <w:tc>
          <w:tcPr>
            <w:tcW w:w="1701" w:type="dxa"/>
          </w:tcPr>
          <w:p w:rsidR="00683496" w:rsidRDefault="00683496" w:rsidP="00683496">
            <w:pPr>
              <w:jc w:val="both"/>
            </w:pPr>
            <w:r>
              <w:t>PN-B-11113</w:t>
            </w:r>
          </w:p>
        </w:tc>
        <w:tc>
          <w:tcPr>
            <w:tcW w:w="5171" w:type="dxa"/>
          </w:tcPr>
          <w:p w:rsidR="00683496" w:rsidRDefault="00683496" w:rsidP="00683496">
            <w:pPr>
              <w:jc w:val="both"/>
            </w:pPr>
            <w:r>
              <w:t>Kruszywa mineralne. Kruszywa naturalne do nawierzchni drogowych. Piasek</w:t>
            </w:r>
          </w:p>
        </w:tc>
      </w:tr>
      <w:tr w:rsidR="00683496" w:rsidTr="00683496">
        <w:tc>
          <w:tcPr>
            <w:tcW w:w="637" w:type="dxa"/>
          </w:tcPr>
          <w:p w:rsidR="00683496" w:rsidRDefault="00683496" w:rsidP="00683496">
            <w:pPr>
              <w:ind w:left="-142"/>
              <w:jc w:val="center"/>
            </w:pPr>
            <w:r>
              <w:t>10.</w:t>
            </w:r>
          </w:p>
        </w:tc>
        <w:tc>
          <w:tcPr>
            <w:tcW w:w="1701" w:type="dxa"/>
          </w:tcPr>
          <w:p w:rsidR="00683496" w:rsidRDefault="00683496" w:rsidP="00683496">
            <w:pPr>
              <w:jc w:val="both"/>
            </w:pPr>
            <w:r>
              <w:t>PN-B-19701</w:t>
            </w:r>
          </w:p>
        </w:tc>
        <w:tc>
          <w:tcPr>
            <w:tcW w:w="5171" w:type="dxa"/>
          </w:tcPr>
          <w:p w:rsidR="00683496" w:rsidRDefault="00683496" w:rsidP="00683496">
            <w:pPr>
              <w:jc w:val="both"/>
            </w:pPr>
            <w:r>
              <w:t>Cement. Cement powszechnego użytku. Skład, wymagania i ocena zgodności</w:t>
            </w:r>
          </w:p>
        </w:tc>
      </w:tr>
      <w:tr w:rsidR="00683496" w:rsidTr="00683496">
        <w:tc>
          <w:tcPr>
            <w:tcW w:w="637" w:type="dxa"/>
          </w:tcPr>
          <w:p w:rsidR="00683496" w:rsidRDefault="00683496" w:rsidP="00683496">
            <w:pPr>
              <w:ind w:left="-142"/>
              <w:jc w:val="center"/>
            </w:pPr>
            <w:r>
              <w:t>11.</w:t>
            </w:r>
          </w:p>
        </w:tc>
        <w:tc>
          <w:tcPr>
            <w:tcW w:w="1701" w:type="dxa"/>
          </w:tcPr>
          <w:p w:rsidR="00683496" w:rsidRDefault="00683496" w:rsidP="00683496">
            <w:pPr>
              <w:jc w:val="both"/>
            </w:pPr>
            <w:r>
              <w:t>PN-B32250</w:t>
            </w:r>
          </w:p>
        </w:tc>
        <w:tc>
          <w:tcPr>
            <w:tcW w:w="5171" w:type="dxa"/>
          </w:tcPr>
          <w:p w:rsidR="00683496" w:rsidRDefault="00683496" w:rsidP="00683496">
            <w:pPr>
              <w:jc w:val="both"/>
            </w:pPr>
            <w:r>
              <w:t>Materiały budowlane. Woda do betonów i zapraw</w:t>
            </w:r>
          </w:p>
        </w:tc>
      </w:tr>
      <w:tr w:rsidR="00683496" w:rsidTr="00683496">
        <w:tc>
          <w:tcPr>
            <w:tcW w:w="637" w:type="dxa"/>
          </w:tcPr>
          <w:p w:rsidR="00683496" w:rsidRDefault="00683496" w:rsidP="00683496">
            <w:pPr>
              <w:ind w:left="-142"/>
              <w:jc w:val="center"/>
            </w:pPr>
            <w:r>
              <w:t>12.</w:t>
            </w:r>
          </w:p>
        </w:tc>
        <w:tc>
          <w:tcPr>
            <w:tcW w:w="1701" w:type="dxa"/>
          </w:tcPr>
          <w:p w:rsidR="00683496" w:rsidRDefault="00683496" w:rsidP="00683496">
            <w:pPr>
              <w:jc w:val="both"/>
            </w:pPr>
            <w:r>
              <w:t>BN-88/6731-08</w:t>
            </w:r>
          </w:p>
        </w:tc>
        <w:tc>
          <w:tcPr>
            <w:tcW w:w="5171" w:type="dxa"/>
          </w:tcPr>
          <w:p w:rsidR="00683496" w:rsidRDefault="00683496" w:rsidP="00683496">
            <w:pPr>
              <w:jc w:val="both"/>
            </w:pPr>
            <w:r>
              <w:t>Cement. Transport i przechowywanie</w:t>
            </w:r>
          </w:p>
        </w:tc>
      </w:tr>
      <w:tr w:rsidR="00683496" w:rsidTr="00683496">
        <w:tc>
          <w:tcPr>
            <w:tcW w:w="637" w:type="dxa"/>
          </w:tcPr>
          <w:p w:rsidR="00683496" w:rsidRDefault="00683496" w:rsidP="00683496">
            <w:pPr>
              <w:ind w:left="-142"/>
              <w:jc w:val="center"/>
            </w:pPr>
            <w:r>
              <w:t>13.</w:t>
            </w:r>
          </w:p>
        </w:tc>
        <w:tc>
          <w:tcPr>
            <w:tcW w:w="1701" w:type="dxa"/>
          </w:tcPr>
          <w:p w:rsidR="00683496" w:rsidRDefault="00683496" w:rsidP="00683496">
            <w:pPr>
              <w:jc w:val="both"/>
            </w:pPr>
            <w:r>
              <w:t>BN-74/6771-04</w:t>
            </w:r>
          </w:p>
        </w:tc>
        <w:tc>
          <w:tcPr>
            <w:tcW w:w="5171" w:type="dxa"/>
          </w:tcPr>
          <w:p w:rsidR="00683496" w:rsidRDefault="00683496" w:rsidP="00683496">
            <w:pPr>
              <w:jc w:val="both"/>
            </w:pPr>
            <w:r>
              <w:t>Drogi samochodowe. Masa zalewowa</w:t>
            </w:r>
          </w:p>
        </w:tc>
      </w:tr>
      <w:tr w:rsidR="00683496" w:rsidTr="00683496">
        <w:tc>
          <w:tcPr>
            <w:tcW w:w="637" w:type="dxa"/>
          </w:tcPr>
          <w:p w:rsidR="00683496" w:rsidRDefault="00683496" w:rsidP="00683496">
            <w:pPr>
              <w:ind w:left="-142"/>
              <w:jc w:val="center"/>
            </w:pPr>
            <w:r>
              <w:t>14.</w:t>
            </w:r>
          </w:p>
        </w:tc>
        <w:tc>
          <w:tcPr>
            <w:tcW w:w="1701" w:type="dxa"/>
          </w:tcPr>
          <w:p w:rsidR="00683496" w:rsidRDefault="00683496" w:rsidP="00683496">
            <w:pPr>
              <w:jc w:val="both"/>
            </w:pPr>
            <w:r>
              <w:t>BN-80/6775-03/01</w:t>
            </w:r>
          </w:p>
        </w:tc>
        <w:tc>
          <w:tcPr>
            <w:tcW w:w="5171" w:type="dxa"/>
          </w:tcPr>
          <w:p w:rsidR="00683496" w:rsidRDefault="00683496" w:rsidP="00683496">
            <w:pPr>
              <w:jc w:val="both"/>
            </w:pPr>
            <w:r>
              <w:t>Prefabrykaty budowlane z betonu. Elementy nawierzchni dróg, ulic, parkingów i torowisk tramwajowych. Wspólne wymagania i badania</w:t>
            </w:r>
          </w:p>
        </w:tc>
      </w:tr>
      <w:tr w:rsidR="00683496" w:rsidTr="00683496">
        <w:tc>
          <w:tcPr>
            <w:tcW w:w="637" w:type="dxa"/>
          </w:tcPr>
          <w:p w:rsidR="00683496" w:rsidRDefault="00683496" w:rsidP="00683496">
            <w:pPr>
              <w:ind w:left="-142"/>
              <w:jc w:val="center"/>
            </w:pPr>
            <w:r>
              <w:t>15.</w:t>
            </w:r>
          </w:p>
        </w:tc>
        <w:tc>
          <w:tcPr>
            <w:tcW w:w="1701" w:type="dxa"/>
          </w:tcPr>
          <w:p w:rsidR="00683496" w:rsidRDefault="00683496" w:rsidP="00683496">
            <w:pPr>
              <w:jc w:val="both"/>
            </w:pPr>
            <w:r>
              <w:t>BN-80/6775-03/04</w:t>
            </w:r>
          </w:p>
        </w:tc>
        <w:tc>
          <w:tcPr>
            <w:tcW w:w="5171" w:type="dxa"/>
          </w:tcPr>
          <w:p w:rsidR="00683496" w:rsidRDefault="00683496" w:rsidP="00683496">
            <w:pPr>
              <w:jc w:val="both"/>
            </w:pPr>
            <w:r>
              <w:t>Prefabrykaty budowlane z betonu. Elementy nawierzchni dróg, ulic, parkingów i torowisk tramwajowych. Krawężniki i obrzeża chodnikowe</w:t>
            </w:r>
          </w:p>
        </w:tc>
      </w:tr>
      <w:tr w:rsidR="00683496" w:rsidTr="00683496">
        <w:tc>
          <w:tcPr>
            <w:tcW w:w="637" w:type="dxa"/>
          </w:tcPr>
          <w:p w:rsidR="00683496" w:rsidRDefault="00683496" w:rsidP="00683496">
            <w:pPr>
              <w:ind w:left="-142"/>
              <w:jc w:val="center"/>
            </w:pPr>
            <w:r>
              <w:t>16.</w:t>
            </w:r>
          </w:p>
        </w:tc>
        <w:tc>
          <w:tcPr>
            <w:tcW w:w="1701" w:type="dxa"/>
          </w:tcPr>
          <w:p w:rsidR="00683496" w:rsidRDefault="00683496" w:rsidP="00683496">
            <w:pPr>
              <w:jc w:val="both"/>
            </w:pPr>
            <w:r>
              <w:t>BN-64/8845-02</w:t>
            </w:r>
          </w:p>
        </w:tc>
        <w:tc>
          <w:tcPr>
            <w:tcW w:w="5171" w:type="dxa"/>
          </w:tcPr>
          <w:p w:rsidR="00683496" w:rsidRDefault="00683496" w:rsidP="00683496">
            <w:pPr>
              <w:jc w:val="both"/>
            </w:pPr>
            <w:r>
              <w:t>Krawężniki uliczne. Warunki techniczne ustawiania i odbioru.</w:t>
            </w:r>
          </w:p>
        </w:tc>
      </w:tr>
    </w:tbl>
    <w:p w:rsidR="00683496" w:rsidRDefault="00683496" w:rsidP="00683496">
      <w:pPr>
        <w:pStyle w:val="Nagwek2"/>
        <w:ind w:left="-142"/>
      </w:pPr>
      <w:r>
        <w:t>10.2. Inne dokumenty</w:t>
      </w:r>
    </w:p>
    <w:p w:rsidR="00683496" w:rsidRDefault="00683496" w:rsidP="002122BD">
      <w:pPr>
        <w:numPr>
          <w:ilvl w:val="0"/>
          <w:numId w:val="52"/>
        </w:numPr>
        <w:ind w:left="-142" w:firstLine="0"/>
        <w:jc w:val="both"/>
      </w:pPr>
      <w:r>
        <w:t xml:space="preserve">Katalog powtarzalnych elementów drogowych (KPED), </w:t>
      </w:r>
      <w:proofErr w:type="spellStart"/>
      <w:r>
        <w:t>Transprojekt</w:t>
      </w:r>
      <w:proofErr w:type="spellEnd"/>
      <w:r>
        <w:t xml:space="preserve"> - Warszawa, 1979 i 1982 r.</w:t>
      </w:r>
    </w:p>
    <w:p w:rsidR="00683496" w:rsidRDefault="00683496" w:rsidP="00683496">
      <w:pPr>
        <w:ind w:left="-142"/>
        <w:jc w:val="both"/>
      </w:pPr>
    </w:p>
    <w:p w:rsidR="00683496" w:rsidRDefault="00683496" w:rsidP="00683496">
      <w:pPr>
        <w:jc w:val="center"/>
      </w:pPr>
    </w:p>
    <w:p w:rsidR="00683496" w:rsidRDefault="00683496" w:rsidP="00683496">
      <w:pPr>
        <w:jc w:val="center"/>
      </w:pPr>
    </w:p>
    <w:p w:rsidR="00683496" w:rsidRDefault="00683496" w:rsidP="00683496">
      <w:pPr>
        <w:jc w:val="center"/>
      </w:pPr>
    </w:p>
    <w:p w:rsidR="00683496" w:rsidRDefault="00683496"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683496" w:rsidRPr="002F7899" w:rsidRDefault="00683496" w:rsidP="00683496">
      <w:pPr>
        <w:rPr>
          <w:b/>
          <w:sz w:val="28"/>
        </w:rPr>
      </w:pPr>
      <w:bookmarkStart w:id="403" w:name="_Hlk15765428"/>
      <w:r>
        <w:rPr>
          <w:b/>
          <w:sz w:val="28"/>
        </w:rPr>
        <w:lastRenderedPageBreak/>
        <w:t>D - 08.03.01 BETONOWE  OBRZEŻA  CHODNIKOWE</w:t>
      </w:r>
    </w:p>
    <w:bookmarkEnd w:id="403"/>
    <w:p w:rsidR="00683496" w:rsidRDefault="00683496" w:rsidP="00683496">
      <w:pPr>
        <w:jc w:val="both"/>
        <w:rPr>
          <w:b/>
          <w:sz w:val="28"/>
        </w:rPr>
      </w:pPr>
    </w:p>
    <w:p w:rsidR="00683496" w:rsidRDefault="00683496" w:rsidP="00683496">
      <w:pPr>
        <w:pStyle w:val="Nagwek1"/>
      </w:pPr>
      <w:r>
        <w:t xml:space="preserve"> WSTĘP</w:t>
      </w:r>
    </w:p>
    <w:p w:rsidR="00683496" w:rsidRDefault="00683496" w:rsidP="00683496">
      <w:pPr>
        <w:pStyle w:val="Nagwek2"/>
      </w:pPr>
      <w:r>
        <w:t>1.1. Przedmiot SST</w:t>
      </w:r>
    </w:p>
    <w:p w:rsidR="00683496" w:rsidRDefault="00683496" w:rsidP="00683496">
      <w:r>
        <w:rPr>
          <w:b/>
        </w:rPr>
        <w:tab/>
      </w:r>
      <w:r>
        <w:t xml:space="preserve">Przedmiotem niniejszej szczegółowa specyfikacji technicznej (SST) są wymagania dotyczące wykonania i odbioru robót związanych z ustawieniem betonowego obrzeża chodnikowego </w:t>
      </w:r>
    </w:p>
    <w:p w:rsidR="00683496" w:rsidRDefault="00683496" w:rsidP="00683496">
      <w:pPr>
        <w:pStyle w:val="tekstost"/>
        <w:rPr>
          <w:b/>
        </w:rPr>
      </w:pPr>
      <w:r>
        <w:rPr>
          <w:b/>
        </w:rPr>
        <w:t>1.2. Zakres stosowania SST</w:t>
      </w:r>
    </w:p>
    <w:p w:rsidR="00683496" w:rsidRDefault="00683496" w:rsidP="00683496">
      <w:pPr>
        <w:pStyle w:val="tekstost"/>
        <w:rPr>
          <w:b/>
        </w:rPr>
      </w:pPr>
    </w:p>
    <w:p w:rsidR="00683496" w:rsidRDefault="00683496" w:rsidP="00683496">
      <w:pPr>
        <w:tabs>
          <w:tab w:val="left" w:pos="630"/>
        </w:tabs>
        <w:jc w:val="both"/>
      </w:pPr>
      <w:r>
        <w:rPr>
          <w:b/>
        </w:rPr>
        <w:tab/>
      </w:r>
      <w:r>
        <w:t>Szczegółowa specyfikacja techniczna (SST) stanowi obowiązującą podstawę jako dokument przetargowy i kontraktowy przy zlecaniu i realizacji robót na drogach.</w:t>
      </w:r>
    </w:p>
    <w:p w:rsidR="00683496" w:rsidRDefault="00683496" w:rsidP="00683496">
      <w:pPr>
        <w:pStyle w:val="Nagwek2"/>
      </w:pPr>
      <w:r>
        <w:t>1.3. Zakres robót objętych SST</w:t>
      </w:r>
    </w:p>
    <w:p w:rsidR="00683496" w:rsidRDefault="00683496" w:rsidP="00683496">
      <w:pPr>
        <w:tabs>
          <w:tab w:val="left" w:pos="630"/>
        </w:tabs>
        <w:jc w:val="both"/>
      </w:pPr>
      <w:r>
        <w:rPr>
          <w:b/>
        </w:rPr>
        <w:tab/>
      </w:r>
      <w:r>
        <w:t>Ustalenia zawarte w niniejszej specyfikacji dotyczą zasad prowadzenia robót związanych z ustawieniem betonowego obrzeża chodnikowego.</w:t>
      </w:r>
    </w:p>
    <w:p w:rsidR="00683496" w:rsidRDefault="00683496" w:rsidP="00683496">
      <w:pPr>
        <w:pStyle w:val="Nagwek2"/>
      </w:pPr>
      <w:r>
        <w:t>1.4. Określenia podstawowe</w:t>
      </w:r>
    </w:p>
    <w:p w:rsidR="00683496" w:rsidRDefault="00683496" w:rsidP="00683496">
      <w:pPr>
        <w:tabs>
          <w:tab w:val="left" w:pos="567"/>
        </w:tabs>
        <w:jc w:val="both"/>
      </w:pPr>
      <w:r>
        <w:rPr>
          <w:b/>
        </w:rPr>
        <w:t xml:space="preserve">1.4.1. </w:t>
      </w:r>
      <w:r>
        <w:t>Obrzeża chodnikowe - prefabrykowane belki betonowe rozgraniczające jednostronnie lub dwustronnie ciągi komunikacyjne od terenów nie przeznaczonych do komunikacji.</w:t>
      </w:r>
    </w:p>
    <w:p w:rsidR="00683496" w:rsidRDefault="00683496" w:rsidP="00683496">
      <w:pPr>
        <w:tabs>
          <w:tab w:val="left" w:pos="567"/>
        </w:tabs>
        <w:spacing w:before="120"/>
        <w:jc w:val="both"/>
      </w:pPr>
      <w:r>
        <w:rPr>
          <w:b/>
        </w:rPr>
        <w:t xml:space="preserve">1.4.2. </w:t>
      </w:r>
      <w:r>
        <w:t>Pozostałe określenia podstawowe są zgodne z obowiązującymi, odpowiednimi polskimi normami  i definicjami podanymi w SST D-00.00.00 „Wymagania ogólne”        pkt 1.4.</w:t>
      </w:r>
    </w:p>
    <w:p w:rsidR="00683496" w:rsidRDefault="00683496" w:rsidP="00683496">
      <w:pPr>
        <w:pStyle w:val="Nagwek2"/>
      </w:pPr>
      <w:r>
        <w:t>1.5. Ogólne wymagania dotyczące robót</w:t>
      </w:r>
    </w:p>
    <w:p w:rsidR="00683496" w:rsidRDefault="00683496" w:rsidP="00683496">
      <w:pPr>
        <w:tabs>
          <w:tab w:val="left" w:pos="630"/>
        </w:tabs>
        <w:jc w:val="both"/>
      </w:pPr>
      <w:r>
        <w:tab/>
        <w:t>Ogólne wymagania dotyczące robót podano w SST D-00.00.00 „Wymagania ogólne” pkt 1.5.</w:t>
      </w:r>
    </w:p>
    <w:p w:rsidR="00683496" w:rsidRDefault="00683496" w:rsidP="00683496">
      <w:pPr>
        <w:pStyle w:val="Nagwek1"/>
      </w:pPr>
      <w:r>
        <w:t>2. MATERIAŁY</w:t>
      </w:r>
    </w:p>
    <w:p w:rsidR="00683496" w:rsidRDefault="00683496" w:rsidP="00683496">
      <w:pPr>
        <w:pStyle w:val="Nagwek2"/>
      </w:pPr>
      <w:r>
        <w:t>2.1. Ogólne wymagania dotyczące materiałów</w:t>
      </w:r>
    </w:p>
    <w:p w:rsidR="00683496" w:rsidRDefault="00683496" w:rsidP="00683496">
      <w:pPr>
        <w:jc w:val="both"/>
      </w:pPr>
      <w:r>
        <w:tab/>
        <w:t>Ogólne wymagania dotyczące materiałów, ich pozyskiwania i składowania podano w SST D-00.00.00 „Wymagania ogólne” pkt 2.</w:t>
      </w:r>
    </w:p>
    <w:p w:rsidR="00683496" w:rsidRDefault="00683496" w:rsidP="00683496">
      <w:pPr>
        <w:pStyle w:val="Nagwek2"/>
      </w:pPr>
      <w:r>
        <w:t>2.2. Stosowane materiały</w:t>
      </w:r>
    </w:p>
    <w:p w:rsidR="00683496" w:rsidRDefault="00683496" w:rsidP="00683496">
      <w:pPr>
        <w:jc w:val="both"/>
      </w:pPr>
      <w:r>
        <w:tab/>
        <w:t>Materiałami stosowanymi są:</w:t>
      </w:r>
    </w:p>
    <w:p w:rsidR="00683496" w:rsidRDefault="00683496" w:rsidP="002122BD">
      <w:pPr>
        <w:numPr>
          <w:ilvl w:val="0"/>
          <w:numId w:val="53"/>
        </w:numPr>
        <w:ind w:left="283"/>
        <w:jc w:val="both"/>
      </w:pPr>
      <w:r>
        <w:t>obrzeża odpowiadające wymaganiom BN-80/6775-04/04 [9] i BN-80/6775-03/01 [8],</w:t>
      </w:r>
    </w:p>
    <w:p w:rsidR="00683496" w:rsidRDefault="00683496" w:rsidP="002122BD">
      <w:pPr>
        <w:numPr>
          <w:ilvl w:val="0"/>
          <w:numId w:val="53"/>
        </w:numPr>
        <w:ind w:left="283"/>
        <w:jc w:val="both"/>
      </w:pPr>
      <w:r>
        <w:t>żwir lub piasek do wykonania ław,</w:t>
      </w:r>
    </w:p>
    <w:p w:rsidR="00683496" w:rsidRDefault="00683496" w:rsidP="002122BD">
      <w:pPr>
        <w:numPr>
          <w:ilvl w:val="0"/>
          <w:numId w:val="53"/>
        </w:numPr>
        <w:ind w:left="283"/>
        <w:jc w:val="both"/>
      </w:pPr>
      <w:r>
        <w:t>cement wg PN-B-19701 [7],</w:t>
      </w:r>
    </w:p>
    <w:p w:rsidR="00683496" w:rsidRDefault="00683496" w:rsidP="002122BD">
      <w:pPr>
        <w:numPr>
          <w:ilvl w:val="0"/>
          <w:numId w:val="53"/>
        </w:numPr>
        <w:ind w:left="283"/>
        <w:jc w:val="both"/>
      </w:pPr>
      <w:r>
        <w:t>piasek do zapraw wg PN-B-06711 [3].</w:t>
      </w:r>
    </w:p>
    <w:p w:rsidR="00683496" w:rsidRDefault="00683496" w:rsidP="00683496">
      <w:pPr>
        <w:pStyle w:val="Nagwek2"/>
      </w:pPr>
      <w:r>
        <w:t>2.3. Betonowe obrzeża chodnikowe - klasyfikacja</w:t>
      </w:r>
    </w:p>
    <w:p w:rsidR="00683496" w:rsidRDefault="00683496" w:rsidP="00683496">
      <w:pPr>
        <w:jc w:val="both"/>
      </w:pPr>
      <w:r>
        <w:tab/>
        <w:t>W zależności od przekroju poprzecznego rozróżnia się dwa rodzaje obrzeży:</w:t>
      </w:r>
    </w:p>
    <w:p w:rsidR="00683496" w:rsidRDefault="00683496" w:rsidP="002122BD">
      <w:pPr>
        <w:numPr>
          <w:ilvl w:val="0"/>
          <w:numId w:val="53"/>
        </w:numPr>
        <w:ind w:left="283"/>
        <w:jc w:val="both"/>
      </w:pPr>
      <w:r>
        <w:t>obrzeże niskie</w:t>
      </w:r>
      <w:r>
        <w:tab/>
        <w:t>- On,</w:t>
      </w:r>
    </w:p>
    <w:p w:rsidR="00683496" w:rsidRDefault="00683496" w:rsidP="002122BD">
      <w:pPr>
        <w:numPr>
          <w:ilvl w:val="0"/>
          <w:numId w:val="53"/>
        </w:numPr>
        <w:ind w:left="283"/>
        <w:jc w:val="both"/>
      </w:pPr>
      <w:r>
        <w:t>obrzeże wysokie</w:t>
      </w:r>
      <w:r>
        <w:tab/>
        <w:t xml:space="preserve">- </w:t>
      </w:r>
      <w:proofErr w:type="spellStart"/>
      <w:r>
        <w:t>Ow</w:t>
      </w:r>
      <w:proofErr w:type="spellEnd"/>
      <w:r>
        <w:t>.</w:t>
      </w:r>
    </w:p>
    <w:p w:rsidR="00683496" w:rsidRDefault="00683496" w:rsidP="00683496">
      <w:pPr>
        <w:jc w:val="both"/>
      </w:pPr>
      <w:r>
        <w:tab/>
        <w:t>W zależności od dopuszczalnych wielkości i liczby uszkodzeń oraz odchyłek wymiarowych obrzeża dzieli się na:</w:t>
      </w:r>
    </w:p>
    <w:p w:rsidR="00683496" w:rsidRDefault="00683496" w:rsidP="002122BD">
      <w:pPr>
        <w:numPr>
          <w:ilvl w:val="0"/>
          <w:numId w:val="53"/>
        </w:numPr>
        <w:ind w:left="283"/>
        <w:jc w:val="both"/>
      </w:pPr>
      <w:r>
        <w:t xml:space="preserve">gatunek 1 </w:t>
      </w:r>
      <w:r>
        <w:tab/>
        <w:t>- G1,</w:t>
      </w:r>
    </w:p>
    <w:p w:rsidR="00683496" w:rsidRDefault="00683496" w:rsidP="002122BD">
      <w:pPr>
        <w:numPr>
          <w:ilvl w:val="0"/>
          <w:numId w:val="53"/>
        </w:numPr>
        <w:ind w:left="283"/>
        <w:jc w:val="both"/>
      </w:pPr>
      <w:r>
        <w:t>gatunek 2</w:t>
      </w:r>
      <w:r>
        <w:tab/>
        <w:t>- G2.</w:t>
      </w:r>
    </w:p>
    <w:p w:rsidR="00683496" w:rsidRDefault="00683496" w:rsidP="00683496">
      <w:pPr>
        <w:jc w:val="both"/>
      </w:pPr>
      <w:r>
        <w:tab/>
        <w:t>Przykład oznaczenia betonowego obrzeża chodnikowego niskiego (On) o wymiarach 6 x 20 x 75 cm gat. 1:</w:t>
      </w:r>
    </w:p>
    <w:p w:rsidR="00683496" w:rsidRDefault="00683496" w:rsidP="00683496">
      <w:pPr>
        <w:jc w:val="both"/>
      </w:pPr>
      <w:r>
        <w:tab/>
        <w:t>obrzeże On - I/6/20/75 BN-80/6775-03/04 [9].</w:t>
      </w:r>
    </w:p>
    <w:p w:rsidR="00683496" w:rsidRDefault="00683496" w:rsidP="00683496">
      <w:pPr>
        <w:jc w:val="both"/>
      </w:pPr>
      <w:r>
        <w:t xml:space="preserve">Zaprojektowano obrzeża wysokie </w:t>
      </w:r>
      <w:proofErr w:type="spellStart"/>
      <w:r>
        <w:t>Ow</w:t>
      </w:r>
      <w:proofErr w:type="spellEnd"/>
      <w:r>
        <w:t xml:space="preserve"> w gatunku 1 – G1</w:t>
      </w:r>
    </w:p>
    <w:p w:rsidR="00683496" w:rsidRDefault="00683496" w:rsidP="00683496">
      <w:pPr>
        <w:pStyle w:val="Nagwek2"/>
      </w:pPr>
      <w:r>
        <w:t>2.4. Betonowe obrzeża chodnikowe - wymagania techniczne</w:t>
      </w:r>
    </w:p>
    <w:p w:rsidR="00683496" w:rsidRDefault="00683496" w:rsidP="00683496">
      <w:pPr>
        <w:jc w:val="both"/>
      </w:pPr>
      <w:r>
        <w:rPr>
          <w:b/>
        </w:rPr>
        <w:t xml:space="preserve">2.4.1. </w:t>
      </w:r>
      <w:r>
        <w:t>Wymiary betonowych obrzeży chodnikowych</w:t>
      </w:r>
    </w:p>
    <w:p w:rsidR="00683496" w:rsidRDefault="00683496" w:rsidP="00683496">
      <w:pPr>
        <w:spacing w:before="120"/>
        <w:jc w:val="both"/>
      </w:pPr>
      <w:r>
        <w:tab/>
        <w:t>Kształt obrzeży betonowych przedstawiono na rysunku 1, a wymiary podano w tablicy 1.</w:t>
      </w:r>
    </w:p>
    <w:p w:rsidR="00683496" w:rsidRDefault="00683496" w:rsidP="00683496">
      <w:pPr>
        <w:spacing w:before="120"/>
        <w:jc w:val="both"/>
      </w:pPr>
    </w:p>
    <w:p w:rsidR="00683496" w:rsidRDefault="00683496" w:rsidP="00683496">
      <w:pPr>
        <w:framePr w:hSpace="141" w:wrap="around" w:vAnchor="text" w:hAnchor="page" w:x="4113" w:y="2"/>
        <w:jc w:val="both"/>
      </w:pPr>
      <w:r>
        <w:rPr>
          <w:noProof/>
        </w:rPr>
        <w:lastRenderedPageBreak/>
        <w:drawing>
          <wp:inline distT="0" distB="0" distL="0" distR="0" wp14:anchorId="5D3CA0EB" wp14:editId="79F62D29">
            <wp:extent cx="2343785" cy="1082675"/>
            <wp:effectExtent l="0" t="0" r="0" b="3175"/>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43785" cy="1082675"/>
                    </a:xfrm>
                    <a:prstGeom prst="rect">
                      <a:avLst/>
                    </a:prstGeom>
                    <a:noFill/>
                    <a:ln>
                      <a:noFill/>
                    </a:ln>
                  </pic:spPr>
                </pic:pic>
              </a:graphicData>
            </a:graphic>
          </wp:inline>
        </w:drawing>
      </w:r>
    </w:p>
    <w:p w:rsidR="00683496" w:rsidRDefault="00683496" w:rsidP="00683496">
      <w:pPr>
        <w:spacing w:before="120"/>
        <w:jc w:val="both"/>
      </w:pPr>
    </w:p>
    <w:p w:rsidR="00683496" w:rsidRDefault="00683496" w:rsidP="00683496">
      <w:pPr>
        <w:spacing w:before="120"/>
        <w:jc w:val="both"/>
      </w:pPr>
    </w:p>
    <w:p w:rsidR="00683496" w:rsidRDefault="00683496" w:rsidP="00683496">
      <w:pPr>
        <w:spacing w:before="120"/>
        <w:jc w:val="both"/>
      </w:pPr>
    </w:p>
    <w:p w:rsidR="00683496" w:rsidRDefault="00683496" w:rsidP="00683496">
      <w:pPr>
        <w:spacing w:before="120"/>
        <w:jc w:val="both"/>
      </w:pPr>
    </w:p>
    <w:p w:rsidR="00683496" w:rsidRDefault="00683496" w:rsidP="00683496">
      <w:pPr>
        <w:spacing w:before="120"/>
        <w:jc w:val="both"/>
      </w:pPr>
    </w:p>
    <w:p w:rsidR="00683496" w:rsidRDefault="00683496" w:rsidP="00683496">
      <w:pPr>
        <w:spacing w:before="120"/>
        <w:jc w:val="both"/>
      </w:pPr>
      <w:r>
        <w:t>Rysunek 1. Kształt betonowego obrzeża chodnikowego</w:t>
      </w:r>
    </w:p>
    <w:p w:rsidR="00683496" w:rsidRDefault="00683496" w:rsidP="00683496">
      <w:pPr>
        <w:spacing w:before="240" w:after="120"/>
        <w:jc w:val="both"/>
      </w:pPr>
      <w:r>
        <w:t>Tablica 1. Wymiary obrzeży</w:t>
      </w:r>
    </w:p>
    <w:tbl>
      <w:tblPr>
        <w:tblW w:w="0" w:type="auto"/>
        <w:tblLayout w:type="fixed"/>
        <w:tblCellMar>
          <w:left w:w="70" w:type="dxa"/>
          <w:right w:w="70" w:type="dxa"/>
        </w:tblCellMar>
        <w:tblLook w:val="0000" w:firstRow="0" w:lastRow="0" w:firstColumn="0" w:lastColumn="0" w:noHBand="0" w:noVBand="0"/>
      </w:tblPr>
      <w:tblGrid>
        <w:gridCol w:w="1346"/>
        <w:gridCol w:w="1232"/>
        <w:gridCol w:w="1232"/>
        <w:gridCol w:w="1232"/>
        <w:gridCol w:w="1265"/>
      </w:tblGrid>
      <w:tr w:rsidR="00683496" w:rsidTr="00683496">
        <w:tc>
          <w:tcPr>
            <w:tcW w:w="1346" w:type="dxa"/>
            <w:tcBorders>
              <w:top w:val="single" w:sz="6" w:space="0" w:color="auto"/>
              <w:left w:val="single" w:sz="6" w:space="0" w:color="auto"/>
            </w:tcBorders>
          </w:tcPr>
          <w:p w:rsidR="00683496" w:rsidRDefault="00683496" w:rsidP="00683496">
            <w:pPr>
              <w:jc w:val="both"/>
            </w:pPr>
            <w:r>
              <w:t>Rodzaj</w:t>
            </w:r>
          </w:p>
        </w:tc>
        <w:tc>
          <w:tcPr>
            <w:tcW w:w="4961" w:type="dxa"/>
            <w:gridSpan w:val="4"/>
            <w:tcBorders>
              <w:top w:val="single" w:sz="6" w:space="0" w:color="auto"/>
              <w:left w:val="single" w:sz="6" w:space="0" w:color="auto"/>
              <w:bottom w:val="single" w:sz="6" w:space="0" w:color="auto"/>
              <w:right w:val="single" w:sz="6" w:space="0" w:color="auto"/>
            </w:tcBorders>
          </w:tcPr>
          <w:p w:rsidR="00683496" w:rsidRDefault="00683496" w:rsidP="00683496">
            <w:pPr>
              <w:jc w:val="center"/>
            </w:pPr>
            <w:r>
              <w:t>Wymiary obrzeży,   cm</w:t>
            </w:r>
          </w:p>
        </w:tc>
      </w:tr>
      <w:tr w:rsidR="00683496" w:rsidTr="00683496">
        <w:tc>
          <w:tcPr>
            <w:tcW w:w="1346" w:type="dxa"/>
            <w:tcBorders>
              <w:left w:val="single" w:sz="6" w:space="0" w:color="auto"/>
              <w:bottom w:val="double" w:sz="6" w:space="0" w:color="auto"/>
            </w:tcBorders>
          </w:tcPr>
          <w:p w:rsidR="00683496" w:rsidRDefault="00683496" w:rsidP="00683496">
            <w:pPr>
              <w:jc w:val="both"/>
            </w:pPr>
            <w:r>
              <w:t>obrzeża</w:t>
            </w:r>
          </w:p>
        </w:tc>
        <w:tc>
          <w:tcPr>
            <w:tcW w:w="1232" w:type="dxa"/>
            <w:tcBorders>
              <w:top w:val="single" w:sz="6" w:space="0" w:color="auto"/>
              <w:left w:val="single" w:sz="6" w:space="0" w:color="auto"/>
              <w:bottom w:val="double" w:sz="6" w:space="0" w:color="auto"/>
              <w:right w:val="single" w:sz="6" w:space="0" w:color="auto"/>
            </w:tcBorders>
          </w:tcPr>
          <w:p w:rsidR="00683496" w:rsidRDefault="00683496" w:rsidP="00683496">
            <w:pPr>
              <w:jc w:val="both"/>
            </w:pPr>
            <w:r>
              <w:t>1</w:t>
            </w:r>
          </w:p>
        </w:tc>
        <w:tc>
          <w:tcPr>
            <w:tcW w:w="1232" w:type="dxa"/>
            <w:tcBorders>
              <w:top w:val="single" w:sz="6" w:space="0" w:color="auto"/>
              <w:left w:val="single" w:sz="6" w:space="0" w:color="auto"/>
              <w:bottom w:val="double" w:sz="6" w:space="0" w:color="auto"/>
              <w:right w:val="single" w:sz="6" w:space="0" w:color="auto"/>
            </w:tcBorders>
          </w:tcPr>
          <w:p w:rsidR="00683496" w:rsidRDefault="00683496" w:rsidP="00683496">
            <w:pPr>
              <w:jc w:val="both"/>
            </w:pPr>
            <w:r>
              <w:t>b</w:t>
            </w:r>
          </w:p>
        </w:tc>
        <w:tc>
          <w:tcPr>
            <w:tcW w:w="1232" w:type="dxa"/>
            <w:tcBorders>
              <w:top w:val="single" w:sz="6" w:space="0" w:color="auto"/>
              <w:left w:val="single" w:sz="6" w:space="0" w:color="auto"/>
              <w:bottom w:val="double" w:sz="6" w:space="0" w:color="auto"/>
              <w:right w:val="single" w:sz="6" w:space="0" w:color="auto"/>
            </w:tcBorders>
          </w:tcPr>
          <w:p w:rsidR="00683496" w:rsidRDefault="00683496" w:rsidP="00683496">
            <w:pPr>
              <w:jc w:val="both"/>
            </w:pPr>
            <w:r>
              <w:t>h</w:t>
            </w:r>
          </w:p>
        </w:tc>
        <w:tc>
          <w:tcPr>
            <w:tcW w:w="1265" w:type="dxa"/>
            <w:tcBorders>
              <w:top w:val="single" w:sz="6" w:space="0" w:color="auto"/>
              <w:left w:val="single" w:sz="6" w:space="0" w:color="auto"/>
              <w:bottom w:val="double" w:sz="6" w:space="0" w:color="auto"/>
              <w:right w:val="single" w:sz="6" w:space="0" w:color="auto"/>
            </w:tcBorders>
          </w:tcPr>
          <w:p w:rsidR="00683496" w:rsidRDefault="00683496" w:rsidP="00683496">
            <w:pPr>
              <w:jc w:val="both"/>
            </w:pPr>
            <w:r>
              <w:t>R</w:t>
            </w:r>
          </w:p>
        </w:tc>
      </w:tr>
      <w:tr w:rsidR="00683496" w:rsidTr="00683496">
        <w:tc>
          <w:tcPr>
            <w:tcW w:w="1346" w:type="dxa"/>
            <w:tcBorders>
              <w:top w:val="single" w:sz="6" w:space="0" w:color="auto"/>
              <w:left w:val="single" w:sz="6" w:space="0" w:color="auto"/>
              <w:bottom w:val="single" w:sz="6" w:space="0" w:color="auto"/>
            </w:tcBorders>
          </w:tcPr>
          <w:p w:rsidR="00683496" w:rsidRDefault="00683496" w:rsidP="00683496">
            <w:pPr>
              <w:jc w:val="both"/>
            </w:pPr>
          </w:p>
          <w:p w:rsidR="00683496" w:rsidRDefault="00683496" w:rsidP="00683496">
            <w:pPr>
              <w:jc w:val="both"/>
            </w:pPr>
            <w:proofErr w:type="spellStart"/>
            <w:r>
              <w:t>Ow</w:t>
            </w:r>
            <w:proofErr w:type="spellEnd"/>
          </w:p>
        </w:tc>
        <w:tc>
          <w:tcPr>
            <w:tcW w:w="1232"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jc w:val="both"/>
            </w:pPr>
            <w:r>
              <w:t>75</w:t>
            </w:r>
          </w:p>
          <w:p w:rsidR="00683496" w:rsidRDefault="00683496" w:rsidP="00683496">
            <w:pPr>
              <w:spacing w:after="60"/>
              <w:jc w:val="both"/>
            </w:pPr>
            <w:r>
              <w:t>100</w:t>
            </w:r>
          </w:p>
        </w:tc>
        <w:tc>
          <w:tcPr>
            <w:tcW w:w="1232"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jc w:val="both"/>
            </w:pPr>
            <w:r>
              <w:t>8</w:t>
            </w:r>
          </w:p>
          <w:p w:rsidR="00683496" w:rsidRDefault="00683496" w:rsidP="00683496">
            <w:pPr>
              <w:jc w:val="both"/>
            </w:pPr>
            <w:r>
              <w:t>8</w:t>
            </w:r>
          </w:p>
        </w:tc>
        <w:tc>
          <w:tcPr>
            <w:tcW w:w="1232"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jc w:val="both"/>
            </w:pPr>
            <w:r>
              <w:t>30</w:t>
            </w:r>
          </w:p>
          <w:p w:rsidR="00683496" w:rsidRDefault="00683496" w:rsidP="00683496">
            <w:pPr>
              <w:jc w:val="both"/>
            </w:pPr>
            <w:r>
              <w:t>30</w:t>
            </w:r>
          </w:p>
        </w:tc>
        <w:tc>
          <w:tcPr>
            <w:tcW w:w="1265"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jc w:val="both"/>
            </w:pPr>
            <w:r>
              <w:t>3</w:t>
            </w:r>
          </w:p>
          <w:p w:rsidR="00683496" w:rsidRDefault="00683496" w:rsidP="00683496">
            <w:pPr>
              <w:jc w:val="both"/>
            </w:pPr>
            <w:r>
              <w:t>3</w:t>
            </w:r>
          </w:p>
        </w:tc>
      </w:tr>
    </w:tbl>
    <w:p w:rsidR="00683496" w:rsidRDefault="00683496" w:rsidP="00683496">
      <w:pPr>
        <w:jc w:val="both"/>
      </w:pPr>
    </w:p>
    <w:p w:rsidR="00683496" w:rsidRDefault="00683496" w:rsidP="00683496">
      <w:pPr>
        <w:spacing w:before="120"/>
        <w:jc w:val="both"/>
      </w:pPr>
      <w:r>
        <w:rPr>
          <w:b/>
        </w:rPr>
        <w:t xml:space="preserve">2.4.2. </w:t>
      </w:r>
      <w:r>
        <w:t>Dopuszczalne odchyłki wymiarów obrzeży</w:t>
      </w:r>
    </w:p>
    <w:p w:rsidR="00683496" w:rsidRDefault="00683496" w:rsidP="00683496">
      <w:pPr>
        <w:spacing w:before="120"/>
        <w:jc w:val="both"/>
      </w:pPr>
      <w:r>
        <w:tab/>
        <w:t>Dopuszczalne odchyłki wymiarów obrzeży podano w tablicy 2.</w:t>
      </w:r>
    </w:p>
    <w:p w:rsidR="00683496" w:rsidRDefault="00683496" w:rsidP="00683496">
      <w:pPr>
        <w:spacing w:before="120"/>
        <w:jc w:val="both"/>
      </w:pPr>
    </w:p>
    <w:p w:rsidR="00683496" w:rsidRDefault="00683496" w:rsidP="00683496">
      <w:pPr>
        <w:spacing w:after="120"/>
        <w:jc w:val="both"/>
      </w:pPr>
      <w:r>
        <w:t>Tablica 2. Dopuszczalne odchyłki wymiarów obrzeży</w:t>
      </w:r>
    </w:p>
    <w:tbl>
      <w:tblPr>
        <w:tblW w:w="0" w:type="auto"/>
        <w:tblLayout w:type="fixed"/>
        <w:tblCellMar>
          <w:left w:w="70" w:type="dxa"/>
          <w:right w:w="70" w:type="dxa"/>
        </w:tblCellMar>
        <w:tblLook w:val="0000" w:firstRow="0" w:lastRow="0" w:firstColumn="0" w:lastColumn="0" w:noHBand="0" w:noVBand="0"/>
      </w:tblPr>
      <w:tblGrid>
        <w:gridCol w:w="2338"/>
        <w:gridCol w:w="3544"/>
      </w:tblGrid>
      <w:tr w:rsidR="00683496" w:rsidTr="00683496">
        <w:tc>
          <w:tcPr>
            <w:tcW w:w="2338" w:type="dxa"/>
            <w:tcBorders>
              <w:top w:val="single" w:sz="6" w:space="0" w:color="auto"/>
              <w:left w:val="single" w:sz="6" w:space="0" w:color="auto"/>
            </w:tcBorders>
          </w:tcPr>
          <w:p w:rsidR="00683496" w:rsidRDefault="00683496" w:rsidP="00683496">
            <w:pPr>
              <w:spacing w:before="120"/>
              <w:jc w:val="both"/>
            </w:pPr>
            <w:r>
              <w:t>Rodzaj</w:t>
            </w:r>
          </w:p>
        </w:tc>
        <w:tc>
          <w:tcPr>
            <w:tcW w:w="3544"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jc w:val="center"/>
            </w:pPr>
            <w:r>
              <w:t>Dopuszczalna odchyłka,   m</w:t>
            </w:r>
          </w:p>
        </w:tc>
      </w:tr>
      <w:tr w:rsidR="00683496" w:rsidTr="00683496">
        <w:trPr>
          <w:cantSplit/>
        </w:trPr>
        <w:tc>
          <w:tcPr>
            <w:tcW w:w="2338" w:type="dxa"/>
            <w:tcBorders>
              <w:left w:val="single" w:sz="6" w:space="0" w:color="auto"/>
              <w:bottom w:val="double" w:sz="6" w:space="0" w:color="auto"/>
            </w:tcBorders>
          </w:tcPr>
          <w:p w:rsidR="00683496" w:rsidRDefault="00683496" w:rsidP="00683496">
            <w:pPr>
              <w:jc w:val="both"/>
            </w:pPr>
            <w:r>
              <w:t>wymiaru</w:t>
            </w:r>
          </w:p>
        </w:tc>
        <w:tc>
          <w:tcPr>
            <w:tcW w:w="3544" w:type="dxa"/>
            <w:tcBorders>
              <w:top w:val="single" w:sz="6" w:space="0" w:color="auto"/>
              <w:left w:val="single" w:sz="6" w:space="0" w:color="auto"/>
              <w:bottom w:val="double" w:sz="6" w:space="0" w:color="auto"/>
              <w:right w:val="single" w:sz="6" w:space="0" w:color="auto"/>
            </w:tcBorders>
          </w:tcPr>
          <w:p w:rsidR="00683496" w:rsidRDefault="00683496" w:rsidP="00683496">
            <w:pPr>
              <w:spacing w:before="60" w:after="60"/>
              <w:jc w:val="center"/>
            </w:pPr>
            <w:r>
              <w:t>Gatunek 1</w:t>
            </w:r>
          </w:p>
        </w:tc>
      </w:tr>
      <w:tr w:rsidR="00683496" w:rsidTr="00683496">
        <w:trPr>
          <w:cantSplit/>
        </w:trPr>
        <w:tc>
          <w:tcPr>
            <w:tcW w:w="2338" w:type="dxa"/>
            <w:tcBorders>
              <w:left w:val="single" w:sz="6" w:space="0" w:color="auto"/>
              <w:bottom w:val="single" w:sz="6" w:space="0" w:color="auto"/>
            </w:tcBorders>
          </w:tcPr>
          <w:p w:rsidR="00683496" w:rsidRDefault="00683496" w:rsidP="00683496">
            <w:pPr>
              <w:spacing w:before="60" w:after="60"/>
              <w:jc w:val="center"/>
            </w:pPr>
            <w:r>
              <w:t>l</w:t>
            </w:r>
          </w:p>
        </w:tc>
        <w:tc>
          <w:tcPr>
            <w:tcW w:w="3544" w:type="dxa"/>
            <w:tcBorders>
              <w:left w:val="single" w:sz="6" w:space="0" w:color="auto"/>
              <w:bottom w:val="single" w:sz="6" w:space="0" w:color="auto"/>
              <w:right w:val="single" w:sz="6" w:space="0" w:color="auto"/>
            </w:tcBorders>
          </w:tcPr>
          <w:p w:rsidR="00683496" w:rsidRDefault="00683496" w:rsidP="00683496">
            <w:pPr>
              <w:spacing w:before="60" w:after="60"/>
              <w:jc w:val="center"/>
            </w:pPr>
            <w:r>
              <w:sym w:font="Symbol" w:char="F0B1"/>
            </w:r>
            <w:r>
              <w:t xml:space="preserve"> 8</w:t>
            </w:r>
          </w:p>
        </w:tc>
      </w:tr>
      <w:tr w:rsidR="00683496" w:rsidTr="00683496">
        <w:trPr>
          <w:cantSplit/>
        </w:trPr>
        <w:tc>
          <w:tcPr>
            <w:tcW w:w="2338" w:type="dxa"/>
            <w:tcBorders>
              <w:top w:val="single" w:sz="6" w:space="0" w:color="auto"/>
              <w:left w:val="single" w:sz="6" w:space="0" w:color="auto"/>
              <w:bottom w:val="single" w:sz="6" w:space="0" w:color="auto"/>
            </w:tcBorders>
          </w:tcPr>
          <w:p w:rsidR="00683496" w:rsidRDefault="00683496" w:rsidP="00683496">
            <w:pPr>
              <w:spacing w:before="60" w:after="60"/>
              <w:jc w:val="center"/>
            </w:pPr>
            <w:r>
              <w:t>b,   h</w:t>
            </w:r>
          </w:p>
        </w:tc>
        <w:tc>
          <w:tcPr>
            <w:tcW w:w="3544"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60" w:after="60"/>
              <w:jc w:val="center"/>
            </w:pPr>
            <w:r>
              <w:sym w:font="Symbol" w:char="F0B1"/>
            </w:r>
            <w:r>
              <w:t xml:space="preserve"> 3</w:t>
            </w:r>
          </w:p>
        </w:tc>
      </w:tr>
    </w:tbl>
    <w:p w:rsidR="00683496" w:rsidRDefault="00683496" w:rsidP="00683496">
      <w:pPr>
        <w:jc w:val="center"/>
      </w:pPr>
    </w:p>
    <w:p w:rsidR="00683496" w:rsidRDefault="00683496" w:rsidP="00683496">
      <w:pPr>
        <w:spacing w:before="120"/>
        <w:jc w:val="both"/>
      </w:pPr>
      <w:r>
        <w:rPr>
          <w:b/>
        </w:rPr>
        <w:t xml:space="preserve">2.4.3. </w:t>
      </w:r>
      <w:r>
        <w:t>Dopuszczalne wady i uszkodzenia obrzeży</w:t>
      </w:r>
    </w:p>
    <w:p w:rsidR="00683496" w:rsidRDefault="00683496" w:rsidP="00683496">
      <w:pPr>
        <w:spacing w:before="120"/>
        <w:jc w:val="both"/>
      </w:pPr>
      <w:r>
        <w:tab/>
        <w:t>Powierzchnie obrzeży powinny być bez rys, pęknięć i ubytków betonu, o fakturze z formy lub zatartej. Krawędzie elementów powinny być równe i proste.</w:t>
      </w:r>
    </w:p>
    <w:p w:rsidR="00683496" w:rsidRDefault="00683496" w:rsidP="00683496">
      <w:pPr>
        <w:jc w:val="both"/>
      </w:pPr>
      <w:r>
        <w:tab/>
        <w:t>Dopuszczalne wady oraz uszkodzenia powierzchni i krawędzi elementów nie powinny przekraczać wartości podanych w tablicy 3.</w:t>
      </w:r>
    </w:p>
    <w:p w:rsidR="00683496" w:rsidRDefault="00683496" w:rsidP="00683496">
      <w:pPr>
        <w:spacing w:before="120" w:after="120"/>
        <w:jc w:val="both"/>
      </w:pPr>
      <w:r>
        <w:t>Tablica 3. Dopuszczalne wady i uszkodzenia obrzeży</w:t>
      </w:r>
    </w:p>
    <w:tbl>
      <w:tblPr>
        <w:tblW w:w="0" w:type="auto"/>
        <w:tblLayout w:type="fixed"/>
        <w:tblCellMar>
          <w:left w:w="70" w:type="dxa"/>
          <w:right w:w="70" w:type="dxa"/>
        </w:tblCellMar>
        <w:tblLook w:val="0000" w:firstRow="0" w:lastRow="0" w:firstColumn="0" w:lastColumn="0" w:noHBand="0" w:noVBand="0"/>
      </w:tblPr>
      <w:tblGrid>
        <w:gridCol w:w="1913"/>
        <w:gridCol w:w="3119"/>
        <w:gridCol w:w="2478"/>
      </w:tblGrid>
      <w:tr w:rsidR="00683496" w:rsidTr="00683496">
        <w:tc>
          <w:tcPr>
            <w:tcW w:w="5032" w:type="dxa"/>
            <w:gridSpan w:val="2"/>
            <w:tcBorders>
              <w:top w:val="single" w:sz="6" w:space="0" w:color="auto"/>
              <w:left w:val="single" w:sz="6" w:space="0" w:color="auto"/>
            </w:tcBorders>
          </w:tcPr>
          <w:p w:rsidR="00683496" w:rsidRDefault="00683496" w:rsidP="00683496">
            <w:pPr>
              <w:jc w:val="both"/>
            </w:pPr>
          </w:p>
          <w:p w:rsidR="00683496" w:rsidRDefault="00683496" w:rsidP="00683496">
            <w:pPr>
              <w:jc w:val="both"/>
            </w:pPr>
            <w:r>
              <w:t>Rodzaj wad i uszkodzeń</w:t>
            </w:r>
          </w:p>
        </w:tc>
        <w:tc>
          <w:tcPr>
            <w:tcW w:w="2478" w:type="dxa"/>
            <w:tcBorders>
              <w:top w:val="single" w:sz="6" w:space="0" w:color="auto"/>
              <w:left w:val="single" w:sz="6" w:space="0" w:color="auto"/>
              <w:bottom w:val="single" w:sz="6" w:space="0" w:color="auto"/>
              <w:right w:val="single" w:sz="6" w:space="0" w:color="auto"/>
            </w:tcBorders>
          </w:tcPr>
          <w:p w:rsidR="00683496" w:rsidRDefault="00683496" w:rsidP="00683496">
            <w:pPr>
              <w:jc w:val="both"/>
            </w:pPr>
            <w:r>
              <w:t xml:space="preserve">Dopuszczalna wielkość </w:t>
            </w:r>
          </w:p>
          <w:p w:rsidR="00683496" w:rsidRDefault="00683496" w:rsidP="00683496">
            <w:pPr>
              <w:jc w:val="both"/>
            </w:pPr>
            <w:r>
              <w:t>wad i uszkodzeń</w:t>
            </w:r>
          </w:p>
        </w:tc>
      </w:tr>
      <w:tr w:rsidR="00683496" w:rsidTr="00683496">
        <w:trPr>
          <w:cantSplit/>
        </w:trPr>
        <w:tc>
          <w:tcPr>
            <w:tcW w:w="5032" w:type="dxa"/>
            <w:gridSpan w:val="2"/>
            <w:tcBorders>
              <w:left w:val="single" w:sz="6" w:space="0" w:color="auto"/>
              <w:bottom w:val="double" w:sz="6" w:space="0" w:color="auto"/>
            </w:tcBorders>
          </w:tcPr>
          <w:p w:rsidR="00683496" w:rsidRDefault="00683496" w:rsidP="00683496">
            <w:pPr>
              <w:jc w:val="both"/>
            </w:pPr>
          </w:p>
        </w:tc>
        <w:tc>
          <w:tcPr>
            <w:tcW w:w="2478" w:type="dxa"/>
            <w:tcBorders>
              <w:top w:val="single" w:sz="6" w:space="0" w:color="auto"/>
              <w:left w:val="single" w:sz="6" w:space="0" w:color="auto"/>
              <w:bottom w:val="double" w:sz="6" w:space="0" w:color="auto"/>
              <w:right w:val="single" w:sz="6" w:space="0" w:color="auto"/>
            </w:tcBorders>
          </w:tcPr>
          <w:p w:rsidR="00683496" w:rsidRDefault="00683496" w:rsidP="00683496">
            <w:pPr>
              <w:jc w:val="both"/>
            </w:pPr>
            <w:r>
              <w:t>Gatunek 1</w:t>
            </w:r>
          </w:p>
        </w:tc>
      </w:tr>
      <w:tr w:rsidR="00683496" w:rsidTr="00683496">
        <w:trPr>
          <w:cantSplit/>
        </w:trPr>
        <w:tc>
          <w:tcPr>
            <w:tcW w:w="5032" w:type="dxa"/>
            <w:gridSpan w:val="2"/>
            <w:tcBorders>
              <w:left w:val="single" w:sz="6" w:space="0" w:color="auto"/>
            </w:tcBorders>
          </w:tcPr>
          <w:p w:rsidR="00683496" w:rsidRDefault="00683496" w:rsidP="00683496">
            <w:pPr>
              <w:spacing w:before="60" w:after="60"/>
              <w:jc w:val="both"/>
            </w:pPr>
            <w:r>
              <w:t>Wklęsłość lub wypukłość powierzchni i krawędzi w mm</w:t>
            </w:r>
          </w:p>
        </w:tc>
        <w:tc>
          <w:tcPr>
            <w:tcW w:w="2478" w:type="dxa"/>
            <w:tcBorders>
              <w:left w:val="single" w:sz="6" w:space="0" w:color="auto"/>
              <w:bottom w:val="single" w:sz="6" w:space="0" w:color="auto"/>
              <w:right w:val="single" w:sz="6" w:space="0" w:color="auto"/>
            </w:tcBorders>
          </w:tcPr>
          <w:p w:rsidR="00683496" w:rsidRDefault="00683496" w:rsidP="00683496">
            <w:pPr>
              <w:spacing w:before="60" w:after="60"/>
              <w:jc w:val="center"/>
            </w:pPr>
            <w:r>
              <w:t>2</w:t>
            </w:r>
          </w:p>
        </w:tc>
      </w:tr>
      <w:tr w:rsidR="00683496" w:rsidTr="00683496">
        <w:tc>
          <w:tcPr>
            <w:tcW w:w="1913" w:type="dxa"/>
            <w:tcBorders>
              <w:top w:val="single" w:sz="6" w:space="0" w:color="auto"/>
              <w:left w:val="single" w:sz="6" w:space="0" w:color="auto"/>
            </w:tcBorders>
          </w:tcPr>
          <w:p w:rsidR="00683496" w:rsidRDefault="00683496" w:rsidP="00683496">
            <w:pPr>
              <w:jc w:val="both"/>
            </w:pPr>
            <w:r>
              <w:t>Szczerby</w:t>
            </w:r>
          </w:p>
          <w:p w:rsidR="00683496" w:rsidRDefault="00683496" w:rsidP="00683496">
            <w:pPr>
              <w:jc w:val="both"/>
            </w:pPr>
            <w:r>
              <w:t>i uszkodzenia</w:t>
            </w:r>
          </w:p>
        </w:tc>
        <w:tc>
          <w:tcPr>
            <w:tcW w:w="3119" w:type="dxa"/>
            <w:tcBorders>
              <w:top w:val="single" w:sz="6" w:space="0" w:color="auto"/>
              <w:left w:val="single" w:sz="6" w:space="0" w:color="auto"/>
              <w:bottom w:val="single" w:sz="6" w:space="0" w:color="auto"/>
              <w:right w:val="single" w:sz="6" w:space="0" w:color="auto"/>
            </w:tcBorders>
          </w:tcPr>
          <w:p w:rsidR="00683496" w:rsidRDefault="00683496" w:rsidP="00683496">
            <w:pPr>
              <w:jc w:val="both"/>
            </w:pPr>
            <w:r>
              <w:t>ograniczających powierzchnie górne (ścieralne)</w:t>
            </w:r>
          </w:p>
        </w:tc>
        <w:tc>
          <w:tcPr>
            <w:tcW w:w="2477" w:type="dxa"/>
            <w:tcBorders>
              <w:top w:val="single" w:sz="6" w:space="0" w:color="auto"/>
              <w:left w:val="single" w:sz="6" w:space="0" w:color="auto"/>
              <w:bottom w:val="single" w:sz="6" w:space="0" w:color="auto"/>
              <w:right w:val="single" w:sz="6" w:space="0" w:color="auto"/>
            </w:tcBorders>
          </w:tcPr>
          <w:p w:rsidR="00683496" w:rsidRDefault="00683496" w:rsidP="00683496">
            <w:pPr>
              <w:spacing w:before="120"/>
              <w:jc w:val="center"/>
            </w:pPr>
            <w:r>
              <w:t>niedopuszczalne</w:t>
            </w:r>
          </w:p>
        </w:tc>
      </w:tr>
      <w:tr w:rsidR="00683496" w:rsidTr="00683496">
        <w:trPr>
          <w:cantSplit/>
        </w:trPr>
        <w:tc>
          <w:tcPr>
            <w:tcW w:w="1913" w:type="dxa"/>
            <w:tcBorders>
              <w:left w:val="single" w:sz="6" w:space="0" w:color="auto"/>
            </w:tcBorders>
          </w:tcPr>
          <w:p w:rsidR="00683496" w:rsidRDefault="00683496" w:rsidP="00683496">
            <w:pPr>
              <w:jc w:val="both"/>
            </w:pPr>
            <w:r>
              <w:t>krawędzi i naroży</w:t>
            </w:r>
          </w:p>
        </w:tc>
        <w:tc>
          <w:tcPr>
            <w:tcW w:w="5595" w:type="dxa"/>
            <w:gridSpan w:val="2"/>
            <w:tcBorders>
              <w:top w:val="single" w:sz="6" w:space="0" w:color="auto"/>
              <w:left w:val="single" w:sz="6" w:space="0" w:color="auto"/>
              <w:bottom w:val="single" w:sz="4" w:space="0" w:color="auto"/>
              <w:right w:val="single" w:sz="6" w:space="0" w:color="auto"/>
            </w:tcBorders>
          </w:tcPr>
          <w:p w:rsidR="00683496" w:rsidRDefault="00683496" w:rsidP="00683496">
            <w:pPr>
              <w:jc w:val="center"/>
            </w:pPr>
            <w:r>
              <w:t>ograniczających   pozostałe powierzchnie:</w:t>
            </w:r>
          </w:p>
        </w:tc>
      </w:tr>
      <w:tr w:rsidR="00683496" w:rsidTr="00683496">
        <w:trPr>
          <w:cantSplit/>
        </w:trPr>
        <w:tc>
          <w:tcPr>
            <w:tcW w:w="1913" w:type="dxa"/>
            <w:tcBorders>
              <w:left w:val="single" w:sz="6" w:space="0" w:color="auto"/>
            </w:tcBorders>
          </w:tcPr>
          <w:p w:rsidR="00683496" w:rsidRDefault="00683496" w:rsidP="00683496">
            <w:pPr>
              <w:jc w:val="both"/>
            </w:pPr>
          </w:p>
        </w:tc>
        <w:tc>
          <w:tcPr>
            <w:tcW w:w="3119" w:type="dxa"/>
            <w:tcBorders>
              <w:top w:val="single" w:sz="4" w:space="0" w:color="auto"/>
              <w:left w:val="single" w:sz="6" w:space="0" w:color="auto"/>
              <w:right w:val="single" w:sz="6" w:space="0" w:color="auto"/>
            </w:tcBorders>
          </w:tcPr>
          <w:p w:rsidR="00683496" w:rsidRDefault="00683496" w:rsidP="00683496">
            <w:pPr>
              <w:spacing w:before="60" w:after="60"/>
              <w:jc w:val="both"/>
            </w:pPr>
            <w:r>
              <w:t>liczba, max</w:t>
            </w:r>
          </w:p>
        </w:tc>
        <w:tc>
          <w:tcPr>
            <w:tcW w:w="2476" w:type="dxa"/>
            <w:tcBorders>
              <w:top w:val="single" w:sz="4" w:space="0" w:color="auto"/>
              <w:left w:val="single" w:sz="6" w:space="0" w:color="auto"/>
              <w:right w:val="single" w:sz="6" w:space="0" w:color="auto"/>
            </w:tcBorders>
          </w:tcPr>
          <w:p w:rsidR="00683496" w:rsidRDefault="00683496" w:rsidP="00683496">
            <w:pPr>
              <w:spacing w:before="60" w:after="60"/>
              <w:jc w:val="center"/>
            </w:pPr>
            <w:r>
              <w:t>2</w:t>
            </w:r>
          </w:p>
        </w:tc>
      </w:tr>
      <w:tr w:rsidR="00683496" w:rsidTr="00683496">
        <w:trPr>
          <w:cantSplit/>
        </w:trPr>
        <w:tc>
          <w:tcPr>
            <w:tcW w:w="1913" w:type="dxa"/>
            <w:tcBorders>
              <w:left w:val="single" w:sz="6" w:space="0" w:color="auto"/>
            </w:tcBorders>
          </w:tcPr>
          <w:p w:rsidR="00683496" w:rsidRDefault="00683496" w:rsidP="00683496">
            <w:pPr>
              <w:jc w:val="both"/>
            </w:pPr>
          </w:p>
        </w:tc>
        <w:tc>
          <w:tcPr>
            <w:tcW w:w="3119" w:type="dxa"/>
            <w:tcBorders>
              <w:left w:val="single" w:sz="6" w:space="0" w:color="auto"/>
              <w:right w:val="single" w:sz="6" w:space="0" w:color="auto"/>
            </w:tcBorders>
          </w:tcPr>
          <w:p w:rsidR="00683496" w:rsidRDefault="00683496" w:rsidP="00683496">
            <w:pPr>
              <w:spacing w:before="60" w:after="60"/>
              <w:jc w:val="both"/>
            </w:pPr>
            <w:r>
              <w:t>długość, mm, max</w:t>
            </w:r>
          </w:p>
        </w:tc>
        <w:tc>
          <w:tcPr>
            <w:tcW w:w="2476" w:type="dxa"/>
            <w:tcBorders>
              <w:left w:val="single" w:sz="6" w:space="0" w:color="auto"/>
              <w:right w:val="single" w:sz="6" w:space="0" w:color="auto"/>
            </w:tcBorders>
          </w:tcPr>
          <w:p w:rsidR="00683496" w:rsidRDefault="00683496" w:rsidP="00683496">
            <w:pPr>
              <w:spacing w:before="60" w:after="60"/>
              <w:jc w:val="center"/>
            </w:pPr>
            <w:r>
              <w:t>20</w:t>
            </w:r>
          </w:p>
        </w:tc>
      </w:tr>
      <w:tr w:rsidR="00683496" w:rsidTr="00683496">
        <w:trPr>
          <w:cantSplit/>
        </w:trPr>
        <w:tc>
          <w:tcPr>
            <w:tcW w:w="1913" w:type="dxa"/>
            <w:tcBorders>
              <w:left w:val="single" w:sz="6" w:space="0" w:color="auto"/>
              <w:bottom w:val="single" w:sz="6" w:space="0" w:color="auto"/>
            </w:tcBorders>
          </w:tcPr>
          <w:p w:rsidR="00683496" w:rsidRDefault="00683496" w:rsidP="00683496">
            <w:pPr>
              <w:jc w:val="both"/>
            </w:pPr>
          </w:p>
        </w:tc>
        <w:tc>
          <w:tcPr>
            <w:tcW w:w="3119" w:type="dxa"/>
            <w:tcBorders>
              <w:left w:val="single" w:sz="6" w:space="0" w:color="auto"/>
              <w:bottom w:val="single" w:sz="6" w:space="0" w:color="auto"/>
              <w:right w:val="single" w:sz="6" w:space="0" w:color="auto"/>
            </w:tcBorders>
          </w:tcPr>
          <w:p w:rsidR="00683496" w:rsidRDefault="00683496" w:rsidP="00683496">
            <w:pPr>
              <w:spacing w:before="60" w:after="60"/>
              <w:jc w:val="both"/>
            </w:pPr>
            <w:r>
              <w:t>głębokość, mm, max</w:t>
            </w:r>
          </w:p>
        </w:tc>
        <w:tc>
          <w:tcPr>
            <w:tcW w:w="2476" w:type="dxa"/>
            <w:tcBorders>
              <w:left w:val="single" w:sz="6" w:space="0" w:color="auto"/>
              <w:bottom w:val="single" w:sz="6" w:space="0" w:color="auto"/>
              <w:right w:val="single" w:sz="6" w:space="0" w:color="auto"/>
            </w:tcBorders>
          </w:tcPr>
          <w:p w:rsidR="00683496" w:rsidRDefault="00683496" w:rsidP="00683496">
            <w:pPr>
              <w:spacing w:before="60" w:after="60"/>
              <w:jc w:val="center"/>
            </w:pPr>
            <w:r>
              <w:t>6</w:t>
            </w:r>
          </w:p>
        </w:tc>
      </w:tr>
    </w:tbl>
    <w:p w:rsidR="00683496" w:rsidRDefault="00683496" w:rsidP="00683496">
      <w:pPr>
        <w:jc w:val="both"/>
      </w:pPr>
    </w:p>
    <w:p w:rsidR="00683496" w:rsidRDefault="00683496" w:rsidP="00683496">
      <w:pPr>
        <w:spacing w:before="120"/>
        <w:jc w:val="both"/>
      </w:pPr>
      <w:r>
        <w:rPr>
          <w:b/>
        </w:rPr>
        <w:t xml:space="preserve">2.4.4. </w:t>
      </w:r>
      <w:r>
        <w:t>Składowanie</w:t>
      </w:r>
    </w:p>
    <w:p w:rsidR="00683496" w:rsidRDefault="00683496" w:rsidP="00683496">
      <w:pPr>
        <w:spacing w:before="120"/>
        <w:jc w:val="both"/>
      </w:pPr>
      <w:r>
        <w:tab/>
        <w:t>Betonowe obrzeża chodnikowe mogą być przechowywane na składowiskach otwartych, posegregowane według rodzajów i gatunków.</w:t>
      </w:r>
    </w:p>
    <w:p w:rsidR="00683496" w:rsidRDefault="00683496" w:rsidP="00683496">
      <w:pPr>
        <w:jc w:val="both"/>
      </w:pPr>
      <w:r>
        <w:tab/>
        <w:t>Betonowe obrzeża chodnikowe należy układać z zastosowaniem podkładek  i przekładek drewnianych o wymiarach co najmniej: grubość 2,5 cm, szerokość 5 cm, długość minimum 5 cm większa niż szerokość obrzeża.</w:t>
      </w:r>
    </w:p>
    <w:p w:rsidR="00683496" w:rsidRDefault="00683496" w:rsidP="00683496">
      <w:pPr>
        <w:spacing w:before="120"/>
        <w:jc w:val="both"/>
      </w:pPr>
      <w:r>
        <w:rPr>
          <w:b/>
        </w:rPr>
        <w:t xml:space="preserve">2.4.5. </w:t>
      </w:r>
      <w:r>
        <w:t>Beton i jego składniki</w:t>
      </w:r>
    </w:p>
    <w:p w:rsidR="00683496" w:rsidRDefault="00683496" w:rsidP="00683496">
      <w:pPr>
        <w:spacing w:before="120"/>
        <w:jc w:val="both"/>
      </w:pPr>
      <w:r>
        <w:tab/>
        <w:t>Do produkcji obrzeży należy stosować beton według PN-B-06250 [2], klasy B 25     i B 30.</w:t>
      </w:r>
    </w:p>
    <w:p w:rsidR="00683496" w:rsidRDefault="00683496" w:rsidP="00683496">
      <w:pPr>
        <w:pStyle w:val="Nagwek2"/>
      </w:pPr>
      <w:r>
        <w:lastRenderedPageBreak/>
        <w:t>2.5. Materiały na ławę i do zaprawy</w:t>
      </w:r>
    </w:p>
    <w:p w:rsidR="00683496" w:rsidRDefault="00683496" w:rsidP="00683496">
      <w:pPr>
        <w:jc w:val="both"/>
      </w:pPr>
      <w:r>
        <w:tab/>
        <w:t>Żwir do wykonania ławy powinien odpowiadać wymaganiom PN-B-11111 [5], a piasek - wymaganiom PN-B-11113 [6].</w:t>
      </w:r>
    </w:p>
    <w:p w:rsidR="00683496" w:rsidRDefault="00683496" w:rsidP="00683496">
      <w:pPr>
        <w:pStyle w:val="Nagwek2"/>
      </w:pPr>
      <w:r>
        <w:t>2.5.1. Materiały na podsypkę i do zapraw</w:t>
      </w:r>
    </w:p>
    <w:p w:rsidR="00683496" w:rsidRDefault="00683496" w:rsidP="00683496">
      <w:r>
        <w:tab/>
        <w:t>Piasek na podsypkę cementowo-piaskową powinien odpowiadać wymaganiom PN-B-06712 [5], a do zaprawy cementowo-piaskowej PN-B-06711 [4].</w:t>
      </w:r>
    </w:p>
    <w:p w:rsidR="00683496" w:rsidRDefault="00683496" w:rsidP="00683496">
      <w:r>
        <w:tab/>
        <w:t>Cement na podsypkę i do zaprawy cementowo-piaskowej powinien być cementem portlandzkim klasy nie mniejszej niż „32,5”, odpowiadający wymaganiom PN-B-19701 [10].</w:t>
      </w:r>
    </w:p>
    <w:p w:rsidR="00683496" w:rsidRDefault="00683496" w:rsidP="00683496">
      <w:r>
        <w:tab/>
        <w:t>Woda powinna być odmiany „1” i odpowiadać wymaganiom PN-B-32250 [11].</w:t>
      </w:r>
    </w:p>
    <w:p w:rsidR="00683496" w:rsidRDefault="00683496" w:rsidP="00683496">
      <w:pPr>
        <w:pStyle w:val="Nagwek2"/>
      </w:pPr>
      <w:r>
        <w:t>2.6. Materiały na ławy</w:t>
      </w:r>
    </w:p>
    <w:p w:rsidR="00683496" w:rsidRDefault="00683496" w:rsidP="00683496">
      <w:r>
        <w:tab/>
        <w:t>Do wykonania ław pod krawężniki należy stosować, dla:</w:t>
      </w:r>
    </w:p>
    <w:p w:rsidR="00683496" w:rsidRDefault="00683496" w:rsidP="002122BD">
      <w:pPr>
        <w:numPr>
          <w:ilvl w:val="0"/>
          <w:numId w:val="55"/>
        </w:numPr>
      </w:pPr>
      <w:r>
        <w:t>ławy żwirowej - żwir odpowiadający wymaganiom PN-B-11111 [7],</w:t>
      </w:r>
    </w:p>
    <w:p w:rsidR="00683496" w:rsidRDefault="00683496" w:rsidP="00683496">
      <w:pPr>
        <w:pStyle w:val="Nagwek2"/>
      </w:pPr>
      <w:r>
        <w:t>2.7. Masa zalewowa</w:t>
      </w:r>
    </w:p>
    <w:p w:rsidR="00683496" w:rsidRDefault="00683496" w:rsidP="00683496">
      <w:r>
        <w:tab/>
        <w:t>Masa zalewowa, do wypełnienia szczelin dylatacyjnych na gorąco, powinna odpowiadać wymaganiom BN-74/6771-04 [13] lub aprobaty technicznej.</w:t>
      </w:r>
    </w:p>
    <w:p w:rsidR="00683496" w:rsidRDefault="00683496" w:rsidP="00683496">
      <w:pPr>
        <w:jc w:val="both"/>
      </w:pPr>
    </w:p>
    <w:p w:rsidR="00683496" w:rsidRDefault="00683496" w:rsidP="00683496">
      <w:pPr>
        <w:pStyle w:val="Nagwek1"/>
      </w:pPr>
      <w:r>
        <w:t>3. sprzęt</w:t>
      </w:r>
    </w:p>
    <w:p w:rsidR="00683496" w:rsidRDefault="00683496" w:rsidP="00683496">
      <w:pPr>
        <w:pStyle w:val="Nagwek2"/>
      </w:pPr>
      <w:r>
        <w:t>3.1. Ogólne wymagania dotyczące sprzętu</w:t>
      </w:r>
    </w:p>
    <w:p w:rsidR="00683496" w:rsidRDefault="00683496" w:rsidP="00683496">
      <w:pPr>
        <w:jc w:val="both"/>
      </w:pPr>
      <w:r>
        <w:tab/>
        <w:t>Ogólne wymagania dotyczące sprzętu podano w SST D-00.00.00 „Wymagania ogólne” pkt 3.</w:t>
      </w:r>
    </w:p>
    <w:p w:rsidR="00683496" w:rsidRDefault="00683496" w:rsidP="00683496">
      <w:pPr>
        <w:pStyle w:val="Nagwek2"/>
      </w:pPr>
      <w:r>
        <w:t>3.2. Sprzęt do ustawiania obrzeży</w:t>
      </w:r>
    </w:p>
    <w:p w:rsidR="00683496" w:rsidRDefault="00683496" w:rsidP="00683496">
      <w:pPr>
        <w:jc w:val="both"/>
      </w:pPr>
      <w:r>
        <w:tab/>
        <w:t>Roboty wykonuje się ręcznie przy zastosowaniu drobnego sprzętu pomocniczego.</w:t>
      </w:r>
    </w:p>
    <w:p w:rsidR="00683496" w:rsidRDefault="00683496" w:rsidP="00683496">
      <w:pPr>
        <w:pStyle w:val="Nagwek1"/>
      </w:pPr>
      <w:r>
        <w:t>4. transport</w:t>
      </w:r>
    </w:p>
    <w:p w:rsidR="00683496" w:rsidRDefault="00683496" w:rsidP="00683496">
      <w:pPr>
        <w:pStyle w:val="Nagwek2"/>
      </w:pPr>
      <w:r>
        <w:t>4.1. Ogólne wymagania dotyczące transportu</w:t>
      </w:r>
    </w:p>
    <w:p w:rsidR="00683496" w:rsidRDefault="00683496" w:rsidP="00683496">
      <w:pPr>
        <w:jc w:val="both"/>
      </w:pPr>
      <w:r>
        <w:tab/>
        <w:t>Ogólne wymagania dotyczące transportu podano w SST D-00.00.00 „Wymagania ogólne” pkt 4.</w:t>
      </w:r>
    </w:p>
    <w:p w:rsidR="00683496" w:rsidRDefault="00683496" w:rsidP="00683496">
      <w:pPr>
        <w:pStyle w:val="Nagwek2"/>
      </w:pPr>
      <w:r>
        <w:t>4.2. Transport obrzeży betonowych</w:t>
      </w:r>
    </w:p>
    <w:p w:rsidR="00683496" w:rsidRDefault="00683496" w:rsidP="00683496">
      <w:pPr>
        <w:jc w:val="both"/>
      </w:pPr>
      <w:r>
        <w:tab/>
        <w:t>Betonowe obrzeża chodnikowe mogą być przewożone dowolnymi środkami transportu po osiągnięciu przez beton wytrzymałości minimum 0,7 wytrzymałości projektowanej.</w:t>
      </w:r>
    </w:p>
    <w:p w:rsidR="00683496" w:rsidRDefault="00683496" w:rsidP="00683496">
      <w:pPr>
        <w:jc w:val="both"/>
      </w:pPr>
      <w:r>
        <w:tab/>
        <w:t>Obrzeża powinny być zabezpieczone przed przemieszczeniem się i uszkodzeniami w czasie transportu.</w:t>
      </w:r>
    </w:p>
    <w:p w:rsidR="00683496" w:rsidRDefault="00683496" w:rsidP="00683496">
      <w:pPr>
        <w:pStyle w:val="Nagwek1"/>
      </w:pPr>
      <w:r>
        <w:t>5. wykonanie robót</w:t>
      </w:r>
    </w:p>
    <w:p w:rsidR="00683496" w:rsidRDefault="00683496" w:rsidP="00683496">
      <w:pPr>
        <w:pStyle w:val="Nagwek2"/>
      </w:pPr>
      <w:r>
        <w:t>5.1. Ogólne zasady wykonania robót</w:t>
      </w:r>
    </w:p>
    <w:p w:rsidR="00683496" w:rsidRDefault="00683496" w:rsidP="00683496">
      <w:pPr>
        <w:jc w:val="both"/>
      </w:pPr>
      <w:r>
        <w:tab/>
        <w:t>Ogólne zasady wykonania robót podano w SST D-00.00.00 „Wymagania ogólne” pkt 5.</w:t>
      </w:r>
    </w:p>
    <w:p w:rsidR="00683496" w:rsidRDefault="00683496" w:rsidP="00683496">
      <w:pPr>
        <w:pStyle w:val="Nagwek2"/>
      </w:pPr>
      <w:r>
        <w:t>5.2. Wykonanie koryta</w:t>
      </w:r>
    </w:p>
    <w:p w:rsidR="00683496" w:rsidRDefault="00683496" w:rsidP="00683496">
      <w:pPr>
        <w:jc w:val="both"/>
      </w:pPr>
      <w:r>
        <w:tab/>
        <w:t>Koryto pod podsypkę (ławę) należy wykonywać zgodnie z PN-B-06050 [1].</w:t>
      </w:r>
    </w:p>
    <w:p w:rsidR="00683496" w:rsidRDefault="00683496" w:rsidP="00683496">
      <w:pPr>
        <w:jc w:val="both"/>
      </w:pPr>
      <w:r>
        <w:tab/>
        <w:t>Wymiary wykopu powinny odpowiadać wymiarom ławy w planie z uwzględnieniem w szerokości dna wykopu ew. konstrukcji szalunku.</w:t>
      </w:r>
    </w:p>
    <w:p w:rsidR="00683496" w:rsidRDefault="00683496" w:rsidP="00683496">
      <w:pPr>
        <w:pStyle w:val="Nagwek2"/>
      </w:pPr>
      <w:r>
        <w:t>5.3. Podłoże lub podsypka (ława)</w:t>
      </w:r>
    </w:p>
    <w:p w:rsidR="00683496" w:rsidRDefault="00683496" w:rsidP="00683496">
      <w:pPr>
        <w:jc w:val="both"/>
      </w:pPr>
      <w:r>
        <w:tab/>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683496" w:rsidRDefault="00683496" w:rsidP="00683496">
      <w:pPr>
        <w:pStyle w:val="Nagwek2"/>
      </w:pPr>
      <w:r>
        <w:t>5.4. Ustawienie betonowych obrzeży chodnikowych</w:t>
      </w:r>
    </w:p>
    <w:p w:rsidR="00683496" w:rsidRDefault="00683496" w:rsidP="00683496">
      <w:pPr>
        <w:jc w:val="both"/>
      </w:pPr>
      <w:r>
        <w:tab/>
        <w:t>Betonowe obrzeża chodnikowe należy ustawiać na wykonanym podłożu w miejscu i ze światłem (odległością górnej powierzchni obrzeża od ciągu komunikacyjnego) zgodnym z ustaleniami dokumentacji projektowej.</w:t>
      </w:r>
    </w:p>
    <w:p w:rsidR="00683496" w:rsidRDefault="00683496" w:rsidP="00683496">
      <w:pPr>
        <w:jc w:val="both"/>
      </w:pPr>
      <w:r>
        <w:tab/>
        <w:t>Zewnętrzna ściana obrzeża powinna być obsypana piaskiem, żwirem lub miejscowym gruntem przepuszczalnym, starannie ubitym.</w:t>
      </w:r>
    </w:p>
    <w:p w:rsidR="00683496" w:rsidRDefault="00683496" w:rsidP="00683496">
      <w:pPr>
        <w:jc w:val="both"/>
      </w:pPr>
      <w:r>
        <w:tab/>
        <w:t>Spoiny nie powinny przekraczać szerokości 1 cm. Należy wypełnić je piaskiem lub zaprawą cementowo-piaskową w stosunku 1:2. Spoiny przed zalaniem należy oczyścić i zmyć wodą. Spoiny muszą być wypełnione całkowicie na pełną głębokość.</w:t>
      </w:r>
    </w:p>
    <w:p w:rsidR="00683496" w:rsidRDefault="00683496" w:rsidP="00683496">
      <w:pPr>
        <w:pStyle w:val="Nagwek1"/>
      </w:pPr>
      <w:r>
        <w:lastRenderedPageBreak/>
        <w:t>6. kontrola jakości robót</w:t>
      </w:r>
    </w:p>
    <w:p w:rsidR="00683496" w:rsidRDefault="00683496" w:rsidP="00683496">
      <w:pPr>
        <w:pStyle w:val="Nagwek2"/>
      </w:pPr>
      <w:r>
        <w:t>6.1. Ogólne zasady kontroli jakości robót</w:t>
      </w:r>
    </w:p>
    <w:p w:rsidR="00683496" w:rsidRDefault="00683496" w:rsidP="00683496">
      <w:pPr>
        <w:jc w:val="both"/>
      </w:pPr>
      <w:r>
        <w:tab/>
        <w:t>Ogólne zasady kontroli jakości robót podano w SST D-00.00.00 „Wymagania ogólne” pkt 6.</w:t>
      </w:r>
    </w:p>
    <w:p w:rsidR="00683496" w:rsidRDefault="00683496" w:rsidP="00683496">
      <w:pPr>
        <w:pStyle w:val="Nagwek2"/>
      </w:pPr>
      <w:r>
        <w:t>6.2. Badania przed przystąpieniem do robót</w:t>
      </w:r>
    </w:p>
    <w:p w:rsidR="00683496" w:rsidRDefault="00683496" w:rsidP="00683496">
      <w:pPr>
        <w:jc w:val="both"/>
      </w:pPr>
      <w:r>
        <w:tab/>
        <w:t>Przed przystąpieniem do robót Wykonawca powinien wykonać badania materiałów przeznaczonych do ustawienia betonowych obrzeży chodnikowych i przedstawić wyniki tych badań Inżynierowi do akceptacji.</w:t>
      </w:r>
    </w:p>
    <w:p w:rsidR="00683496" w:rsidRDefault="00683496" w:rsidP="00683496">
      <w:pPr>
        <w:jc w:val="both"/>
      </w:pPr>
      <w: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683496" w:rsidRDefault="00683496" w:rsidP="00683496">
      <w:pPr>
        <w:jc w:val="both"/>
      </w:pPr>
      <w: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683496" w:rsidRDefault="00683496" w:rsidP="00683496">
      <w:pPr>
        <w:jc w:val="both"/>
      </w:pPr>
      <w:r>
        <w:tab/>
        <w:t>Badania pozostałych materiałów powinny obejmować wszystkie właściwości określone w normach podanych dla odpowiednich materiałów wymienionych w pkt 2.</w:t>
      </w:r>
    </w:p>
    <w:p w:rsidR="00683496" w:rsidRDefault="00683496" w:rsidP="00683496">
      <w:pPr>
        <w:pStyle w:val="Nagwek2"/>
        <w:ind w:left="-142"/>
      </w:pPr>
      <w:r>
        <w:t>6.3. Wykonanie ław</w:t>
      </w:r>
    </w:p>
    <w:p w:rsidR="00683496" w:rsidRDefault="00683496" w:rsidP="00683496">
      <w:pPr>
        <w:ind w:left="-142"/>
        <w:jc w:val="both"/>
      </w:pPr>
      <w:r>
        <w:tab/>
        <w:t>Wykonanie ław powinno być zgodne z BN-64/8845-02 [16].</w:t>
      </w:r>
    </w:p>
    <w:p w:rsidR="00683496" w:rsidRDefault="00683496" w:rsidP="00683496">
      <w:pPr>
        <w:spacing w:before="120"/>
        <w:ind w:left="-142"/>
        <w:jc w:val="both"/>
      </w:pPr>
      <w:r>
        <w:rPr>
          <w:b/>
        </w:rPr>
        <w:t xml:space="preserve">6.3. </w:t>
      </w:r>
      <w:r>
        <w:t>Ława betonowa</w:t>
      </w:r>
    </w:p>
    <w:p w:rsidR="00683496" w:rsidRDefault="00683496" w:rsidP="00683496">
      <w:pPr>
        <w:spacing w:before="120"/>
        <w:ind w:left="-142"/>
        <w:jc w:val="both"/>
      </w:pPr>
      <w:r>
        <w:tab/>
        <w:t>Ławy betonowe zwykłe w gruntach spoistych wykonuje się bez szalowania, przy gruntach sypkich należy stosować szalowanie.</w:t>
      </w:r>
    </w:p>
    <w:p w:rsidR="00683496" w:rsidRDefault="00683496" w:rsidP="00683496">
      <w:pPr>
        <w:ind w:left="-142"/>
        <w:jc w:val="both"/>
      </w:pPr>
      <w:r>
        <w:tab/>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683496" w:rsidRDefault="00683496" w:rsidP="00683496">
      <w:pPr>
        <w:jc w:val="both"/>
      </w:pPr>
    </w:p>
    <w:p w:rsidR="00683496" w:rsidRDefault="00683496" w:rsidP="00683496">
      <w:pPr>
        <w:pStyle w:val="Nagwek2"/>
      </w:pPr>
      <w:r>
        <w:t>6.4. Badania w czasie robót</w:t>
      </w:r>
    </w:p>
    <w:p w:rsidR="00683496" w:rsidRDefault="00683496" w:rsidP="00683496">
      <w:pPr>
        <w:jc w:val="both"/>
      </w:pPr>
      <w:r>
        <w:tab/>
        <w:t>W czasie robót należy sprawdzać wykonanie:</w:t>
      </w:r>
    </w:p>
    <w:p w:rsidR="00683496" w:rsidRDefault="00683496" w:rsidP="002122BD">
      <w:pPr>
        <w:numPr>
          <w:ilvl w:val="0"/>
          <w:numId w:val="54"/>
        </w:numPr>
        <w:jc w:val="both"/>
      </w:pPr>
      <w:r>
        <w:t>koryta pod podsypkę (ławę) - zgodnie z wymaganiami pkt 5.2,</w:t>
      </w:r>
    </w:p>
    <w:p w:rsidR="00683496" w:rsidRDefault="00683496" w:rsidP="002122BD">
      <w:pPr>
        <w:numPr>
          <w:ilvl w:val="0"/>
          <w:numId w:val="54"/>
        </w:numPr>
        <w:jc w:val="both"/>
      </w:pPr>
      <w:r>
        <w:t>podłoża z rodzimego gruntu piaszczystego lub podsypki (ławy) ze żwiru lub piasku - zgodnie z wymaganiami pkt 5.3,</w:t>
      </w:r>
    </w:p>
    <w:p w:rsidR="00683496" w:rsidRDefault="00683496" w:rsidP="002122BD">
      <w:pPr>
        <w:numPr>
          <w:ilvl w:val="0"/>
          <w:numId w:val="54"/>
        </w:numPr>
        <w:jc w:val="both"/>
      </w:pPr>
      <w:r>
        <w:t>ustawienia betonowego obrzeża chodnikowego - zgodnie z wymaganiami pkt 5.4, przy dopuszczalnych odchyleniach:</w:t>
      </w:r>
    </w:p>
    <w:p w:rsidR="00683496" w:rsidRDefault="00683496" w:rsidP="00683496">
      <w:pPr>
        <w:numPr>
          <w:ilvl w:val="0"/>
          <w:numId w:val="1"/>
        </w:numPr>
        <w:jc w:val="both"/>
      </w:pPr>
      <w:r>
        <w:t xml:space="preserve">linii obrzeża w planie, które może wynosić </w:t>
      </w:r>
      <w:r>
        <w:sym w:font="Symbol" w:char="F0B1"/>
      </w:r>
      <w:r>
        <w:t xml:space="preserve"> 2 cm na każde 100 m długości obrzeża,</w:t>
      </w:r>
    </w:p>
    <w:p w:rsidR="00683496" w:rsidRDefault="00683496" w:rsidP="00683496">
      <w:pPr>
        <w:numPr>
          <w:ilvl w:val="0"/>
          <w:numId w:val="1"/>
        </w:numPr>
        <w:jc w:val="both"/>
      </w:pPr>
      <w:r>
        <w:t xml:space="preserve">niwelety górnej płaszczyzny obrzeża , które może wynosić </w:t>
      </w:r>
      <w:r>
        <w:sym w:font="Symbol" w:char="F0B1"/>
      </w:r>
      <w:r>
        <w:t>1 cm na każde 100 m długości obrzeża,</w:t>
      </w:r>
    </w:p>
    <w:p w:rsidR="00683496" w:rsidRDefault="00683496" w:rsidP="00683496">
      <w:pPr>
        <w:numPr>
          <w:ilvl w:val="0"/>
          <w:numId w:val="1"/>
        </w:numPr>
        <w:jc w:val="both"/>
      </w:pPr>
      <w:r>
        <w:t>wypełnienia spoin, sprawdzane co 10 metrów, które powinno wykazywać całkowite wypełnienie badanej spoiny na pełną głębokość.</w:t>
      </w:r>
    </w:p>
    <w:p w:rsidR="00683496" w:rsidRDefault="00683496" w:rsidP="00683496">
      <w:pPr>
        <w:pStyle w:val="Nagwek1"/>
      </w:pPr>
      <w:r>
        <w:t>7. obmiar robót</w:t>
      </w:r>
    </w:p>
    <w:p w:rsidR="00683496" w:rsidRDefault="00683496" w:rsidP="00683496">
      <w:pPr>
        <w:pStyle w:val="Nagwek2"/>
      </w:pPr>
      <w:r>
        <w:t>7.1. Ogólne zasady obmiaru robót</w:t>
      </w:r>
    </w:p>
    <w:p w:rsidR="00683496" w:rsidRDefault="00683496" w:rsidP="00683496">
      <w:pPr>
        <w:jc w:val="both"/>
      </w:pPr>
      <w:r>
        <w:tab/>
        <w:t>Ogólne zasady obmiaru robót podano w SST D-00.00.00 „Wymagania ogólne” pkt 7.</w:t>
      </w:r>
    </w:p>
    <w:p w:rsidR="00683496" w:rsidRDefault="00683496" w:rsidP="00683496">
      <w:pPr>
        <w:pStyle w:val="Nagwek2"/>
      </w:pPr>
      <w:r>
        <w:t>7.2. Jednostka obmiarowa</w:t>
      </w:r>
    </w:p>
    <w:p w:rsidR="00683496" w:rsidRDefault="00683496" w:rsidP="00683496">
      <w:pPr>
        <w:jc w:val="both"/>
      </w:pPr>
      <w:r>
        <w:tab/>
        <w:t>Jednostką obmiarową jest m (metr) ustawionego betonowego obrzeża chodnikowego.</w:t>
      </w:r>
    </w:p>
    <w:p w:rsidR="00683496" w:rsidRDefault="00683496" w:rsidP="00683496">
      <w:pPr>
        <w:pStyle w:val="Nagwek1"/>
      </w:pPr>
      <w:r>
        <w:t>8. ODBIÓR ROBÓT</w:t>
      </w:r>
    </w:p>
    <w:p w:rsidR="00683496" w:rsidRDefault="00683496" w:rsidP="00683496">
      <w:pPr>
        <w:pStyle w:val="Nagwek2"/>
      </w:pPr>
      <w:r>
        <w:t>8.1. Ogólne zasady odbioru robót</w:t>
      </w:r>
    </w:p>
    <w:p w:rsidR="00683496" w:rsidRDefault="00683496" w:rsidP="00683496">
      <w:pPr>
        <w:jc w:val="both"/>
      </w:pPr>
      <w:r>
        <w:rPr>
          <w:b/>
        </w:rPr>
        <w:tab/>
      </w:r>
      <w:r>
        <w:t>Ogólne zasady odbioru robót podano w SST D-00.00.00 „Wymagania ogólne” pkt 8.</w:t>
      </w:r>
    </w:p>
    <w:p w:rsidR="00683496" w:rsidRDefault="00683496" w:rsidP="00683496">
      <w:pPr>
        <w:jc w:val="both"/>
      </w:pPr>
      <w:r>
        <w:tab/>
        <w:t>Roboty uznaje się za wykonane zgodnie z dokumentacją projektową, SST i wymaganiami Inżyniera, jeżeli wszystkie pomiary i badania z zachowaniem tolerancji wg pkt 6 dały wyniki pozytywne.</w:t>
      </w:r>
    </w:p>
    <w:p w:rsidR="00683496" w:rsidRDefault="00683496" w:rsidP="00683496">
      <w:pPr>
        <w:pStyle w:val="Nagwek2"/>
      </w:pPr>
      <w:r>
        <w:t>8.2. Odbiór robót zanikających i ulegających zakryciu</w:t>
      </w:r>
    </w:p>
    <w:p w:rsidR="00683496" w:rsidRDefault="00683496" w:rsidP="00683496">
      <w:pPr>
        <w:jc w:val="both"/>
      </w:pPr>
      <w:r>
        <w:tab/>
        <w:t>Odbiorowi robót zanikających i ulegających zakryciu podlegają:</w:t>
      </w:r>
    </w:p>
    <w:p w:rsidR="00683496" w:rsidRDefault="00683496" w:rsidP="00683496">
      <w:pPr>
        <w:numPr>
          <w:ilvl w:val="0"/>
          <w:numId w:val="1"/>
        </w:numPr>
        <w:jc w:val="both"/>
      </w:pPr>
      <w:r>
        <w:t>wykonane koryto,</w:t>
      </w:r>
    </w:p>
    <w:p w:rsidR="00683496" w:rsidRDefault="00683496" w:rsidP="00683496">
      <w:pPr>
        <w:numPr>
          <w:ilvl w:val="0"/>
          <w:numId w:val="1"/>
        </w:numPr>
        <w:jc w:val="both"/>
      </w:pPr>
      <w:r>
        <w:t>wykonana podsypka.</w:t>
      </w:r>
    </w:p>
    <w:p w:rsidR="00683496" w:rsidRDefault="00683496" w:rsidP="00683496">
      <w:pPr>
        <w:pStyle w:val="Nagwek1"/>
      </w:pPr>
      <w:r>
        <w:lastRenderedPageBreak/>
        <w:t>9. PODSTAWA PŁATNOŚCI</w:t>
      </w:r>
    </w:p>
    <w:p w:rsidR="00683496" w:rsidRDefault="00683496" w:rsidP="00683496">
      <w:pPr>
        <w:pStyle w:val="Nagwek2"/>
      </w:pPr>
      <w:r>
        <w:t>9.1. Ogólne ustalenia dotyczące podstawy płatności</w:t>
      </w:r>
    </w:p>
    <w:p w:rsidR="00683496" w:rsidRDefault="00683496" w:rsidP="00683496">
      <w:pPr>
        <w:jc w:val="both"/>
      </w:pPr>
      <w:r>
        <w:tab/>
        <w:t>Ogólne ustalenia dotyczące podstawy płatności podano w SST D-00.00.00 „Wymagania ogólne” pkt 9.</w:t>
      </w:r>
    </w:p>
    <w:p w:rsidR="00683496" w:rsidRDefault="00683496" w:rsidP="00683496">
      <w:pPr>
        <w:pStyle w:val="Nagwek2"/>
      </w:pPr>
      <w:r>
        <w:t>9.2. Cena jednostki obmiarowej</w:t>
      </w:r>
    </w:p>
    <w:p w:rsidR="00683496" w:rsidRDefault="00683496" w:rsidP="00683496">
      <w:pPr>
        <w:jc w:val="both"/>
      </w:pPr>
      <w:r>
        <w:tab/>
        <w:t>Cena wykonania 1 m betonowego obrzeża chodnikowego obejmuje:</w:t>
      </w:r>
    </w:p>
    <w:p w:rsidR="00683496" w:rsidRDefault="00683496" w:rsidP="00683496">
      <w:pPr>
        <w:numPr>
          <w:ilvl w:val="0"/>
          <w:numId w:val="1"/>
        </w:numPr>
        <w:jc w:val="both"/>
      </w:pPr>
      <w:r>
        <w:t>prace pomiarowe i roboty przygotowawcze,</w:t>
      </w:r>
    </w:p>
    <w:p w:rsidR="00683496" w:rsidRDefault="00683496" w:rsidP="00683496">
      <w:pPr>
        <w:numPr>
          <w:ilvl w:val="0"/>
          <w:numId w:val="1"/>
        </w:numPr>
        <w:jc w:val="both"/>
      </w:pPr>
      <w:r>
        <w:t>dostarczenie materiałów,</w:t>
      </w:r>
    </w:p>
    <w:p w:rsidR="00683496" w:rsidRDefault="00683496" w:rsidP="00683496">
      <w:pPr>
        <w:numPr>
          <w:ilvl w:val="0"/>
          <w:numId w:val="1"/>
        </w:numPr>
        <w:jc w:val="both"/>
      </w:pPr>
      <w:r>
        <w:t>wykonanie koryta,</w:t>
      </w:r>
    </w:p>
    <w:p w:rsidR="00683496" w:rsidRDefault="00683496" w:rsidP="00683496">
      <w:pPr>
        <w:numPr>
          <w:ilvl w:val="0"/>
          <w:numId w:val="1"/>
        </w:numPr>
        <w:jc w:val="both"/>
      </w:pPr>
      <w:r>
        <w:t>rozścielenie i ubicie podsypki,</w:t>
      </w:r>
    </w:p>
    <w:p w:rsidR="00683496" w:rsidRDefault="00683496" w:rsidP="00683496">
      <w:pPr>
        <w:numPr>
          <w:ilvl w:val="0"/>
          <w:numId w:val="1"/>
        </w:numPr>
        <w:jc w:val="both"/>
      </w:pPr>
      <w:r>
        <w:t>ustawienie obrzeża,</w:t>
      </w:r>
    </w:p>
    <w:p w:rsidR="00683496" w:rsidRDefault="00683496" w:rsidP="00683496">
      <w:pPr>
        <w:numPr>
          <w:ilvl w:val="0"/>
          <w:numId w:val="1"/>
        </w:numPr>
        <w:jc w:val="both"/>
      </w:pPr>
      <w:r>
        <w:t>wypełnienie spoin,</w:t>
      </w:r>
    </w:p>
    <w:p w:rsidR="00683496" w:rsidRDefault="00683496" w:rsidP="00683496">
      <w:pPr>
        <w:numPr>
          <w:ilvl w:val="0"/>
          <w:numId w:val="1"/>
        </w:numPr>
        <w:jc w:val="both"/>
      </w:pPr>
      <w:r>
        <w:t>obsypanie zewnętrznej ściany obrzeża,</w:t>
      </w:r>
    </w:p>
    <w:p w:rsidR="00683496" w:rsidRDefault="00683496" w:rsidP="00683496">
      <w:pPr>
        <w:numPr>
          <w:ilvl w:val="0"/>
          <w:numId w:val="1"/>
        </w:numPr>
        <w:jc w:val="both"/>
      </w:pPr>
      <w:r>
        <w:t>wykonanie badań i pomiarów wymaganych w specyfikacji technicznej.</w:t>
      </w:r>
    </w:p>
    <w:p w:rsidR="00683496" w:rsidRDefault="00683496" w:rsidP="00683496">
      <w:pPr>
        <w:pStyle w:val="Nagwek1"/>
      </w:pPr>
      <w:r>
        <w:t>10. przepisy związane</w:t>
      </w:r>
    </w:p>
    <w:p w:rsidR="00683496" w:rsidRDefault="00683496" w:rsidP="00683496">
      <w:pPr>
        <w:pStyle w:val="Nagwek2"/>
      </w:pPr>
      <w:r>
        <w:t>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683496" w:rsidTr="00683496">
        <w:tc>
          <w:tcPr>
            <w:tcW w:w="637" w:type="dxa"/>
          </w:tcPr>
          <w:p w:rsidR="00683496" w:rsidRDefault="00683496" w:rsidP="00683496">
            <w:pPr>
              <w:jc w:val="both"/>
            </w:pPr>
            <w:r>
              <w:t>1.</w:t>
            </w:r>
          </w:p>
        </w:tc>
        <w:tc>
          <w:tcPr>
            <w:tcW w:w="1701" w:type="dxa"/>
          </w:tcPr>
          <w:p w:rsidR="00683496" w:rsidRDefault="00683496" w:rsidP="00683496">
            <w:pPr>
              <w:jc w:val="both"/>
            </w:pPr>
            <w:r>
              <w:t>PN-B-06050</w:t>
            </w:r>
          </w:p>
        </w:tc>
        <w:tc>
          <w:tcPr>
            <w:tcW w:w="5171" w:type="dxa"/>
          </w:tcPr>
          <w:p w:rsidR="00683496" w:rsidRDefault="00683496" w:rsidP="00683496">
            <w:pPr>
              <w:jc w:val="both"/>
            </w:pPr>
            <w:r>
              <w:t>Roboty ziemne budowlane</w:t>
            </w:r>
          </w:p>
        </w:tc>
      </w:tr>
      <w:tr w:rsidR="00683496" w:rsidTr="00683496">
        <w:tc>
          <w:tcPr>
            <w:tcW w:w="637" w:type="dxa"/>
          </w:tcPr>
          <w:p w:rsidR="00683496" w:rsidRDefault="00683496" w:rsidP="00683496">
            <w:pPr>
              <w:jc w:val="both"/>
            </w:pPr>
            <w:r>
              <w:t>2.</w:t>
            </w:r>
          </w:p>
        </w:tc>
        <w:tc>
          <w:tcPr>
            <w:tcW w:w="1701" w:type="dxa"/>
          </w:tcPr>
          <w:p w:rsidR="00683496" w:rsidRDefault="00683496" w:rsidP="00683496">
            <w:pPr>
              <w:jc w:val="both"/>
            </w:pPr>
            <w:r>
              <w:t>PN-B-06250</w:t>
            </w:r>
          </w:p>
        </w:tc>
        <w:tc>
          <w:tcPr>
            <w:tcW w:w="5171" w:type="dxa"/>
          </w:tcPr>
          <w:p w:rsidR="00683496" w:rsidRDefault="00683496" w:rsidP="00683496">
            <w:pPr>
              <w:jc w:val="both"/>
            </w:pPr>
            <w:r>
              <w:t>Beton zwykły</w:t>
            </w:r>
          </w:p>
        </w:tc>
      </w:tr>
      <w:tr w:rsidR="00683496" w:rsidTr="00683496">
        <w:tc>
          <w:tcPr>
            <w:tcW w:w="637" w:type="dxa"/>
          </w:tcPr>
          <w:p w:rsidR="00683496" w:rsidRDefault="00683496" w:rsidP="00683496">
            <w:pPr>
              <w:jc w:val="both"/>
            </w:pPr>
            <w:r>
              <w:t>3.</w:t>
            </w:r>
          </w:p>
        </w:tc>
        <w:tc>
          <w:tcPr>
            <w:tcW w:w="1701" w:type="dxa"/>
          </w:tcPr>
          <w:p w:rsidR="00683496" w:rsidRDefault="00683496" w:rsidP="00683496">
            <w:pPr>
              <w:jc w:val="both"/>
            </w:pPr>
            <w:r>
              <w:t>PN-B-06711</w:t>
            </w:r>
          </w:p>
        </w:tc>
        <w:tc>
          <w:tcPr>
            <w:tcW w:w="5171" w:type="dxa"/>
          </w:tcPr>
          <w:p w:rsidR="00683496" w:rsidRDefault="00683496" w:rsidP="00683496">
            <w:pPr>
              <w:jc w:val="both"/>
            </w:pPr>
            <w:r>
              <w:t>Kruszywo mineralne. Piasek do betonów i zapraw</w:t>
            </w:r>
          </w:p>
        </w:tc>
      </w:tr>
      <w:tr w:rsidR="00683496" w:rsidTr="00683496">
        <w:tc>
          <w:tcPr>
            <w:tcW w:w="637" w:type="dxa"/>
          </w:tcPr>
          <w:p w:rsidR="00683496" w:rsidRDefault="00683496" w:rsidP="00683496">
            <w:pPr>
              <w:jc w:val="both"/>
            </w:pPr>
            <w:r>
              <w:t>4.</w:t>
            </w:r>
          </w:p>
        </w:tc>
        <w:tc>
          <w:tcPr>
            <w:tcW w:w="1701" w:type="dxa"/>
          </w:tcPr>
          <w:p w:rsidR="00683496" w:rsidRDefault="00683496" w:rsidP="00683496">
            <w:pPr>
              <w:jc w:val="both"/>
            </w:pPr>
            <w:r>
              <w:t>PN-B-10021</w:t>
            </w:r>
          </w:p>
        </w:tc>
        <w:tc>
          <w:tcPr>
            <w:tcW w:w="5171" w:type="dxa"/>
          </w:tcPr>
          <w:p w:rsidR="00683496" w:rsidRDefault="00683496" w:rsidP="00683496">
            <w:pPr>
              <w:jc w:val="both"/>
            </w:pPr>
            <w:r>
              <w:t>Prefabrykaty budowlane z betonu. Metody pomiaru cech geometrycznych</w:t>
            </w:r>
          </w:p>
        </w:tc>
      </w:tr>
      <w:tr w:rsidR="00683496" w:rsidTr="00683496">
        <w:tc>
          <w:tcPr>
            <w:tcW w:w="637" w:type="dxa"/>
          </w:tcPr>
          <w:p w:rsidR="00683496" w:rsidRDefault="00683496" w:rsidP="00683496">
            <w:pPr>
              <w:jc w:val="both"/>
            </w:pPr>
            <w:r>
              <w:t>5.</w:t>
            </w:r>
          </w:p>
        </w:tc>
        <w:tc>
          <w:tcPr>
            <w:tcW w:w="1701" w:type="dxa"/>
          </w:tcPr>
          <w:p w:rsidR="00683496" w:rsidRDefault="00683496" w:rsidP="00683496">
            <w:pPr>
              <w:jc w:val="both"/>
            </w:pPr>
            <w:r>
              <w:t>PN-B-11111</w:t>
            </w:r>
          </w:p>
        </w:tc>
        <w:tc>
          <w:tcPr>
            <w:tcW w:w="5171" w:type="dxa"/>
          </w:tcPr>
          <w:p w:rsidR="00683496" w:rsidRDefault="00683496" w:rsidP="00683496">
            <w:pPr>
              <w:jc w:val="both"/>
            </w:pPr>
            <w:r>
              <w:t>Kruszywo mineralne. Kruszywa naturalne do nawierzchni drogowych. Żwir i mieszanka</w:t>
            </w:r>
          </w:p>
        </w:tc>
      </w:tr>
      <w:tr w:rsidR="00683496" w:rsidTr="00683496">
        <w:tc>
          <w:tcPr>
            <w:tcW w:w="637" w:type="dxa"/>
          </w:tcPr>
          <w:p w:rsidR="00683496" w:rsidRDefault="00683496" w:rsidP="00683496">
            <w:pPr>
              <w:jc w:val="both"/>
            </w:pPr>
            <w:r>
              <w:t>6.</w:t>
            </w:r>
          </w:p>
        </w:tc>
        <w:tc>
          <w:tcPr>
            <w:tcW w:w="1701" w:type="dxa"/>
          </w:tcPr>
          <w:p w:rsidR="00683496" w:rsidRDefault="00683496" w:rsidP="00683496">
            <w:pPr>
              <w:jc w:val="both"/>
            </w:pPr>
            <w:r>
              <w:t>PN-B-11113</w:t>
            </w:r>
          </w:p>
        </w:tc>
        <w:tc>
          <w:tcPr>
            <w:tcW w:w="5171" w:type="dxa"/>
          </w:tcPr>
          <w:p w:rsidR="00683496" w:rsidRDefault="00683496" w:rsidP="00683496">
            <w:pPr>
              <w:jc w:val="both"/>
            </w:pPr>
            <w:r>
              <w:t>Kruszywo mineralne. Kruszywa naturalne do nawierzchni drogowych. Piasek</w:t>
            </w:r>
          </w:p>
        </w:tc>
      </w:tr>
      <w:tr w:rsidR="00683496" w:rsidTr="00683496">
        <w:tc>
          <w:tcPr>
            <w:tcW w:w="637" w:type="dxa"/>
          </w:tcPr>
          <w:p w:rsidR="00683496" w:rsidRDefault="00683496" w:rsidP="00683496">
            <w:pPr>
              <w:jc w:val="both"/>
            </w:pPr>
            <w:r>
              <w:t>7.</w:t>
            </w:r>
          </w:p>
        </w:tc>
        <w:tc>
          <w:tcPr>
            <w:tcW w:w="1701" w:type="dxa"/>
          </w:tcPr>
          <w:p w:rsidR="00683496" w:rsidRDefault="00683496" w:rsidP="00683496">
            <w:pPr>
              <w:jc w:val="both"/>
            </w:pPr>
            <w:r>
              <w:t>PN-B-19701</w:t>
            </w:r>
          </w:p>
        </w:tc>
        <w:tc>
          <w:tcPr>
            <w:tcW w:w="5171" w:type="dxa"/>
          </w:tcPr>
          <w:p w:rsidR="00683496" w:rsidRDefault="00683496" w:rsidP="00683496">
            <w:pPr>
              <w:jc w:val="both"/>
            </w:pPr>
            <w:r>
              <w:t>Cement. Cement powszechnego użytku. Skład, wymagania i ocena zgodności</w:t>
            </w:r>
          </w:p>
        </w:tc>
      </w:tr>
      <w:tr w:rsidR="00683496" w:rsidTr="00683496">
        <w:tc>
          <w:tcPr>
            <w:tcW w:w="637" w:type="dxa"/>
          </w:tcPr>
          <w:p w:rsidR="00683496" w:rsidRDefault="00683496" w:rsidP="00683496">
            <w:pPr>
              <w:jc w:val="both"/>
            </w:pPr>
            <w:r>
              <w:t>8.</w:t>
            </w:r>
          </w:p>
        </w:tc>
        <w:tc>
          <w:tcPr>
            <w:tcW w:w="1701" w:type="dxa"/>
          </w:tcPr>
          <w:p w:rsidR="00683496" w:rsidRDefault="00683496" w:rsidP="00683496">
            <w:pPr>
              <w:jc w:val="both"/>
            </w:pPr>
            <w:r>
              <w:t>BN-80/6775-03/01</w:t>
            </w:r>
          </w:p>
        </w:tc>
        <w:tc>
          <w:tcPr>
            <w:tcW w:w="5171" w:type="dxa"/>
          </w:tcPr>
          <w:p w:rsidR="00683496" w:rsidRDefault="00683496" w:rsidP="00683496">
            <w:pPr>
              <w:jc w:val="both"/>
            </w:pPr>
            <w:r>
              <w:t>Prefabrykaty budowlane z betonu. Elementy nawierzchni dróg, ulic, parkingów i torowisk tramwajowych. Wspólne wymagania i badania</w:t>
            </w:r>
          </w:p>
        </w:tc>
      </w:tr>
      <w:tr w:rsidR="00683496" w:rsidTr="00683496">
        <w:tc>
          <w:tcPr>
            <w:tcW w:w="637" w:type="dxa"/>
          </w:tcPr>
          <w:p w:rsidR="00683496" w:rsidRDefault="00683496" w:rsidP="00683496">
            <w:pPr>
              <w:jc w:val="both"/>
            </w:pPr>
            <w:r>
              <w:t>9.</w:t>
            </w:r>
          </w:p>
        </w:tc>
        <w:tc>
          <w:tcPr>
            <w:tcW w:w="1701" w:type="dxa"/>
          </w:tcPr>
          <w:p w:rsidR="00683496" w:rsidRDefault="00683496" w:rsidP="00683496">
            <w:pPr>
              <w:jc w:val="both"/>
            </w:pPr>
            <w:r>
              <w:t>BN-80/6775-03/04</w:t>
            </w:r>
          </w:p>
        </w:tc>
        <w:tc>
          <w:tcPr>
            <w:tcW w:w="5171" w:type="dxa"/>
          </w:tcPr>
          <w:p w:rsidR="00683496" w:rsidRDefault="00683496" w:rsidP="00683496">
            <w:pPr>
              <w:jc w:val="both"/>
            </w:pPr>
            <w:r>
              <w:t>Prefabrykaty budowlane z betonu. Elementy nawierzchni dróg, ulic, parkingów i torowisk tramwajowych. Krawężniki i obrzeża.</w:t>
            </w:r>
          </w:p>
        </w:tc>
      </w:tr>
    </w:tbl>
    <w:p w:rsidR="00683496" w:rsidRDefault="00683496"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234EE1" w:rsidRDefault="00234EE1" w:rsidP="00683496"/>
    <w:p w:rsidR="000A3041" w:rsidRDefault="000A3041" w:rsidP="00683496"/>
    <w:p w:rsidR="000A3041" w:rsidRDefault="000A3041" w:rsidP="00683496"/>
    <w:p w:rsidR="000A3041" w:rsidRDefault="000A3041" w:rsidP="00683496"/>
    <w:p w:rsidR="000A3041" w:rsidRDefault="000A3041" w:rsidP="00683496"/>
    <w:p w:rsidR="000A3041" w:rsidRDefault="000A3041" w:rsidP="00683496"/>
    <w:p w:rsidR="000A3041" w:rsidRDefault="000A3041" w:rsidP="00683496"/>
    <w:p w:rsidR="00234EE1" w:rsidRDefault="00234EE1" w:rsidP="00683496"/>
    <w:p w:rsidR="00234EE1" w:rsidRDefault="00234EE1" w:rsidP="00683496"/>
    <w:p w:rsidR="00234EE1" w:rsidRDefault="00234EE1" w:rsidP="00683496"/>
    <w:p w:rsidR="00234EE1" w:rsidRPr="007317ED" w:rsidRDefault="00234EE1" w:rsidP="00683496"/>
    <w:p w:rsidR="00683496" w:rsidRPr="00E84485" w:rsidRDefault="00683496" w:rsidP="00683496">
      <w:pPr>
        <w:rPr>
          <w:b/>
          <w:color w:val="000000" w:themeColor="text1"/>
          <w:sz w:val="28"/>
        </w:rPr>
      </w:pPr>
      <w:bookmarkStart w:id="404" w:name="_Hlk15765444"/>
      <w:r w:rsidRPr="00E84485">
        <w:rPr>
          <w:b/>
          <w:color w:val="000000" w:themeColor="text1"/>
          <w:sz w:val="28"/>
        </w:rPr>
        <w:lastRenderedPageBreak/>
        <w:t>D - 04.06.01   PODBUDOWA  Z  CHUDEGO  BETONU</w:t>
      </w:r>
    </w:p>
    <w:bookmarkEnd w:id="404"/>
    <w:p w:rsidR="00683496" w:rsidRPr="00E84485" w:rsidRDefault="00683496" w:rsidP="00683496">
      <w:pPr>
        <w:jc w:val="both"/>
        <w:rPr>
          <w:b/>
          <w:color w:val="000000" w:themeColor="text1"/>
          <w:sz w:val="28"/>
        </w:rPr>
      </w:pPr>
    </w:p>
    <w:p w:rsidR="00683496" w:rsidRPr="00E84485" w:rsidRDefault="00683496" w:rsidP="00683496">
      <w:pPr>
        <w:pStyle w:val="Nagwek1"/>
        <w:rPr>
          <w:color w:val="000000" w:themeColor="text1"/>
        </w:rPr>
      </w:pPr>
      <w:bookmarkStart w:id="405" w:name="_Toc423845938"/>
      <w:bookmarkStart w:id="406" w:name="_Toc32644945"/>
      <w:r w:rsidRPr="00E84485">
        <w:rPr>
          <w:color w:val="000000" w:themeColor="text1"/>
        </w:rPr>
        <w:t>1. WSTĘP</w:t>
      </w:r>
      <w:bookmarkEnd w:id="405"/>
      <w:bookmarkEnd w:id="406"/>
    </w:p>
    <w:p w:rsidR="00683496" w:rsidRPr="00E84485" w:rsidRDefault="00683496" w:rsidP="00683496">
      <w:pPr>
        <w:pStyle w:val="Nagwek2"/>
        <w:rPr>
          <w:color w:val="000000" w:themeColor="text1"/>
        </w:rPr>
      </w:pPr>
      <w:r w:rsidRPr="00E84485">
        <w:rPr>
          <w:color w:val="000000" w:themeColor="text1"/>
        </w:rPr>
        <w:t>1.1. Przedmiot SST</w:t>
      </w:r>
    </w:p>
    <w:p w:rsidR="004940FC" w:rsidRPr="004940FC" w:rsidRDefault="00683496" w:rsidP="004940FC">
      <w:pPr>
        <w:jc w:val="both"/>
        <w:rPr>
          <w:color w:val="000000" w:themeColor="text1"/>
        </w:rPr>
      </w:pPr>
      <w:r w:rsidRPr="00E84485">
        <w:rPr>
          <w:b/>
          <w:color w:val="000000" w:themeColor="text1"/>
        </w:rPr>
        <w:tab/>
      </w:r>
      <w:r w:rsidRPr="00E84485">
        <w:rPr>
          <w:color w:val="000000" w:themeColor="text1"/>
        </w:rPr>
        <w:t xml:space="preserve">Przedmiotem niniejszej szczegółowej specyfikacji technicznej (SST) są wymagania dotyczące wykonania </w:t>
      </w:r>
      <w:r w:rsidR="00E07AC4">
        <w:rPr>
          <w:color w:val="000000" w:themeColor="text1"/>
        </w:rPr>
        <w:br/>
      </w:r>
      <w:r w:rsidRPr="00E84485">
        <w:rPr>
          <w:color w:val="000000" w:themeColor="text1"/>
        </w:rPr>
        <w:t xml:space="preserve">i odbioru robót związanych z wykonywaniem podbudowy z chudego betonu w </w:t>
      </w:r>
      <w:bookmarkStart w:id="407" w:name="_Hlk14943679"/>
      <w:r w:rsidR="004940FC">
        <w:rPr>
          <w:color w:val="000000" w:themeColor="text1"/>
        </w:rPr>
        <w:t>zakresie p</w:t>
      </w:r>
      <w:r w:rsidR="004940FC" w:rsidRPr="004940FC">
        <w:rPr>
          <w:color w:val="000000" w:themeColor="text1"/>
        </w:rPr>
        <w:t>rzebudow</w:t>
      </w:r>
      <w:r w:rsidR="004940FC">
        <w:rPr>
          <w:color w:val="000000" w:themeColor="text1"/>
        </w:rPr>
        <w:t>y</w:t>
      </w:r>
      <w:r w:rsidR="004940FC" w:rsidRPr="004940FC">
        <w:rPr>
          <w:color w:val="000000" w:themeColor="text1"/>
        </w:rPr>
        <w:t xml:space="preserve"> drogi powiatowej nr 2413W Wojszczyce – Janowo – Nowy Modlin w zakresie przebudowy skrzyżowania drogi powiatowej z drogami gminnymi w m. Nowy Modlin na skrzyżowanie typu rondo </w:t>
      </w:r>
    </w:p>
    <w:bookmarkEnd w:id="407"/>
    <w:p w:rsidR="00683496" w:rsidRPr="00E84485" w:rsidRDefault="00683496" w:rsidP="00683496">
      <w:pPr>
        <w:pStyle w:val="tekstost"/>
        <w:rPr>
          <w:color w:val="000000" w:themeColor="text1"/>
        </w:rPr>
      </w:pPr>
    </w:p>
    <w:p w:rsidR="00683496" w:rsidRPr="00E84485" w:rsidRDefault="00683496" w:rsidP="00683496">
      <w:pPr>
        <w:pStyle w:val="tekstost"/>
        <w:rPr>
          <w:color w:val="000000" w:themeColor="text1"/>
        </w:rPr>
      </w:pPr>
      <w:r w:rsidRPr="00E84485">
        <w:rPr>
          <w:color w:val="000000" w:themeColor="text1"/>
        </w:rPr>
        <w:t>1.2. Zakres stosowania SST</w:t>
      </w:r>
    </w:p>
    <w:p w:rsidR="00683496" w:rsidRPr="00E84485" w:rsidRDefault="00683496" w:rsidP="00683496">
      <w:pPr>
        <w:tabs>
          <w:tab w:val="left" w:pos="0"/>
        </w:tabs>
        <w:jc w:val="both"/>
        <w:rPr>
          <w:color w:val="000000" w:themeColor="text1"/>
        </w:rPr>
      </w:pPr>
      <w:r w:rsidRPr="00E84485">
        <w:rPr>
          <w:color w:val="000000" w:themeColor="text1"/>
        </w:rPr>
        <w:tab/>
        <w:t>Szczegółowa specyfikacja techniczna (SST) stanowi obowiązującą podstawę jako dokument przetargowy i kontraktowy przy zlecaniu i realizacji robót na drogach.</w:t>
      </w:r>
    </w:p>
    <w:p w:rsidR="00683496" w:rsidRPr="00E84485" w:rsidRDefault="00683496" w:rsidP="00683496">
      <w:pPr>
        <w:jc w:val="both"/>
        <w:rPr>
          <w:color w:val="000000" w:themeColor="text1"/>
        </w:rPr>
      </w:pPr>
    </w:p>
    <w:p w:rsidR="00683496" w:rsidRPr="00E84485" w:rsidRDefault="00683496" w:rsidP="00683496">
      <w:pPr>
        <w:pStyle w:val="Nagwek2"/>
        <w:spacing w:before="0"/>
        <w:rPr>
          <w:color w:val="000000" w:themeColor="text1"/>
        </w:rPr>
      </w:pPr>
      <w:r w:rsidRPr="00E84485">
        <w:rPr>
          <w:color w:val="000000" w:themeColor="text1"/>
        </w:rPr>
        <w:t>1.3. Zakres robót objętych SST</w:t>
      </w:r>
    </w:p>
    <w:p w:rsidR="00683496" w:rsidRPr="00E84485" w:rsidRDefault="00683496" w:rsidP="00683496">
      <w:pPr>
        <w:jc w:val="both"/>
        <w:rPr>
          <w:color w:val="000000" w:themeColor="text1"/>
        </w:rPr>
      </w:pPr>
      <w:r w:rsidRPr="00E84485">
        <w:rPr>
          <w:color w:val="000000" w:themeColor="text1"/>
        </w:rPr>
        <w:tab/>
        <w:t>Ustalenia zawarte w niniejszej specyfikacji dotyczą zasad prowadzenia robót związanych z wykonywaniem podbudowy z chudego betonu. Specyfikacja dotyczy ruchu KR3</w:t>
      </w:r>
    </w:p>
    <w:p w:rsidR="00683496" w:rsidRPr="00E84485" w:rsidRDefault="00683496" w:rsidP="00683496">
      <w:pPr>
        <w:spacing w:before="60" w:after="60"/>
        <w:jc w:val="both"/>
        <w:rPr>
          <w:color w:val="000000" w:themeColor="text1"/>
        </w:rPr>
      </w:pPr>
      <w:r w:rsidRPr="00E84485">
        <w:rPr>
          <w:color w:val="000000" w:themeColor="text1"/>
        </w:rPr>
        <w:t>Tablica 1. Klasyfikacja ruchu ze względu na liczbę osi obliczeniowych</w:t>
      </w:r>
    </w:p>
    <w:tbl>
      <w:tblPr>
        <w:tblW w:w="0" w:type="auto"/>
        <w:tblInd w:w="637" w:type="dxa"/>
        <w:tblLayout w:type="fixed"/>
        <w:tblCellMar>
          <w:left w:w="70" w:type="dxa"/>
          <w:right w:w="70" w:type="dxa"/>
        </w:tblCellMar>
        <w:tblLook w:val="0000" w:firstRow="0" w:lastRow="0" w:firstColumn="0" w:lastColumn="0" w:noHBand="0" w:noVBand="0"/>
      </w:tblPr>
      <w:tblGrid>
        <w:gridCol w:w="1742"/>
        <w:gridCol w:w="2295"/>
        <w:gridCol w:w="2344"/>
      </w:tblGrid>
      <w:tr w:rsidR="00683496" w:rsidRPr="00E84485" w:rsidTr="00683496">
        <w:trPr>
          <w:cantSplit/>
        </w:trPr>
        <w:tc>
          <w:tcPr>
            <w:tcW w:w="1742" w:type="dxa"/>
            <w:tcBorders>
              <w:top w:val="single" w:sz="6" w:space="0" w:color="auto"/>
              <w:left w:val="single" w:sz="6" w:space="0" w:color="auto"/>
              <w:right w:val="single" w:sz="6" w:space="0" w:color="auto"/>
            </w:tcBorders>
          </w:tcPr>
          <w:p w:rsidR="00683496" w:rsidRPr="00E84485" w:rsidRDefault="00683496" w:rsidP="00683496">
            <w:pPr>
              <w:pStyle w:val="StylIwony"/>
              <w:spacing w:after="0"/>
              <w:rPr>
                <w:rFonts w:ascii="Times New Roman" w:hAnsi="Times New Roman"/>
                <w:color w:val="000000" w:themeColor="text1"/>
                <w:sz w:val="20"/>
              </w:rPr>
            </w:pPr>
            <w:r w:rsidRPr="00E84485">
              <w:rPr>
                <w:rFonts w:ascii="Times New Roman" w:hAnsi="Times New Roman"/>
                <w:color w:val="000000" w:themeColor="text1"/>
                <w:sz w:val="20"/>
              </w:rPr>
              <w:t>Kategoria ruchu</w:t>
            </w:r>
          </w:p>
        </w:tc>
        <w:tc>
          <w:tcPr>
            <w:tcW w:w="4639" w:type="dxa"/>
            <w:gridSpan w:val="2"/>
            <w:tcBorders>
              <w:top w:val="single" w:sz="6" w:space="0" w:color="auto"/>
              <w:left w:val="single" w:sz="6" w:space="0" w:color="auto"/>
              <w:bottom w:val="single" w:sz="6" w:space="0" w:color="auto"/>
              <w:right w:val="single" w:sz="6" w:space="0" w:color="auto"/>
            </w:tcBorders>
          </w:tcPr>
          <w:p w:rsidR="00683496" w:rsidRPr="00E84485" w:rsidRDefault="00683496" w:rsidP="00683496">
            <w:pPr>
              <w:pStyle w:val="StylIwony"/>
              <w:spacing w:before="60" w:after="0"/>
              <w:jc w:val="center"/>
              <w:rPr>
                <w:rFonts w:ascii="Times New Roman" w:hAnsi="Times New Roman"/>
                <w:color w:val="000000" w:themeColor="text1"/>
                <w:sz w:val="20"/>
              </w:rPr>
            </w:pPr>
            <w:r w:rsidRPr="00E84485">
              <w:rPr>
                <w:rFonts w:ascii="Times New Roman" w:hAnsi="Times New Roman"/>
                <w:color w:val="000000" w:themeColor="text1"/>
                <w:sz w:val="20"/>
              </w:rPr>
              <w:t>Liczba osi obliczeniowych na dobę na pas obliczeniowy</w:t>
            </w:r>
          </w:p>
        </w:tc>
      </w:tr>
      <w:tr w:rsidR="00683496" w:rsidRPr="00E84485" w:rsidTr="00683496">
        <w:trPr>
          <w:cantSplit/>
        </w:trPr>
        <w:tc>
          <w:tcPr>
            <w:tcW w:w="1742" w:type="dxa"/>
            <w:tcBorders>
              <w:left w:val="single" w:sz="6" w:space="0" w:color="auto"/>
              <w:bottom w:val="double" w:sz="6" w:space="0" w:color="auto"/>
              <w:right w:val="single" w:sz="6" w:space="0" w:color="auto"/>
            </w:tcBorders>
          </w:tcPr>
          <w:p w:rsidR="00683496" w:rsidRPr="00E84485" w:rsidRDefault="00683496" w:rsidP="00683496">
            <w:pPr>
              <w:jc w:val="both"/>
              <w:rPr>
                <w:color w:val="000000" w:themeColor="text1"/>
              </w:rPr>
            </w:pPr>
          </w:p>
        </w:tc>
        <w:tc>
          <w:tcPr>
            <w:tcW w:w="2295" w:type="dxa"/>
            <w:tcBorders>
              <w:top w:val="single" w:sz="6" w:space="0" w:color="auto"/>
              <w:left w:val="single" w:sz="6" w:space="0" w:color="auto"/>
              <w:bottom w:val="double" w:sz="6" w:space="0" w:color="auto"/>
              <w:right w:val="single" w:sz="6" w:space="0" w:color="auto"/>
            </w:tcBorders>
          </w:tcPr>
          <w:p w:rsidR="00683496" w:rsidRPr="00E84485" w:rsidRDefault="00683496" w:rsidP="00683496">
            <w:pPr>
              <w:pStyle w:val="StylIwony"/>
              <w:spacing w:before="0" w:after="0"/>
              <w:rPr>
                <w:rFonts w:ascii="Times New Roman" w:hAnsi="Times New Roman"/>
                <w:color w:val="000000" w:themeColor="text1"/>
                <w:sz w:val="20"/>
              </w:rPr>
            </w:pPr>
            <w:r w:rsidRPr="00E84485">
              <w:rPr>
                <w:rFonts w:ascii="Times New Roman" w:hAnsi="Times New Roman"/>
                <w:color w:val="000000" w:themeColor="text1"/>
                <w:sz w:val="20"/>
              </w:rPr>
              <w:t xml:space="preserve">obciążenie osi 100 </w:t>
            </w:r>
            <w:proofErr w:type="spellStart"/>
            <w:r w:rsidRPr="00E84485">
              <w:rPr>
                <w:rFonts w:ascii="Times New Roman" w:hAnsi="Times New Roman"/>
                <w:color w:val="000000" w:themeColor="text1"/>
                <w:sz w:val="20"/>
              </w:rPr>
              <w:t>kN</w:t>
            </w:r>
            <w:proofErr w:type="spellEnd"/>
          </w:p>
        </w:tc>
        <w:tc>
          <w:tcPr>
            <w:tcW w:w="2344" w:type="dxa"/>
            <w:tcBorders>
              <w:top w:val="single" w:sz="6" w:space="0" w:color="auto"/>
              <w:left w:val="single" w:sz="6" w:space="0" w:color="auto"/>
              <w:bottom w:val="double" w:sz="6" w:space="0" w:color="auto"/>
              <w:right w:val="single" w:sz="6" w:space="0" w:color="auto"/>
            </w:tcBorders>
          </w:tcPr>
          <w:p w:rsidR="00683496" w:rsidRPr="00E84485" w:rsidRDefault="00683496" w:rsidP="00683496">
            <w:pPr>
              <w:pStyle w:val="StylIwony"/>
              <w:spacing w:before="0" w:after="0"/>
              <w:rPr>
                <w:rFonts w:ascii="Times New Roman" w:hAnsi="Times New Roman"/>
                <w:color w:val="000000" w:themeColor="text1"/>
                <w:sz w:val="20"/>
              </w:rPr>
            </w:pPr>
            <w:r w:rsidRPr="00E84485">
              <w:rPr>
                <w:rFonts w:ascii="Times New Roman" w:hAnsi="Times New Roman"/>
                <w:color w:val="000000" w:themeColor="text1"/>
                <w:sz w:val="20"/>
              </w:rPr>
              <w:t xml:space="preserve">obciążenie osi 115 </w:t>
            </w:r>
            <w:proofErr w:type="spellStart"/>
            <w:r w:rsidRPr="00E84485">
              <w:rPr>
                <w:rFonts w:ascii="Times New Roman" w:hAnsi="Times New Roman"/>
                <w:color w:val="000000" w:themeColor="text1"/>
                <w:sz w:val="20"/>
              </w:rPr>
              <w:t>kN</w:t>
            </w:r>
            <w:proofErr w:type="spellEnd"/>
          </w:p>
        </w:tc>
      </w:tr>
      <w:tr w:rsidR="00683496" w:rsidRPr="00E84485" w:rsidTr="00683496">
        <w:tc>
          <w:tcPr>
            <w:tcW w:w="1742"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pStyle w:val="StylIwony"/>
              <w:spacing w:before="0" w:after="0"/>
              <w:rPr>
                <w:rFonts w:ascii="Times New Roman" w:hAnsi="Times New Roman"/>
                <w:color w:val="000000" w:themeColor="text1"/>
                <w:sz w:val="20"/>
              </w:rPr>
            </w:pPr>
            <w:r w:rsidRPr="00E84485">
              <w:rPr>
                <w:rFonts w:ascii="Times New Roman" w:hAnsi="Times New Roman"/>
                <w:color w:val="000000" w:themeColor="text1"/>
                <w:sz w:val="20"/>
              </w:rPr>
              <w:t>KR2</w:t>
            </w:r>
          </w:p>
        </w:tc>
        <w:tc>
          <w:tcPr>
            <w:tcW w:w="2295"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pStyle w:val="StylIwony"/>
              <w:spacing w:before="0" w:after="0"/>
              <w:jc w:val="center"/>
              <w:rPr>
                <w:rFonts w:ascii="Times New Roman" w:hAnsi="Times New Roman"/>
                <w:color w:val="000000" w:themeColor="text1"/>
                <w:sz w:val="20"/>
              </w:rPr>
            </w:pPr>
            <w:r w:rsidRPr="00E84485">
              <w:rPr>
                <w:rFonts w:ascii="Times New Roman" w:hAnsi="Times New Roman"/>
                <w:color w:val="000000" w:themeColor="text1"/>
                <w:sz w:val="20"/>
              </w:rPr>
              <w:t>od 71 do 335</w:t>
            </w:r>
          </w:p>
        </w:tc>
        <w:tc>
          <w:tcPr>
            <w:tcW w:w="2344"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pStyle w:val="StylIwony"/>
              <w:spacing w:before="0" w:after="0"/>
              <w:jc w:val="center"/>
              <w:rPr>
                <w:rFonts w:ascii="Times New Roman" w:hAnsi="Times New Roman"/>
                <w:color w:val="000000" w:themeColor="text1"/>
                <w:sz w:val="20"/>
              </w:rPr>
            </w:pPr>
            <w:r w:rsidRPr="00E84485">
              <w:rPr>
                <w:rFonts w:ascii="Times New Roman" w:hAnsi="Times New Roman"/>
                <w:color w:val="000000" w:themeColor="text1"/>
                <w:sz w:val="20"/>
              </w:rPr>
              <w:t>od 41 do 192</w:t>
            </w:r>
          </w:p>
        </w:tc>
      </w:tr>
    </w:tbl>
    <w:p w:rsidR="00683496" w:rsidRPr="00E84485" w:rsidRDefault="00683496" w:rsidP="00683496">
      <w:pPr>
        <w:spacing w:before="120" w:after="120"/>
        <w:jc w:val="both"/>
        <w:rPr>
          <w:color w:val="000000" w:themeColor="text1"/>
        </w:rPr>
      </w:pPr>
      <w:r w:rsidRPr="00E84485">
        <w:rPr>
          <w:color w:val="000000" w:themeColor="text1"/>
        </w:rPr>
        <w:tab/>
        <w:t xml:space="preserve">1) Obliczenia konstrukcji wykonano dla 4000 osi 100 </w:t>
      </w:r>
      <w:proofErr w:type="spellStart"/>
      <w:r w:rsidRPr="00E84485">
        <w:rPr>
          <w:color w:val="000000" w:themeColor="text1"/>
        </w:rPr>
        <w:t>kN</w:t>
      </w:r>
      <w:proofErr w:type="spellEnd"/>
      <w:r w:rsidRPr="00E84485">
        <w:rPr>
          <w:color w:val="000000" w:themeColor="text1"/>
        </w:rPr>
        <w:t xml:space="preserve"> lub 2280 osi 115 </w:t>
      </w:r>
      <w:proofErr w:type="spellStart"/>
      <w:r w:rsidRPr="00E84485">
        <w:rPr>
          <w:color w:val="000000" w:themeColor="text1"/>
        </w:rPr>
        <w:t>kN</w:t>
      </w:r>
      <w:proofErr w:type="spellEnd"/>
    </w:p>
    <w:p w:rsidR="00683496" w:rsidRPr="00E84485" w:rsidRDefault="00683496" w:rsidP="00683496">
      <w:pPr>
        <w:jc w:val="both"/>
        <w:rPr>
          <w:color w:val="000000" w:themeColor="text1"/>
        </w:rPr>
      </w:pPr>
      <w:r w:rsidRPr="00E84485">
        <w:rPr>
          <w:color w:val="000000" w:themeColor="text1"/>
        </w:rPr>
        <w:tab/>
        <w:t>Podbudowę z chudego betonu wykonuje się, zgodnie z ustaleniami podanymi w dokumentacji projektowej, jako:</w:t>
      </w:r>
    </w:p>
    <w:p w:rsidR="00683496" w:rsidRPr="00E84485" w:rsidRDefault="00683496" w:rsidP="002122BD">
      <w:pPr>
        <w:numPr>
          <w:ilvl w:val="0"/>
          <w:numId w:val="53"/>
        </w:numPr>
        <w:jc w:val="both"/>
        <w:rPr>
          <w:color w:val="000000" w:themeColor="text1"/>
        </w:rPr>
      </w:pPr>
      <w:r w:rsidRPr="00E84485">
        <w:rPr>
          <w:color w:val="000000" w:themeColor="text1"/>
        </w:rPr>
        <w:t>podbudowę pomocniczą,</w:t>
      </w:r>
    </w:p>
    <w:p w:rsidR="00683496" w:rsidRPr="00E84485" w:rsidRDefault="00683496" w:rsidP="00683496">
      <w:pPr>
        <w:pStyle w:val="Nagwek2"/>
        <w:rPr>
          <w:color w:val="000000" w:themeColor="text1"/>
        </w:rPr>
      </w:pPr>
      <w:r w:rsidRPr="00E84485">
        <w:rPr>
          <w:color w:val="000000" w:themeColor="text1"/>
        </w:rPr>
        <w:t>1.4. Określenia podstawowe</w:t>
      </w:r>
    </w:p>
    <w:p w:rsidR="00683496" w:rsidRPr="00E84485" w:rsidRDefault="00683496" w:rsidP="00683496">
      <w:pPr>
        <w:jc w:val="both"/>
        <w:rPr>
          <w:color w:val="000000" w:themeColor="text1"/>
        </w:rPr>
      </w:pPr>
      <w:r w:rsidRPr="00E84485">
        <w:rPr>
          <w:b/>
          <w:color w:val="000000" w:themeColor="text1"/>
        </w:rPr>
        <w:t xml:space="preserve">1.4.1. </w:t>
      </w:r>
      <w:r w:rsidRPr="00E84485">
        <w:rPr>
          <w:color w:val="000000" w:themeColor="text1"/>
        </w:rPr>
        <w:t xml:space="preserve">Podbudowa z chudego betonu - jedna lub dwie warstwy zagęszczonej mieszanki betonowej, która po osiągnięciu wytrzymałości na ściskanie nie mniejszej niż 6 </w:t>
      </w:r>
      <w:proofErr w:type="spellStart"/>
      <w:r w:rsidRPr="00E84485">
        <w:rPr>
          <w:color w:val="000000" w:themeColor="text1"/>
        </w:rPr>
        <w:t>MPa</w:t>
      </w:r>
      <w:proofErr w:type="spellEnd"/>
      <w:r w:rsidRPr="00E84485">
        <w:rPr>
          <w:color w:val="000000" w:themeColor="text1"/>
        </w:rPr>
        <w:t xml:space="preserve"> i nie większej niż 9 </w:t>
      </w:r>
      <w:proofErr w:type="spellStart"/>
      <w:r w:rsidRPr="00E84485">
        <w:rPr>
          <w:color w:val="000000" w:themeColor="text1"/>
        </w:rPr>
        <w:t>MPa</w:t>
      </w:r>
      <w:proofErr w:type="spellEnd"/>
      <w:r w:rsidRPr="00E84485">
        <w:rPr>
          <w:color w:val="000000" w:themeColor="text1"/>
        </w:rPr>
        <w:t>, stanowi fragment nośnej części nawierzchni drogowej.</w:t>
      </w:r>
    </w:p>
    <w:p w:rsidR="00683496" w:rsidRPr="00E84485" w:rsidRDefault="00683496" w:rsidP="00683496">
      <w:pPr>
        <w:spacing w:before="120"/>
        <w:jc w:val="both"/>
        <w:rPr>
          <w:color w:val="000000" w:themeColor="text1"/>
        </w:rPr>
      </w:pPr>
      <w:r w:rsidRPr="00E84485">
        <w:rPr>
          <w:b/>
          <w:color w:val="000000" w:themeColor="text1"/>
        </w:rPr>
        <w:t xml:space="preserve">1.4.2. </w:t>
      </w:r>
      <w:r w:rsidRPr="00E84485">
        <w:rPr>
          <w:color w:val="000000" w:themeColor="text1"/>
        </w:rPr>
        <w:t>Chudy beton - materiał budowlany powstały przez wymieszanie mieszanki kruszyw z cementem w ilości od 5% do 7% w stosunku do kruszywa lecz nie przekraczającej 130 kg/m</w:t>
      </w:r>
      <w:r w:rsidRPr="00E84485">
        <w:rPr>
          <w:color w:val="000000" w:themeColor="text1"/>
          <w:vertAlign w:val="superscript"/>
        </w:rPr>
        <w:t>3</w:t>
      </w:r>
      <w:r w:rsidRPr="00E84485">
        <w:rPr>
          <w:color w:val="000000" w:themeColor="text1"/>
        </w:rPr>
        <w:t xml:space="preserve"> oraz optymalną ilością wody, który po zakończeniu procesu wiązania osiąga wytrzymałość na ściskanie R</w:t>
      </w:r>
      <w:r w:rsidRPr="00E84485">
        <w:rPr>
          <w:color w:val="000000" w:themeColor="text1"/>
          <w:vertAlign w:val="subscript"/>
        </w:rPr>
        <w:t>28</w:t>
      </w:r>
      <w:r w:rsidRPr="00E84485">
        <w:rPr>
          <w:color w:val="000000" w:themeColor="text1"/>
        </w:rPr>
        <w:t xml:space="preserve"> w granicach od 6 do 9 </w:t>
      </w:r>
      <w:proofErr w:type="spellStart"/>
      <w:r w:rsidRPr="00E84485">
        <w:rPr>
          <w:color w:val="000000" w:themeColor="text1"/>
        </w:rPr>
        <w:t>MPa</w:t>
      </w:r>
      <w:proofErr w:type="spellEnd"/>
      <w:r w:rsidRPr="00E84485">
        <w:rPr>
          <w:color w:val="000000" w:themeColor="text1"/>
        </w:rPr>
        <w:t>.</w:t>
      </w:r>
    </w:p>
    <w:p w:rsidR="00683496" w:rsidRPr="00E84485" w:rsidRDefault="00683496" w:rsidP="00683496">
      <w:pPr>
        <w:spacing w:before="120"/>
        <w:jc w:val="both"/>
        <w:rPr>
          <w:color w:val="000000" w:themeColor="text1"/>
        </w:rPr>
      </w:pPr>
      <w:r w:rsidRPr="00E84485">
        <w:rPr>
          <w:b/>
          <w:color w:val="000000" w:themeColor="text1"/>
        </w:rPr>
        <w:t xml:space="preserve">1.4.2. </w:t>
      </w:r>
      <w:r w:rsidRPr="00E84485">
        <w:rPr>
          <w:color w:val="000000" w:themeColor="text1"/>
        </w:rPr>
        <w:t xml:space="preserve">Pozostałe określenia podstawowe są zgodne z obowiązującymi, odpowiednimi polskimi normami i z definicjami podanymi w SST D-00.00.00 „Wymagania ogólne” pkt 1.4. </w:t>
      </w:r>
    </w:p>
    <w:p w:rsidR="00683496" w:rsidRPr="00E84485" w:rsidRDefault="00683496" w:rsidP="00683496">
      <w:pPr>
        <w:pStyle w:val="Nagwek2"/>
        <w:rPr>
          <w:color w:val="000000" w:themeColor="text1"/>
        </w:rPr>
      </w:pPr>
      <w:r w:rsidRPr="00E84485">
        <w:rPr>
          <w:color w:val="000000" w:themeColor="text1"/>
        </w:rPr>
        <w:t>1.5. Ogólne wymagania dotyczące robót</w:t>
      </w:r>
    </w:p>
    <w:p w:rsidR="00683496" w:rsidRPr="00E84485" w:rsidRDefault="00683496" w:rsidP="00683496">
      <w:pPr>
        <w:jc w:val="both"/>
        <w:rPr>
          <w:color w:val="000000" w:themeColor="text1"/>
        </w:rPr>
      </w:pPr>
      <w:r w:rsidRPr="00E84485">
        <w:rPr>
          <w:color w:val="000000" w:themeColor="text1"/>
        </w:rPr>
        <w:tab/>
        <w:t>Ogólne wymagania dotyczące robót podano w SST D-00.00.00 „Wymagania ogólne” pkt 1.5.</w:t>
      </w:r>
    </w:p>
    <w:p w:rsidR="00683496" w:rsidRPr="00E84485" w:rsidRDefault="00683496" w:rsidP="00683496">
      <w:pPr>
        <w:pStyle w:val="Nagwek1"/>
        <w:rPr>
          <w:color w:val="000000" w:themeColor="text1"/>
        </w:rPr>
      </w:pPr>
      <w:bookmarkStart w:id="408" w:name="_Toc423845939"/>
      <w:bookmarkStart w:id="409" w:name="_Toc423398331"/>
      <w:bookmarkStart w:id="410" w:name="_Toc32644946"/>
      <w:r w:rsidRPr="00E84485">
        <w:rPr>
          <w:color w:val="000000" w:themeColor="text1"/>
        </w:rPr>
        <w:t>2. materiały</w:t>
      </w:r>
      <w:bookmarkEnd w:id="408"/>
      <w:bookmarkEnd w:id="409"/>
      <w:bookmarkEnd w:id="410"/>
    </w:p>
    <w:p w:rsidR="00683496" w:rsidRPr="00E84485" w:rsidRDefault="00683496" w:rsidP="00683496">
      <w:pPr>
        <w:pStyle w:val="Nagwek2"/>
        <w:rPr>
          <w:color w:val="000000" w:themeColor="text1"/>
        </w:rPr>
      </w:pPr>
      <w:r w:rsidRPr="00E84485">
        <w:rPr>
          <w:color w:val="000000" w:themeColor="text1"/>
        </w:rPr>
        <w:t>2.1. Ogólne wymagania dotyczące materiałów</w:t>
      </w:r>
    </w:p>
    <w:p w:rsidR="00683496" w:rsidRPr="00E84485" w:rsidRDefault="00683496" w:rsidP="00683496">
      <w:pPr>
        <w:jc w:val="both"/>
        <w:rPr>
          <w:color w:val="000000" w:themeColor="text1"/>
        </w:rPr>
      </w:pPr>
      <w:r w:rsidRPr="00E84485">
        <w:rPr>
          <w:color w:val="000000" w:themeColor="text1"/>
        </w:rPr>
        <w:tab/>
        <w:t>Ogólne wymagania dotyczące materiałów, ich pozyskiwania i składowania podano w SST D-00.00.00 „Wymagania ogólne” pkt 2.</w:t>
      </w:r>
    </w:p>
    <w:p w:rsidR="00683496" w:rsidRPr="00E84485" w:rsidRDefault="00683496" w:rsidP="00683496">
      <w:pPr>
        <w:pStyle w:val="Nagwek2"/>
        <w:rPr>
          <w:color w:val="000000" w:themeColor="text1"/>
        </w:rPr>
      </w:pPr>
      <w:r w:rsidRPr="00E84485">
        <w:rPr>
          <w:color w:val="000000" w:themeColor="text1"/>
        </w:rPr>
        <w:t>2.2. Cement</w:t>
      </w:r>
    </w:p>
    <w:p w:rsidR="00683496" w:rsidRPr="00E84485" w:rsidRDefault="00683496" w:rsidP="00683496">
      <w:pPr>
        <w:jc w:val="both"/>
        <w:rPr>
          <w:color w:val="000000" w:themeColor="text1"/>
        </w:rPr>
      </w:pPr>
      <w:r w:rsidRPr="00E84485">
        <w:rPr>
          <w:color w:val="000000" w:themeColor="text1"/>
        </w:rPr>
        <w:tab/>
        <w:t xml:space="preserve">Należy stosować cementy powszechnego użytku: portlandzki CEM I klasy 32,5 N, cement portlandzki wieloskładnikowy CEM II klasy 32,5 N, cement hutniczy CEM III klasy 32,5 N, cement </w:t>
      </w:r>
      <w:proofErr w:type="spellStart"/>
      <w:r w:rsidRPr="00E84485">
        <w:rPr>
          <w:color w:val="000000" w:themeColor="text1"/>
        </w:rPr>
        <w:t>pucolanowy</w:t>
      </w:r>
      <w:proofErr w:type="spellEnd"/>
      <w:r w:rsidRPr="00E84485">
        <w:rPr>
          <w:color w:val="000000" w:themeColor="text1"/>
        </w:rPr>
        <w:t xml:space="preserve"> CEM IV klasy 32,5 N według PN-EN 197-1:2002 [5] .</w:t>
      </w:r>
    </w:p>
    <w:p w:rsidR="00683496" w:rsidRPr="00E84485" w:rsidRDefault="00683496" w:rsidP="00683496">
      <w:pPr>
        <w:jc w:val="both"/>
        <w:rPr>
          <w:color w:val="000000" w:themeColor="text1"/>
        </w:rPr>
      </w:pPr>
      <w:r w:rsidRPr="00E84485">
        <w:rPr>
          <w:color w:val="000000" w:themeColor="text1"/>
        </w:rPr>
        <w:tab/>
        <w:t>Wymagania dla cementu zestawiono w tablicy 2.</w:t>
      </w:r>
    </w:p>
    <w:p w:rsidR="00683496" w:rsidRPr="00E84485" w:rsidRDefault="00683496" w:rsidP="00683496">
      <w:pPr>
        <w:spacing w:before="120" w:after="120"/>
        <w:jc w:val="both"/>
        <w:rPr>
          <w:color w:val="000000" w:themeColor="text1"/>
        </w:rPr>
      </w:pPr>
      <w:r w:rsidRPr="00E84485">
        <w:rPr>
          <w:color w:val="000000" w:themeColor="text1"/>
        </w:rPr>
        <w:t>Tablica 2. Wymagania dla cementu do chudego 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5244"/>
        <w:gridCol w:w="1770"/>
      </w:tblGrid>
      <w:tr w:rsidR="00683496" w:rsidRPr="00E84485" w:rsidTr="00683496">
        <w:tc>
          <w:tcPr>
            <w:tcW w:w="496" w:type="dxa"/>
            <w:tcBorders>
              <w:bottom w:val="double" w:sz="6" w:space="0" w:color="auto"/>
            </w:tcBorders>
          </w:tcPr>
          <w:p w:rsidR="00683496" w:rsidRPr="00E84485" w:rsidRDefault="00683496" w:rsidP="00683496">
            <w:pPr>
              <w:spacing w:before="60" w:after="60"/>
              <w:jc w:val="both"/>
              <w:rPr>
                <w:color w:val="000000" w:themeColor="text1"/>
              </w:rPr>
            </w:pPr>
            <w:r w:rsidRPr="00E84485">
              <w:rPr>
                <w:color w:val="000000" w:themeColor="text1"/>
              </w:rPr>
              <w:t>Lp.</w:t>
            </w:r>
          </w:p>
        </w:tc>
        <w:tc>
          <w:tcPr>
            <w:tcW w:w="5244" w:type="dxa"/>
            <w:tcBorders>
              <w:bottom w:val="double" w:sz="6" w:space="0" w:color="auto"/>
            </w:tcBorders>
          </w:tcPr>
          <w:p w:rsidR="00683496" w:rsidRPr="00E84485" w:rsidRDefault="00683496" w:rsidP="00683496">
            <w:pPr>
              <w:spacing w:before="60" w:after="60"/>
              <w:jc w:val="both"/>
              <w:rPr>
                <w:color w:val="000000" w:themeColor="text1"/>
              </w:rPr>
            </w:pPr>
            <w:r w:rsidRPr="00E84485">
              <w:rPr>
                <w:color w:val="000000" w:themeColor="text1"/>
              </w:rPr>
              <w:t>Właściwości</w:t>
            </w:r>
          </w:p>
        </w:tc>
        <w:tc>
          <w:tcPr>
            <w:tcW w:w="1770" w:type="dxa"/>
            <w:tcBorders>
              <w:bottom w:val="double" w:sz="6" w:space="0" w:color="auto"/>
            </w:tcBorders>
          </w:tcPr>
          <w:p w:rsidR="00683496" w:rsidRPr="00E84485" w:rsidRDefault="00683496" w:rsidP="00683496">
            <w:pPr>
              <w:spacing w:before="60" w:after="60"/>
              <w:jc w:val="both"/>
              <w:rPr>
                <w:color w:val="000000" w:themeColor="text1"/>
              </w:rPr>
            </w:pPr>
            <w:r w:rsidRPr="00E84485">
              <w:rPr>
                <w:color w:val="000000" w:themeColor="text1"/>
              </w:rPr>
              <w:t>Klasa cementu 32,5</w:t>
            </w:r>
          </w:p>
        </w:tc>
      </w:tr>
      <w:tr w:rsidR="00683496" w:rsidRPr="00E84485" w:rsidTr="00683496">
        <w:tc>
          <w:tcPr>
            <w:tcW w:w="496" w:type="dxa"/>
            <w:tcBorders>
              <w:top w:val="nil"/>
            </w:tcBorders>
          </w:tcPr>
          <w:p w:rsidR="00683496" w:rsidRPr="00E84485" w:rsidRDefault="00683496" w:rsidP="00683496">
            <w:pPr>
              <w:spacing w:before="60" w:after="60"/>
              <w:jc w:val="both"/>
              <w:rPr>
                <w:color w:val="000000" w:themeColor="text1"/>
              </w:rPr>
            </w:pPr>
            <w:r w:rsidRPr="00E84485">
              <w:rPr>
                <w:color w:val="000000" w:themeColor="text1"/>
              </w:rPr>
              <w:t>1</w:t>
            </w:r>
          </w:p>
        </w:tc>
        <w:tc>
          <w:tcPr>
            <w:tcW w:w="5244" w:type="dxa"/>
            <w:tcBorders>
              <w:top w:val="nil"/>
            </w:tcBorders>
          </w:tcPr>
          <w:p w:rsidR="00683496" w:rsidRPr="00E84485" w:rsidRDefault="00683496" w:rsidP="00683496">
            <w:pPr>
              <w:spacing w:before="60" w:after="60"/>
              <w:jc w:val="both"/>
              <w:rPr>
                <w:color w:val="000000" w:themeColor="text1"/>
              </w:rPr>
            </w:pPr>
            <w:r w:rsidRPr="00E84485">
              <w:rPr>
                <w:color w:val="000000" w:themeColor="text1"/>
              </w:rPr>
              <w:t>Wytrzymałość na ściskanie (</w:t>
            </w:r>
            <w:proofErr w:type="spellStart"/>
            <w:r w:rsidRPr="00E84485">
              <w:rPr>
                <w:color w:val="000000" w:themeColor="text1"/>
              </w:rPr>
              <w:t>MPa</w:t>
            </w:r>
            <w:proofErr w:type="spellEnd"/>
            <w:r w:rsidRPr="00E84485">
              <w:rPr>
                <w:color w:val="000000" w:themeColor="text1"/>
              </w:rPr>
              <w:t>), po 7 dniach, nie mniej niż:</w:t>
            </w:r>
          </w:p>
        </w:tc>
        <w:tc>
          <w:tcPr>
            <w:tcW w:w="1770" w:type="dxa"/>
            <w:tcBorders>
              <w:top w:val="nil"/>
            </w:tcBorders>
          </w:tcPr>
          <w:p w:rsidR="00683496" w:rsidRPr="00E84485" w:rsidRDefault="00683496" w:rsidP="00683496">
            <w:pPr>
              <w:spacing w:before="60" w:after="60"/>
              <w:jc w:val="both"/>
              <w:rPr>
                <w:color w:val="000000" w:themeColor="text1"/>
              </w:rPr>
            </w:pPr>
            <w:r w:rsidRPr="00E84485">
              <w:rPr>
                <w:color w:val="000000" w:themeColor="text1"/>
              </w:rPr>
              <w:t>16</w:t>
            </w:r>
          </w:p>
        </w:tc>
      </w:tr>
      <w:tr w:rsidR="00683496" w:rsidRPr="00E84485" w:rsidTr="00683496">
        <w:tc>
          <w:tcPr>
            <w:tcW w:w="496" w:type="dxa"/>
          </w:tcPr>
          <w:p w:rsidR="00683496" w:rsidRPr="00E84485" w:rsidRDefault="00683496" w:rsidP="00683496">
            <w:pPr>
              <w:spacing w:before="60" w:after="60"/>
              <w:jc w:val="both"/>
              <w:rPr>
                <w:color w:val="000000" w:themeColor="text1"/>
              </w:rPr>
            </w:pPr>
            <w:r w:rsidRPr="00E84485">
              <w:rPr>
                <w:color w:val="000000" w:themeColor="text1"/>
              </w:rPr>
              <w:lastRenderedPageBreak/>
              <w:t>2</w:t>
            </w:r>
          </w:p>
        </w:tc>
        <w:tc>
          <w:tcPr>
            <w:tcW w:w="5244" w:type="dxa"/>
          </w:tcPr>
          <w:p w:rsidR="00683496" w:rsidRPr="00E84485" w:rsidRDefault="00683496" w:rsidP="00683496">
            <w:pPr>
              <w:spacing w:before="60" w:after="60"/>
              <w:jc w:val="both"/>
              <w:rPr>
                <w:color w:val="000000" w:themeColor="text1"/>
              </w:rPr>
            </w:pPr>
            <w:r w:rsidRPr="00E84485">
              <w:rPr>
                <w:color w:val="000000" w:themeColor="text1"/>
              </w:rPr>
              <w:t>Wytrzymałość na ściskanie (</w:t>
            </w:r>
            <w:proofErr w:type="spellStart"/>
            <w:r w:rsidRPr="00E84485">
              <w:rPr>
                <w:color w:val="000000" w:themeColor="text1"/>
              </w:rPr>
              <w:t>MPa</w:t>
            </w:r>
            <w:proofErr w:type="spellEnd"/>
            <w:r w:rsidRPr="00E84485">
              <w:rPr>
                <w:color w:val="000000" w:themeColor="text1"/>
              </w:rPr>
              <w:t>), po 28 dniach, nie mniej niż:</w:t>
            </w:r>
          </w:p>
        </w:tc>
        <w:tc>
          <w:tcPr>
            <w:tcW w:w="1770" w:type="dxa"/>
          </w:tcPr>
          <w:p w:rsidR="00683496" w:rsidRPr="00E84485" w:rsidRDefault="00683496" w:rsidP="00683496">
            <w:pPr>
              <w:spacing w:before="60" w:after="60"/>
              <w:jc w:val="both"/>
              <w:rPr>
                <w:color w:val="000000" w:themeColor="text1"/>
              </w:rPr>
            </w:pPr>
            <w:r w:rsidRPr="00E84485">
              <w:rPr>
                <w:color w:val="000000" w:themeColor="text1"/>
              </w:rPr>
              <w:t>32,5</w:t>
            </w:r>
          </w:p>
        </w:tc>
      </w:tr>
      <w:tr w:rsidR="00683496" w:rsidRPr="00E84485" w:rsidTr="00683496">
        <w:tc>
          <w:tcPr>
            <w:tcW w:w="496" w:type="dxa"/>
          </w:tcPr>
          <w:p w:rsidR="00683496" w:rsidRPr="00E84485" w:rsidRDefault="00683496" w:rsidP="00683496">
            <w:pPr>
              <w:spacing w:before="60" w:after="60"/>
              <w:jc w:val="both"/>
              <w:rPr>
                <w:color w:val="000000" w:themeColor="text1"/>
              </w:rPr>
            </w:pPr>
            <w:r w:rsidRPr="00E84485">
              <w:rPr>
                <w:color w:val="000000" w:themeColor="text1"/>
              </w:rPr>
              <w:t>3</w:t>
            </w:r>
          </w:p>
        </w:tc>
        <w:tc>
          <w:tcPr>
            <w:tcW w:w="5244" w:type="dxa"/>
          </w:tcPr>
          <w:p w:rsidR="00683496" w:rsidRPr="00E84485" w:rsidRDefault="00683496" w:rsidP="00683496">
            <w:pPr>
              <w:spacing w:before="60" w:after="60"/>
              <w:jc w:val="both"/>
              <w:rPr>
                <w:color w:val="000000" w:themeColor="text1"/>
              </w:rPr>
            </w:pPr>
            <w:r w:rsidRPr="00E84485">
              <w:rPr>
                <w:color w:val="000000" w:themeColor="text1"/>
              </w:rPr>
              <w:t>Początek czasu wiązania, min , nie wcześniej niż:</w:t>
            </w:r>
          </w:p>
        </w:tc>
        <w:tc>
          <w:tcPr>
            <w:tcW w:w="1770" w:type="dxa"/>
          </w:tcPr>
          <w:p w:rsidR="00683496" w:rsidRPr="00E84485" w:rsidRDefault="00683496" w:rsidP="00683496">
            <w:pPr>
              <w:spacing w:before="60" w:after="60"/>
              <w:jc w:val="both"/>
              <w:rPr>
                <w:color w:val="000000" w:themeColor="text1"/>
              </w:rPr>
            </w:pPr>
            <w:r w:rsidRPr="00E84485">
              <w:rPr>
                <w:color w:val="000000" w:themeColor="text1"/>
              </w:rPr>
              <w:t>75</w:t>
            </w:r>
          </w:p>
        </w:tc>
      </w:tr>
      <w:tr w:rsidR="00683496" w:rsidRPr="00E84485" w:rsidTr="00683496">
        <w:tc>
          <w:tcPr>
            <w:tcW w:w="496" w:type="dxa"/>
          </w:tcPr>
          <w:p w:rsidR="00683496" w:rsidRPr="00E84485" w:rsidRDefault="00683496" w:rsidP="00683496">
            <w:pPr>
              <w:spacing w:before="60" w:after="60"/>
              <w:jc w:val="both"/>
              <w:rPr>
                <w:color w:val="000000" w:themeColor="text1"/>
              </w:rPr>
            </w:pPr>
            <w:r w:rsidRPr="00E84485">
              <w:rPr>
                <w:color w:val="000000" w:themeColor="text1"/>
              </w:rPr>
              <w:t>4</w:t>
            </w:r>
          </w:p>
        </w:tc>
        <w:tc>
          <w:tcPr>
            <w:tcW w:w="5244" w:type="dxa"/>
          </w:tcPr>
          <w:p w:rsidR="00683496" w:rsidRPr="00E84485" w:rsidRDefault="00683496" w:rsidP="00683496">
            <w:pPr>
              <w:spacing w:before="60" w:after="60"/>
              <w:jc w:val="both"/>
              <w:rPr>
                <w:color w:val="000000" w:themeColor="text1"/>
              </w:rPr>
            </w:pPr>
            <w:r w:rsidRPr="00E84485">
              <w:rPr>
                <w:color w:val="000000" w:themeColor="text1"/>
              </w:rPr>
              <w:t>Stałość objętości, mm, nie więcej niż:</w:t>
            </w:r>
          </w:p>
        </w:tc>
        <w:tc>
          <w:tcPr>
            <w:tcW w:w="1770" w:type="dxa"/>
          </w:tcPr>
          <w:p w:rsidR="00683496" w:rsidRPr="00E84485" w:rsidRDefault="00683496" w:rsidP="00683496">
            <w:pPr>
              <w:spacing w:before="60" w:after="60"/>
              <w:jc w:val="both"/>
              <w:rPr>
                <w:color w:val="000000" w:themeColor="text1"/>
              </w:rPr>
            </w:pPr>
            <w:r w:rsidRPr="00E84485">
              <w:rPr>
                <w:color w:val="000000" w:themeColor="text1"/>
              </w:rPr>
              <w:t>10</w:t>
            </w:r>
          </w:p>
        </w:tc>
      </w:tr>
    </w:tbl>
    <w:p w:rsidR="00683496" w:rsidRPr="00E84485" w:rsidRDefault="00683496" w:rsidP="00683496">
      <w:pPr>
        <w:jc w:val="both"/>
        <w:rPr>
          <w:color w:val="000000" w:themeColor="text1"/>
        </w:rPr>
      </w:pPr>
    </w:p>
    <w:p w:rsidR="00683496" w:rsidRPr="00E84485" w:rsidRDefault="00683496" w:rsidP="00683496">
      <w:pPr>
        <w:jc w:val="both"/>
        <w:rPr>
          <w:color w:val="000000" w:themeColor="text1"/>
        </w:rPr>
      </w:pPr>
      <w:r w:rsidRPr="00E84485">
        <w:rPr>
          <w:color w:val="000000" w:themeColor="text1"/>
        </w:rPr>
        <w:tab/>
        <w:t>Przechowywanie cementu powinno się odbywać zgodnie z BN-88/6731-08 [22].</w:t>
      </w:r>
    </w:p>
    <w:p w:rsidR="00683496" w:rsidRPr="00E84485" w:rsidRDefault="00683496" w:rsidP="00683496">
      <w:pPr>
        <w:pStyle w:val="Nagwek2"/>
        <w:rPr>
          <w:color w:val="000000" w:themeColor="text1"/>
        </w:rPr>
      </w:pPr>
      <w:r w:rsidRPr="00E84485">
        <w:rPr>
          <w:color w:val="000000" w:themeColor="text1"/>
        </w:rPr>
        <w:t>2.3. Kruszywo</w:t>
      </w:r>
    </w:p>
    <w:p w:rsidR="00683496" w:rsidRPr="00E84485" w:rsidRDefault="00683496" w:rsidP="00683496">
      <w:pPr>
        <w:jc w:val="both"/>
        <w:rPr>
          <w:color w:val="000000" w:themeColor="text1"/>
        </w:rPr>
      </w:pPr>
      <w:r w:rsidRPr="00E84485">
        <w:rPr>
          <w:color w:val="000000" w:themeColor="text1"/>
        </w:rPr>
        <w:tab/>
        <w:t>Do wykonania mieszanki chudego betonu należy stosować:</w:t>
      </w:r>
    </w:p>
    <w:p w:rsidR="00683496" w:rsidRPr="00E84485" w:rsidRDefault="00683496" w:rsidP="00683496">
      <w:pPr>
        <w:numPr>
          <w:ilvl w:val="0"/>
          <w:numId w:val="1"/>
        </w:numPr>
        <w:jc w:val="both"/>
        <w:rPr>
          <w:color w:val="000000" w:themeColor="text1"/>
        </w:rPr>
      </w:pPr>
      <w:r w:rsidRPr="00E84485">
        <w:rPr>
          <w:color w:val="000000" w:themeColor="text1"/>
        </w:rPr>
        <w:t>żwir i mieszankę wg PN-B-11111:1996 [14],</w:t>
      </w:r>
    </w:p>
    <w:p w:rsidR="00683496" w:rsidRPr="00E84485" w:rsidRDefault="00683496" w:rsidP="00683496">
      <w:pPr>
        <w:numPr>
          <w:ilvl w:val="0"/>
          <w:numId w:val="1"/>
        </w:numPr>
        <w:jc w:val="both"/>
        <w:rPr>
          <w:color w:val="000000" w:themeColor="text1"/>
        </w:rPr>
      </w:pPr>
      <w:r w:rsidRPr="00E84485">
        <w:rPr>
          <w:color w:val="000000" w:themeColor="text1"/>
        </w:rPr>
        <w:t>piasek wg PN-B-11113:1996 [16],</w:t>
      </w:r>
    </w:p>
    <w:p w:rsidR="00683496" w:rsidRPr="00E84485" w:rsidRDefault="00683496" w:rsidP="00683496">
      <w:pPr>
        <w:numPr>
          <w:ilvl w:val="0"/>
          <w:numId w:val="1"/>
        </w:numPr>
        <w:jc w:val="both"/>
        <w:rPr>
          <w:color w:val="000000" w:themeColor="text1"/>
        </w:rPr>
      </w:pPr>
      <w:r w:rsidRPr="00E84485">
        <w:rPr>
          <w:color w:val="000000" w:themeColor="text1"/>
        </w:rPr>
        <w:t>kruszywo łamane wg PN-B-11112:1996 [15] i WT/MK-CZDP84 [26],</w:t>
      </w:r>
    </w:p>
    <w:p w:rsidR="00683496" w:rsidRPr="00E84485" w:rsidRDefault="00683496" w:rsidP="00683496">
      <w:pPr>
        <w:numPr>
          <w:ilvl w:val="0"/>
          <w:numId w:val="1"/>
        </w:numPr>
        <w:jc w:val="both"/>
        <w:rPr>
          <w:color w:val="000000" w:themeColor="text1"/>
        </w:rPr>
      </w:pPr>
      <w:r w:rsidRPr="00E84485">
        <w:rPr>
          <w:color w:val="000000" w:themeColor="text1"/>
        </w:rPr>
        <w:t>kruszywo żużlowe z żużla wielkopiecowego kawałkowego wg PN-B-23004: 1988 [17],</w:t>
      </w:r>
    </w:p>
    <w:p w:rsidR="00683496" w:rsidRPr="00E84485" w:rsidRDefault="00683496" w:rsidP="00683496">
      <w:pPr>
        <w:numPr>
          <w:ilvl w:val="0"/>
          <w:numId w:val="1"/>
        </w:numPr>
        <w:jc w:val="both"/>
        <w:rPr>
          <w:color w:val="000000" w:themeColor="text1"/>
        </w:rPr>
      </w:pPr>
      <w:r w:rsidRPr="00E84485">
        <w:rPr>
          <w:color w:val="000000" w:themeColor="text1"/>
        </w:rPr>
        <w:t>kruszywo z recyklingu betonu o ziarnach większych niż 4 mm.</w:t>
      </w:r>
    </w:p>
    <w:p w:rsidR="00683496" w:rsidRPr="00E84485" w:rsidRDefault="00683496" w:rsidP="00683496">
      <w:pPr>
        <w:numPr>
          <w:ilvl w:val="12"/>
          <w:numId w:val="0"/>
        </w:numPr>
        <w:jc w:val="both"/>
        <w:rPr>
          <w:color w:val="000000" w:themeColor="text1"/>
        </w:rPr>
      </w:pPr>
      <w:r w:rsidRPr="00E84485">
        <w:rPr>
          <w:color w:val="000000" w:themeColor="text1"/>
        </w:rPr>
        <w:tab/>
        <w:t>Kruszywo powinno spełniać wymagania określone w normie PN-S-96013:1997 [20].</w:t>
      </w:r>
    </w:p>
    <w:p w:rsidR="00683496" w:rsidRPr="00E84485" w:rsidRDefault="00683496" w:rsidP="00683496">
      <w:pPr>
        <w:pStyle w:val="Nagwek2"/>
        <w:numPr>
          <w:ilvl w:val="12"/>
          <w:numId w:val="0"/>
        </w:numPr>
        <w:rPr>
          <w:color w:val="000000" w:themeColor="text1"/>
        </w:rPr>
      </w:pPr>
      <w:r w:rsidRPr="00E84485">
        <w:rPr>
          <w:color w:val="000000" w:themeColor="text1"/>
        </w:rPr>
        <w:t>2.4. Woda</w:t>
      </w:r>
    </w:p>
    <w:p w:rsidR="00683496" w:rsidRPr="00E84485" w:rsidRDefault="00683496" w:rsidP="00683496">
      <w:pPr>
        <w:numPr>
          <w:ilvl w:val="12"/>
          <w:numId w:val="0"/>
        </w:numPr>
        <w:jc w:val="both"/>
        <w:rPr>
          <w:color w:val="000000" w:themeColor="text1"/>
        </w:rPr>
      </w:pPr>
      <w:r w:rsidRPr="00E84485">
        <w:rPr>
          <w:color w:val="000000" w:themeColor="text1"/>
        </w:rPr>
        <w:tab/>
        <w:t xml:space="preserve">Do wytwarzania mieszanki betonowej jak i do pielęgnacji wykonanej podbudowy należy stosować wodę odpowiadającą wymaganiom normy PN-B-32250:1988 [18]. Bez badań laboratoryjnych można stosować wodociągową wodę pitną. </w:t>
      </w:r>
    </w:p>
    <w:p w:rsidR="00683496" w:rsidRPr="00E84485" w:rsidRDefault="00683496" w:rsidP="00683496">
      <w:pPr>
        <w:pStyle w:val="Nagwek2"/>
        <w:numPr>
          <w:ilvl w:val="12"/>
          <w:numId w:val="0"/>
        </w:numPr>
        <w:rPr>
          <w:color w:val="000000" w:themeColor="text1"/>
        </w:rPr>
      </w:pPr>
      <w:r w:rsidRPr="00E84485">
        <w:rPr>
          <w:color w:val="000000" w:themeColor="text1"/>
        </w:rPr>
        <w:t>2.6. Materiały do pielęgnacji podbudowy z chudego betonu</w:t>
      </w:r>
    </w:p>
    <w:p w:rsidR="00683496" w:rsidRPr="00E84485" w:rsidRDefault="00683496" w:rsidP="00683496">
      <w:pPr>
        <w:numPr>
          <w:ilvl w:val="12"/>
          <w:numId w:val="0"/>
        </w:numPr>
        <w:jc w:val="both"/>
        <w:rPr>
          <w:color w:val="000000" w:themeColor="text1"/>
        </w:rPr>
      </w:pPr>
      <w:r w:rsidRPr="00E84485">
        <w:rPr>
          <w:color w:val="000000" w:themeColor="text1"/>
        </w:rPr>
        <w:tab/>
        <w:t>Do pielęgnacji podbudowy z chudego betonu mogą być stosowane:</w:t>
      </w:r>
    </w:p>
    <w:p w:rsidR="00683496" w:rsidRPr="00E84485" w:rsidRDefault="00683496" w:rsidP="00683496">
      <w:pPr>
        <w:numPr>
          <w:ilvl w:val="0"/>
          <w:numId w:val="1"/>
        </w:numPr>
        <w:jc w:val="both"/>
        <w:rPr>
          <w:color w:val="000000" w:themeColor="text1"/>
        </w:rPr>
      </w:pPr>
      <w:r w:rsidRPr="00E84485">
        <w:rPr>
          <w:color w:val="000000" w:themeColor="text1"/>
        </w:rPr>
        <w:t>preparaty pielęgnacyjne posiadające aprobatę techniczną,</w:t>
      </w:r>
    </w:p>
    <w:p w:rsidR="00683496" w:rsidRPr="00E84485" w:rsidRDefault="00683496" w:rsidP="00683496">
      <w:pPr>
        <w:numPr>
          <w:ilvl w:val="0"/>
          <w:numId w:val="1"/>
        </w:numPr>
        <w:jc w:val="both"/>
        <w:rPr>
          <w:color w:val="000000" w:themeColor="text1"/>
        </w:rPr>
      </w:pPr>
      <w:r w:rsidRPr="00E84485">
        <w:rPr>
          <w:color w:val="000000" w:themeColor="text1"/>
        </w:rPr>
        <w:t>folie z tworzyw sztucznych,</w:t>
      </w:r>
    </w:p>
    <w:p w:rsidR="00683496" w:rsidRPr="00E84485" w:rsidRDefault="00683496" w:rsidP="00683496">
      <w:pPr>
        <w:numPr>
          <w:ilvl w:val="0"/>
          <w:numId w:val="1"/>
        </w:numPr>
        <w:jc w:val="both"/>
        <w:rPr>
          <w:color w:val="000000" w:themeColor="text1"/>
        </w:rPr>
      </w:pPr>
      <w:r w:rsidRPr="00E84485">
        <w:rPr>
          <w:color w:val="000000" w:themeColor="text1"/>
        </w:rPr>
        <w:t>włókniny według PN-P-01715:1985 [19],</w:t>
      </w:r>
    </w:p>
    <w:p w:rsidR="00683496" w:rsidRPr="00E84485" w:rsidRDefault="00683496" w:rsidP="00683496">
      <w:pPr>
        <w:numPr>
          <w:ilvl w:val="0"/>
          <w:numId w:val="1"/>
        </w:numPr>
        <w:jc w:val="both"/>
        <w:rPr>
          <w:color w:val="000000" w:themeColor="text1"/>
        </w:rPr>
      </w:pPr>
      <w:r w:rsidRPr="00E84485">
        <w:rPr>
          <w:color w:val="000000" w:themeColor="text1"/>
        </w:rPr>
        <w:t>piasek i woda.</w:t>
      </w:r>
    </w:p>
    <w:p w:rsidR="00683496" w:rsidRPr="00E84485" w:rsidRDefault="00683496" w:rsidP="00683496">
      <w:pPr>
        <w:pStyle w:val="Nagwek1"/>
        <w:numPr>
          <w:ilvl w:val="12"/>
          <w:numId w:val="0"/>
        </w:numPr>
        <w:rPr>
          <w:color w:val="000000" w:themeColor="text1"/>
        </w:rPr>
      </w:pPr>
      <w:bookmarkStart w:id="411" w:name="_Toc423845940"/>
      <w:bookmarkStart w:id="412" w:name="_Toc418394439"/>
      <w:bookmarkStart w:id="413" w:name="_Toc32644947"/>
      <w:r w:rsidRPr="00E84485">
        <w:rPr>
          <w:color w:val="000000" w:themeColor="text1"/>
        </w:rPr>
        <w:t>3. SPRZĘT</w:t>
      </w:r>
      <w:bookmarkEnd w:id="411"/>
      <w:bookmarkEnd w:id="412"/>
      <w:bookmarkEnd w:id="413"/>
    </w:p>
    <w:p w:rsidR="00683496" w:rsidRPr="00E84485" w:rsidRDefault="00683496" w:rsidP="00683496">
      <w:pPr>
        <w:pStyle w:val="Nagwek2"/>
        <w:numPr>
          <w:ilvl w:val="12"/>
          <w:numId w:val="0"/>
        </w:numPr>
        <w:rPr>
          <w:color w:val="000000" w:themeColor="text1"/>
        </w:rPr>
      </w:pPr>
      <w:r w:rsidRPr="00E84485">
        <w:rPr>
          <w:color w:val="000000" w:themeColor="text1"/>
        </w:rPr>
        <w:t>3.1. Ogólne wymagania dotyczące sprzętu</w:t>
      </w:r>
    </w:p>
    <w:p w:rsidR="00683496" w:rsidRPr="00E84485" w:rsidRDefault="00683496" w:rsidP="00683496">
      <w:pPr>
        <w:numPr>
          <w:ilvl w:val="12"/>
          <w:numId w:val="0"/>
        </w:numPr>
        <w:ind w:right="-11"/>
        <w:jc w:val="both"/>
        <w:rPr>
          <w:color w:val="000000" w:themeColor="text1"/>
        </w:rPr>
      </w:pPr>
      <w:r w:rsidRPr="00E84485">
        <w:rPr>
          <w:b/>
          <w:color w:val="000000" w:themeColor="text1"/>
        </w:rPr>
        <w:tab/>
      </w:r>
      <w:r w:rsidRPr="00E84485">
        <w:rPr>
          <w:color w:val="000000" w:themeColor="text1"/>
        </w:rPr>
        <w:t>Ogólne wymagania dotyczące sprzętu podano w SST D-00.00.00 „Wymagania ogólne” pkt 3.</w:t>
      </w:r>
    </w:p>
    <w:p w:rsidR="00683496" w:rsidRPr="00E84485" w:rsidRDefault="00683496" w:rsidP="00683496">
      <w:pPr>
        <w:pStyle w:val="Nagwek2"/>
        <w:numPr>
          <w:ilvl w:val="12"/>
          <w:numId w:val="0"/>
        </w:numPr>
        <w:rPr>
          <w:color w:val="000000" w:themeColor="text1"/>
        </w:rPr>
      </w:pPr>
      <w:r w:rsidRPr="00E84485">
        <w:rPr>
          <w:color w:val="000000" w:themeColor="text1"/>
        </w:rPr>
        <w:t>3.2. Sprzęt do wykonywania podbudowy z chudego betonu</w:t>
      </w:r>
    </w:p>
    <w:p w:rsidR="00683496" w:rsidRPr="00E84485" w:rsidRDefault="00683496" w:rsidP="00683496">
      <w:pPr>
        <w:numPr>
          <w:ilvl w:val="12"/>
          <w:numId w:val="0"/>
        </w:numPr>
        <w:ind w:right="-11"/>
        <w:jc w:val="both"/>
        <w:rPr>
          <w:color w:val="000000" w:themeColor="text1"/>
        </w:rPr>
      </w:pPr>
      <w:r w:rsidRPr="00E84485">
        <w:rPr>
          <w:color w:val="000000" w:themeColor="text1"/>
        </w:rPr>
        <w:tab/>
        <w:t>Wykonawca przystępujący do wykonania podbudowy z chudego betonu, powinien wykazać się możliwością korzystania z następującego sprzętu:</w:t>
      </w:r>
    </w:p>
    <w:p w:rsidR="00683496" w:rsidRPr="00E84485" w:rsidRDefault="00683496" w:rsidP="00683496">
      <w:pPr>
        <w:numPr>
          <w:ilvl w:val="0"/>
          <w:numId w:val="1"/>
        </w:numPr>
        <w:ind w:right="-14"/>
        <w:jc w:val="both"/>
        <w:rPr>
          <w:rFonts w:ascii="Century Gothic" w:hAnsi="Century Gothic"/>
          <w:b/>
          <w:color w:val="000000" w:themeColor="text1"/>
          <w:sz w:val="28"/>
        </w:rPr>
      </w:pPr>
      <w:r w:rsidRPr="00E84485">
        <w:rPr>
          <w:color w:val="000000" w:themeColor="text1"/>
        </w:rPr>
        <w:t xml:space="preserve">wytwórni stacjonarnej lub mobilnej do wytwarzania chudej mieszanki betonowej. Wytwórnia powinna być wyposażona w urządzenia do wagowego dozowania wszystkich składników, gwarantujące następujące tolerancje dozowania, wyrażone w stosunku do masy poszczególnych składników: kruszywo </w:t>
      </w:r>
      <w:r w:rsidRPr="00E84485">
        <w:rPr>
          <w:color w:val="000000" w:themeColor="text1"/>
        </w:rPr>
        <w:sym w:font="Symbol" w:char="F0B1"/>
      </w:r>
      <w:r w:rsidRPr="00E84485">
        <w:rPr>
          <w:color w:val="000000" w:themeColor="text1"/>
        </w:rPr>
        <w:t xml:space="preserve"> 3%, cement </w:t>
      </w:r>
      <w:r w:rsidRPr="00E84485">
        <w:rPr>
          <w:color w:val="000000" w:themeColor="text1"/>
        </w:rPr>
        <w:sym w:font="Symbol" w:char="F0B1"/>
      </w:r>
      <w:r w:rsidRPr="00E84485">
        <w:rPr>
          <w:color w:val="000000" w:themeColor="text1"/>
        </w:rPr>
        <w:t xml:space="preserve"> 0,5%, woda </w:t>
      </w:r>
      <w:r w:rsidRPr="00E84485">
        <w:rPr>
          <w:color w:val="000000" w:themeColor="text1"/>
        </w:rPr>
        <w:sym w:font="Symbol" w:char="F0B1"/>
      </w:r>
      <w:r w:rsidRPr="00E84485">
        <w:rPr>
          <w:color w:val="000000" w:themeColor="text1"/>
        </w:rPr>
        <w:t xml:space="preserve"> 2%. Inżynier może dopuścić objętościowe dozowanie wody,</w:t>
      </w:r>
    </w:p>
    <w:p w:rsidR="00683496" w:rsidRPr="00E84485" w:rsidRDefault="00683496" w:rsidP="00683496">
      <w:pPr>
        <w:numPr>
          <w:ilvl w:val="0"/>
          <w:numId w:val="1"/>
        </w:numPr>
        <w:ind w:right="-14"/>
        <w:jc w:val="both"/>
        <w:rPr>
          <w:rFonts w:ascii="Century Gothic" w:hAnsi="Century Gothic"/>
          <w:b/>
          <w:color w:val="000000" w:themeColor="text1"/>
          <w:sz w:val="28"/>
        </w:rPr>
      </w:pPr>
      <w:r w:rsidRPr="00E84485">
        <w:rPr>
          <w:color w:val="000000" w:themeColor="text1"/>
        </w:rPr>
        <w:t>przewoźnych zbiorników na wodę,</w:t>
      </w:r>
    </w:p>
    <w:p w:rsidR="00683496" w:rsidRPr="00E84485" w:rsidRDefault="00683496" w:rsidP="00683496">
      <w:pPr>
        <w:numPr>
          <w:ilvl w:val="0"/>
          <w:numId w:val="1"/>
        </w:numPr>
        <w:ind w:right="-14"/>
        <w:jc w:val="both"/>
        <w:rPr>
          <w:rFonts w:ascii="Century Gothic" w:hAnsi="Century Gothic"/>
          <w:b/>
          <w:color w:val="000000" w:themeColor="text1"/>
          <w:sz w:val="28"/>
        </w:rPr>
      </w:pPr>
      <w:r w:rsidRPr="00E84485">
        <w:rPr>
          <w:color w:val="000000" w:themeColor="text1"/>
        </w:rPr>
        <w:t>układarek albo równiarek  do rozkładania chudej mieszanki betonowej,</w:t>
      </w:r>
    </w:p>
    <w:p w:rsidR="00683496" w:rsidRPr="00E84485" w:rsidRDefault="00683496" w:rsidP="00683496">
      <w:pPr>
        <w:numPr>
          <w:ilvl w:val="0"/>
          <w:numId w:val="1"/>
        </w:numPr>
        <w:ind w:right="-14"/>
        <w:jc w:val="both"/>
        <w:rPr>
          <w:rFonts w:ascii="Century Gothic" w:hAnsi="Century Gothic"/>
          <w:b/>
          <w:color w:val="000000" w:themeColor="text1"/>
          <w:sz w:val="28"/>
        </w:rPr>
      </w:pPr>
      <w:r w:rsidRPr="00E84485">
        <w:rPr>
          <w:color w:val="000000" w:themeColor="text1"/>
        </w:rPr>
        <w:t>walców wibracyjnych lub statycznych do zagęszczania lub płyty wibracyjne,</w:t>
      </w:r>
    </w:p>
    <w:p w:rsidR="00683496" w:rsidRPr="00E84485" w:rsidRDefault="00683496" w:rsidP="00683496">
      <w:pPr>
        <w:numPr>
          <w:ilvl w:val="0"/>
          <w:numId w:val="1"/>
        </w:numPr>
        <w:ind w:right="-14"/>
        <w:jc w:val="both"/>
        <w:rPr>
          <w:rFonts w:ascii="Century Gothic" w:hAnsi="Century Gothic"/>
          <w:b/>
          <w:color w:val="000000" w:themeColor="text1"/>
          <w:sz w:val="28"/>
        </w:rPr>
      </w:pPr>
      <w:r w:rsidRPr="00E84485">
        <w:rPr>
          <w:color w:val="000000" w:themeColor="text1"/>
        </w:rPr>
        <w:t>zagęszczarek płytowych, ubijaków mechanicznych lub małych walców wibracyjnych do zagęszczania w miejscach trudno dostępnych.</w:t>
      </w:r>
    </w:p>
    <w:p w:rsidR="00683496" w:rsidRPr="00E84485" w:rsidRDefault="00683496" w:rsidP="00683496">
      <w:pPr>
        <w:pStyle w:val="Nagwek1"/>
        <w:numPr>
          <w:ilvl w:val="12"/>
          <w:numId w:val="0"/>
        </w:numPr>
        <w:rPr>
          <w:color w:val="000000" w:themeColor="text1"/>
        </w:rPr>
      </w:pPr>
      <w:bookmarkStart w:id="414" w:name="_Toc423845941"/>
      <w:bookmarkStart w:id="415" w:name="_Toc418394440"/>
      <w:bookmarkStart w:id="416" w:name="_Toc32644948"/>
      <w:r w:rsidRPr="00E84485">
        <w:rPr>
          <w:color w:val="000000" w:themeColor="text1"/>
        </w:rPr>
        <w:t>4. TRANSPORT</w:t>
      </w:r>
      <w:bookmarkEnd w:id="414"/>
      <w:bookmarkEnd w:id="415"/>
      <w:bookmarkEnd w:id="416"/>
    </w:p>
    <w:p w:rsidR="00683496" w:rsidRPr="00E84485" w:rsidRDefault="00683496" w:rsidP="00683496">
      <w:pPr>
        <w:pStyle w:val="Nagwek2"/>
        <w:numPr>
          <w:ilvl w:val="12"/>
          <w:numId w:val="0"/>
        </w:numPr>
        <w:rPr>
          <w:color w:val="000000" w:themeColor="text1"/>
        </w:rPr>
      </w:pPr>
      <w:r w:rsidRPr="00E84485">
        <w:rPr>
          <w:color w:val="000000" w:themeColor="text1"/>
        </w:rPr>
        <w:t>4.1. Ogólne wymagania dotyczące transportu</w:t>
      </w:r>
    </w:p>
    <w:p w:rsidR="00683496" w:rsidRPr="00E84485" w:rsidRDefault="00683496" w:rsidP="00683496">
      <w:pPr>
        <w:numPr>
          <w:ilvl w:val="12"/>
          <w:numId w:val="0"/>
        </w:numPr>
        <w:ind w:right="-11"/>
        <w:jc w:val="both"/>
        <w:rPr>
          <w:color w:val="000000" w:themeColor="text1"/>
        </w:rPr>
      </w:pPr>
      <w:r w:rsidRPr="00E84485">
        <w:rPr>
          <w:color w:val="000000" w:themeColor="text1"/>
        </w:rPr>
        <w:tab/>
        <w:t>Ogólne wymagania dotyczące transportu podano w SST D-00.00.00 „Wymagania ogólne” pkt 4.</w:t>
      </w:r>
    </w:p>
    <w:p w:rsidR="00683496" w:rsidRPr="00E84485" w:rsidRDefault="00683496" w:rsidP="00683496">
      <w:pPr>
        <w:pStyle w:val="Nagwek2"/>
        <w:numPr>
          <w:ilvl w:val="12"/>
          <w:numId w:val="0"/>
        </w:numPr>
        <w:rPr>
          <w:color w:val="000000" w:themeColor="text1"/>
        </w:rPr>
      </w:pPr>
      <w:r w:rsidRPr="00E84485">
        <w:rPr>
          <w:color w:val="000000" w:themeColor="text1"/>
        </w:rPr>
        <w:t>4.2. Transport materiałów</w:t>
      </w:r>
    </w:p>
    <w:p w:rsidR="00683496" w:rsidRPr="00E84485" w:rsidRDefault="00683496" w:rsidP="00683496">
      <w:pPr>
        <w:numPr>
          <w:ilvl w:val="12"/>
          <w:numId w:val="0"/>
        </w:numPr>
        <w:jc w:val="both"/>
        <w:rPr>
          <w:color w:val="000000" w:themeColor="text1"/>
        </w:rPr>
      </w:pPr>
      <w:r w:rsidRPr="00E84485">
        <w:rPr>
          <w:color w:val="000000" w:themeColor="text1"/>
        </w:rPr>
        <w:tab/>
        <w:t>Transport cementu powinien odbywać się zgodnie z BN-88/6731-08 [22]. Cement luzem należy przewozić cementowozami, natomiast cement workowany można przewozić dowolnymi środkami transportu, w sposób zabezpieczony przed zawilgoceniem.</w:t>
      </w:r>
    </w:p>
    <w:p w:rsidR="00683496" w:rsidRPr="00E84485" w:rsidRDefault="00683496" w:rsidP="00683496">
      <w:pPr>
        <w:numPr>
          <w:ilvl w:val="12"/>
          <w:numId w:val="0"/>
        </w:numPr>
        <w:ind w:right="-11"/>
        <w:jc w:val="both"/>
        <w:rPr>
          <w:color w:val="000000" w:themeColor="text1"/>
        </w:rPr>
      </w:pPr>
      <w:r w:rsidRPr="00E84485">
        <w:rPr>
          <w:color w:val="000000" w:themeColor="text1"/>
        </w:rPr>
        <w:tab/>
        <w:t>Kruszywo można przewozić dowolnymi środkami transportu w warunkach zabezpieczających je przed zanieczyszczeniem, zmieszaniem z innymi materiałami i zawilgoceniem.</w:t>
      </w:r>
    </w:p>
    <w:p w:rsidR="00683496" w:rsidRPr="00E84485" w:rsidRDefault="00683496" w:rsidP="00683496">
      <w:pPr>
        <w:numPr>
          <w:ilvl w:val="12"/>
          <w:numId w:val="0"/>
        </w:numPr>
        <w:ind w:right="-11"/>
        <w:jc w:val="both"/>
        <w:rPr>
          <w:color w:val="000000" w:themeColor="text1"/>
        </w:rPr>
      </w:pPr>
      <w:r w:rsidRPr="00E84485">
        <w:rPr>
          <w:color w:val="000000" w:themeColor="text1"/>
        </w:rPr>
        <w:tab/>
        <w:t>Woda może być dostarczana wodociągiem lub przewoźnymi zbiornikami wody,</w:t>
      </w:r>
    </w:p>
    <w:p w:rsidR="00683496" w:rsidRPr="00E84485" w:rsidRDefault="00683496" w:rsidP="00683496">
      <w:pPr>
        <w:numPr>
          <w:ilvl w:val="12"/>
          <w:numId w:val="0"/>
        </w:numPr>
        <w:ind w:right="-11"/>
        <w:jc w:val="both"/>
        <w:rPr>
          <w:color w:val="000000" w:themeColor="text1"/>
        </w:rPr>
      </w:pPr>
      <w:r w:rsidRPr="00E84485">
        <w:rPr>
          <w:color w:val="000000" w:themeColor="text1"/>
        </w:rPr>
        <w:lastRenderedPageBreak/>
        <w:tab/>
        <w:t>Transport mieszanki chudego betonu powinien odbywać się zgodnie z PN-S-96013:1997 [20].</w:t>
      </w:r>
    </w:p>
    <w:p w:rsidR="00683496" w:rsidRPr="00E84485" w:rsidRDefault="00683496" w:rsidP="00683496">
      <w:pPr>
        <w:pStyle w:val="Nagwek1"/>
        <w:numPr>
          <w:ilvl w:val="12"/>
          <w:numId w:val="0"/>
        </w:numPr>
        <w:rPr>
          <w:color w:val="000000" w:themeColor="text1"/>
        </w:rPr>
      </w:pPr>
      <w:bookmarkStart w:id="417" w:name="_Toc423845942"/>
      <w:bookmarkStart w:id="418" w:name="_Toc418394441"/>
      <w:bookmarkStart w:id="419" w:name="_Toc32644949"/>
      <w:r w:rsidRPr="00E84485">
        <w:rPr>
          <w:color w:val="000000" w:themeColor="text1"/>
        </w:rPr>
        <w:t>5. WYKONANIE ROBÓT</w:t>
      </w:r>
      <w:bookmarkEnd w:id="417"/>
      <w:bookmarkEnd w:id="418"/>
      <w:bookmarkEnd w:id="419"/>
    </w:p>
    <w:p w:rsidR="00683496" w:rsidRPr="00E84485" w:rsidRDefault="00683496" w:rsidP="00683496">
      <w:pPr>
        <w:pStyle w:val="Nagwek2"/>
        <w:numPr>
          <w:ilvl w:val="12"/>
          <w:numId w:val="0"/>
        </w:numPr>
        <w:rPr>
          <w:color w:val="000000" w:themeColor="text1"/>
        </w:rPr>
      </w:pPr>
      <w:r w:rsidRPr="00E84485">
        <w:rPr>
          <w:color w:val="000000" w:themeColor="text1"/>
        </w:rPr>
        <w:t>5.1. Ogólne zasady wykonania robót</w:t>
      </w:r>
    </w:p>
    <w:p w:rsidR="00683496" w:rsidRPr="00E84485" w:rsidRDefault="00683496" w:rsidP="00683496">
      <w:pPr>
        <w:numPr>
          <w:ilvl w:val="12"/>
          <w:numId w:val="0"/>
        </w:numPr>
        <w:jc w:val="both"/>
        <w:rPr>
          <w:color w:val="000000" w:themeColor="text1"/>
        </w:rPr>
      </w:pPr>
      <w:r w:rsidRPr="00E84485">
        <w:rPr>
          <w:color w:val="000000" w:themeColor="text1"/>
        </w:rPr>
        <w:tab/>
        <w:t>Ogólne zasady wykonania robót podano w SST D-00.00.00 „Wymagania ogólne” pkt 5.</w:t>
      </w:r>
    </w:p>
    <w:p w:rsidR="00683496" w:rsidRPr="00E84485" w:rsidRDefault="00683496" w:rsidP="00683496">
      <w:pPr>
        <w:pStyle w:val="Nagwek2"/>
        <w:rPr>
          <w:color w:val="000000" w:themeColor="text1"/>
        </w:rPr>
      </w:pPr>
      <w:r w:rsidRPr="00E84485">
        <w:rPr>
          <w:color w:val="000000" w:themeColor="text1"/>
        </w:rPr>
        <w:t>5.2. Projektowanie mieszanki chudego betonu</w:t>
      </w:r>
    </w:p>
    <w:p w:rsidR="00683496" w:rsidRPr="00E84485" w:rsidRDefault="00683496" w:rsidP="00683496">
      <w:pPr>
        <w:numPr>
          <w:ilvl w:val="12"/>
          <w:numId w:val="0"/>
        </w:numPr>
        <w:jc w:val="both"/>
        <w:rPr>
          <w:color w:val="000000" w:themeColor="text1"/>
        </w:rPr>
      </w:pPr>
      <w:r w:rsidRPr="00E84485">
        <w:rPr>
          <w:color w:val="000000" w:themeColor="text1"/>
        </w:rPr>
        <w:tab/>
        <w:t>Przed przystąpieniem do robót, w terminie uzgodnionym z Inżynierem, Wykonawca dostarczy Inżynierowi do akceptacji projekt składu mieszanki chudego betonu oraz wyniki badań laboratoryjnych poszczególnych składników i próbki materiałów pobrane w obecności Inżyniera do wykonania badań kontrolnych przez Inżyniera.</w:t>
      </w:r>
    </w:p>
    <w:p w:rsidR="00683496" w:rsidRPr="00E84485" w:rsidRDefault="00683496" w:rsidP="00683496">
      <w:pPr>
        <w:numPr>
          <w:ilvl w:val="12"/>
          <w:numId w:val="0"/>
        </w:numPr>
        <w:jc w:val="both"/>
        <w:rPr>
          <w:color w:val="000000" w:themeColor="text1"/>
        </w:rPr>
      </w:pPr>
      <w:r w:rsidRPr="00E84485">
        <w:rPr>
          <w:color w:val="000000" w:themeColor="text1"/>
        </w:rPr>
        <w:tab/>
        <w:t>Projektowanie mieszanki chudego betonu polega na:</w:t>
      </w:r>
    </w:p>
    <w:p w:rsidR="00683496" w:rsidRPr="00E84485" w:rsidRDefault="00683496" w:rsidP="002122BD">
      <w:pPr>
        <w:numPr>
          <w:ilvl w:val="0"/>
          <w:numId w:val="56"/>
        </w:numPr>
        <w:tabs>
          <w:tab w:val="left" w:pos="360"/>
        </w:tabs>
        <w:jc w:val="both"/>
        <w:rPr>
          <w:color w:val="000000" w:themeColor="text1"/>
        </w:rPr>
      </w:pPr>
      <w:r w:rsidRPr="00E84485">
        <w:rPr>
          <w:color w:val="000000" w:themeColor="text1"/>
        </w:rPr>
        <w:t>doborze kruszywa do mieszanki,</w:t>
      </w:r>
    </w:p>
    <w:p w:rsidR="00683496" w:rsidRPr="00E84485" w:rsidRDefault="00683496" w:rsidP="002122BD">
      <w:pPr>
        <w:numPr>
          <w:ilvl w:val="0"/>
          <w:numId w:val="56"/>
        </w:numPr>
        <w:tabs>
          <w:tab w:val="left" w:pos="360"/>
        </w:tabs>
        <w:jc w:val="both"/>
        <w:rPr>
          <w:color w:val="000000" w:themeColor="text1"/>
        </w:rPr>
      </w:pPr>
      <w:r w:rsidRPr="00E84485">
        <w:rPr>
          <w:color w:val="000000" w:themeColor="text1"/>
        </w:rPr>
        <w:t>doborze ilości cementu,</w:t>
      </w:r>
    </w:p>
    <w:p w:rsidR="00683496" w:rsidRPr="00E84485" w:rsidRDefault="00683496" w:rsidP="002122BD">
      <w:pPr>
        <w:numPr>
          <w:ilvl w:val="0"/>
          <w:numId w:val="56"/>
        </w:numPr>
        <w:tabs>
          <w:tab w:val="left" w:pos="360"/>
        </w:tabs>
        <w:jc w:val="both"/>
        <w:rPr>
          <w:color w:val="000000" w:themeColor="text1"/>
        </w:rPr>
      </w:pPr>
      <w:r w:rsidRPr="00E84485">
        <w:rPr>
          <w:color w:val="000000" w:themeColor="text1"/>
        </w:rPr>
        <w:t>doborze ilości wody.</w:t>
      </w:r>
    </w:p>
    <w:p w:rsidR="00683496" w:rsidRPr="00E84485" w:rsidRDefault="00683496" w:rsidP="00683496">
      <w:pPr>
        <w:numPr>
          <w:ilvl w:val="12"/>
          <w:numId w:val="0"/>
        </w:numPr>
        <w:jc w:val="both"/>
        <w:rPr>
          <w:color w:val="000000" w:themeColor="text1"/>
        </w:rPr>
      </w:pPr>
      <w:r w:rsidRPr="00E84485">
        <w:rPr>
          <w:color w:val="000000" w:themeColor="text1"/>
        </w:rPr>
        <w:tab/>
        <w:t>Krzywa uziarnienia mieszanki mineralnej powinna mieścić się w polu dobrego uziarnienia wyznaczonego przez krzywe graniczne wg PN-S-96013: 1997 [20].</w:t>
      </w:r>
    </w:p>
    <w:p w:rsidR="00683496" w:rsidRPr="00E84485" w:rsidRDefault="00683496" w:rsidP="00683496">
      <w:pPr>
        <w:numPr>
          <w:ilvl w:val="12"/>
          <w:numId w:val="0"/>
        </w:numPr>
        <w:jc w:val="both"/>
        <w:rPr>
          <w:color w:val="000000" w:themeColor="text1"/>
        </w:rPr>
      </w:pPr>
      <w:r w:rsidRPr="00E84485">
        <w:rPr>
          <w:color w:val="000000" w:themeColor="text1"/>
        </w:rPr>
        <w:tab/>
        <w:t>Rzędne krzywych granicznych uziarnienia mieszanek mineralnych podano w tablicy 3 i na rysunku 1 i 2.</w:t>
      </w:r>
    </w:p>
    <w:p w:rsidR="00683496" w:rsidRPr="00E84485" w:rsidRDefault="00683496" w:rsidP="00683496">
      <w:pPr>
        <w:numPr>
          <w:ilvl w:val="12"/>
          <w:numId w:val="0"/>
        </w:numPr>
        <w:jc w:val="both"/>
        <w:rPr>
          <w:color w:val="000000" w:themeColor="text1"/>
        </w:rPr>
      </w:pPr>
      <w:r w:rsidRPr="00E84485">
        <w:rPr>
          <w:color w:val="000000" w:themeColor="text1"/>
        </w:rPr>
        <w:tab/>
        <w:t>Uziarnienie kruszywa powinno być tak dobrane, aby mieszanka betonowa wykazywała maksymalną szczelność i urabialność przy minimalnym zużyciu cementu i wody.</w:t>
      </w:r>
    </w:p>
    <w:p w:rsidR="00683496" w:rsidRPr="00E84485" w:rsidRDefault="00683496" w:rsidP="00683496">
      <w:pPr>
        <w:numPr>
          <w:ilvl w:val="12"/>
          <w:numId w:val="0"/>
        </w:numPr>
        <w:spacing w:after="120"/>
        <w:jc w:val="both"/>
        <w:rPr>
          <w:color w:val="000000" w:themeColor="text1"/>
        </w:rPr>
      </w:pPr>
      <w:r w:rsidRPr="00E84485">
        <w:rPr>
          <w:color w:val="000000" w:themeColor="text1"/>
        </w:rPr>
        <w:t>Tablica 3.Rzędne krzywych granicznych uziarnienia mieszanki mineralnej.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5"/>
        <w:gridCol w:w="2727"/>
        <w:gridCol w:w="2727"/>
      </w:tblGrid>
      <w:tr w:rsidR="00683496" w:rsidRPr="00E84485" w:rsidTr="00683496">
        <w:tc>
          <w:tcPr>
            <w:tcW w:w="2055" w:type="dxa"/>
            <w:tcBorders>
              <w:bottom w:val="doub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Sito o boku oczka kwadratowego (mm)</w:t>
            </w:r>
          </w:p>
        </w:tc>
        <w:tc>
          <w:tcPr>
            <w:tcW w:w="2727" w:type="dxa"/>
            <w:tcBorders>
              <w:bottom w:val="doub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Przechodzi przez sito</w:t>
            </w:r>
          </w:p>
          <w:p w:rsidR="00683496" w:rsidRPr="00E84485" w:rsidRDefault="00683496" w:rsidP="00683496">
            <w:pPr>
              <w:numPr>
                <w:ilvl w:val="12"/>
                <w:numId w:val="0"/>
              </w:numPr>
              <w:jc w:val="both"/>
              <w:rPr>
                <w:color w:val="000000" w:themeColor="text1"/>
              </w:rPr>
            </w:pPr>
            <w:r w:rsidRPr="00E84485">
              <w:rPr>
                <w:color w:val="000000" w:themeColor="text1"/>
              </w:rPr>
              <w:t>(%)</w:t>
            </w:r>
          </w:p>
        </w:tc>
        <w:tc>
          <w:tcPr>
            <w:tcW w:w="2727" w:type="dxa"/>
            <w:tcBorders>
              <w:bottom w:val="doub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Przechodzi przez sito</w:t>
            </w:r>
          </w:p>
          <w:p w:rsidR="00683496" w:rsidRPr="00E84485" w:rsidRDefault="00683496" w:rsidP="00683496">
            <w:pPr>
              <w:numPr>
                <w:ilvl w:val="12"/>
                <w:numId w:val="0"/>
              </w:numPr>
              <w:jc w:val="both"/>
              <w:rPr>
                <w:color w:val="000000" w:themeColor="text1"/>
              </w:rPr>
            </w:pPr>
            <w:r w:rsidRPr="00E84485">
              <w:rPr>
                <w:color w:val="000000" w:themeColor="text1"/>
              </w:rPr>
              <w:t>(%)</w:t>
            </w:r>
          </w:p>
        </w:tc>
      </w:tr>
      <w:tr w:rsidR="00683496" w:rsidRPr="00E84485" w:rsidTr="00683496">
        <w:tc>
          <w:tcPr>
            <w:tcW w:w="2055" w:type="dxa"/>
            <w:tcBorders>
              <w:top w:val="nil"/>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63</w:t>
            </w:r>
          </w:p>
          <w:p w:rsidR="00683496" w:rsidRPr="00E84485" w:rsidRDefault="00683496" w:rsidP="00683496">
            <w:pPr>
              <w:numPr>
                <w:ilvl w:val="12"/>
                <w:numId w:val="0"/>
              </w:numPr>
              <w:jc w:val="both"/>
              <w:rPr>
                <w:color w:val="000000" w:themeColor="text1"/>
              </w:rPr>
            </w:pPr>
            <w:r w:rsidRPr="00E84485">
              <w:rPr>
                <w:color w:val="000000" w:themeColor="text1"/>
              </w:rPr>
              <w:t>31,5</w:t>
            </w:r>
          </w:p>
          <w:p w:rsidR="00683496" w:rsidRPr="00E84485" w:rsidRDefault="00683496" w:rsidP="00683496">
            <w:pPr>
              <w:numPr>
                <w:ilvl w:val="12"/>
                <w:numId w:val="0"/>
              </w:numPr>
              <w:jc w:val="both"/>
              <w:rPr>
                <w:color w:val="000000" w:themeColor="text1"/>
              </w:rPr>
            </w:pPr>
            <w:r w:rsidRPr="00E84485">
              <w:rPr>
                <w:color w:val="000000" w:themeColor="text1"/>
              </w:rPr>
              <w:t>16</w:t>
            </w:r>
          </w:p>
          <w:p w:rsidR="00683496" w:rsidRPr="00E84485" w:rsidRDefault="00683496" w:rsidP="00683496">
            <w:pPr>
              <w:numPr>
                <w:ilvl w:val="12"/>
                <w:numId w:val="0"/>
              </w:numPr>
              <w:jc w:val="both"/>
              <w:rPr>
                <w:color w:val="000000" w:themeColor="text1"/>
              </w:rPr>
            </w:pPr>
            <w:r w:rsidRPr="00E84485">
              <w:rPr>
                <w:color w:val="000000" w:themeColor="text1"/>
              </w:rPr>
              <w:t>8</w:t>
            </w:r>
          </w:p>
          <w:p w:rsidR="00683496" w:rsidRPr="00E84485" w:rsidRDefault="00683496" w:rsidP="00683496">
            <w:pPr>
              <w:numPr>
                <w:ilvl w:val="12"/>
                <w:numId w:val="0"/>
              </w:numPr>
              <w:jc w:val="both"/>
              <w:rPr>
                <w:color w:val="000000" w:themeColor="text1"/>
              </w:rPr>
            </w:pPr>
            <w:r w:rsidRPr="00E84485">
              <w:rPr>
                <w:color w:val="000000" w:themeColor="text1"/>
              </w:rPr>
              <w:t>4</w:t>
            </w:r>
          </w:p>
          <w:p w:rsidR="00683496" w:rsidRPr="00E84485" w:rsidRDefault="00683496" w:rsidP="00683496">
            <w:pPr>
              <w:numPr>
                <w:ilvl w:val="12"/>
                <w:numId w:val="0"/>
              </w:numPr>
              <w:jc w:val="both"/>
              <w:rPr>
                <w:color w:val="000000" w:themeColor="text1"/>
              </w:rPr>
            </w:pPr>
            <w:r w:rsidRPr="00E84485">
              <w:rPr>
                <w:color w:val="000000" w:themeColor="text1"/>
              </w:rPr>
              <w:t>2</w:t>
            </w:r>
          </w:p>
          <w:p w:rsidR="00683496" w:rsidRPr="00E84485" w:rsidRDefault="00683496" w:rsidP="00683496">
            <w:pPr>
              <w:numPr>
                <w:ilvl w:val="12"/>
                <w:numId w:val="0"/>
              </w:numPr>
              <w:jc w:val="both"/>
              <w:rPr>
                <w:color w:val="000000" w:themeColor="text1"/>
              </w:rPr>
            </w:pPr>
            <w:r w:rsidRPr="00E84485">
              <w:rPr>
                <w:color w:val="000000" w:themeColor="text1"/>
              </w:rPr>
              <w:t>1</w:t>
            </w:r>
          </w:p>
          <w:p w:rsidR="00683496" w:rsidRPr="00E84485" w:rsidRDefault="00683496" w:rsidP="00683496">
            <w:pPr>
              <w:numPr>
                <w:ilvl w:val="12"/>
                <w:numId w:val="0"/>
              </w:numPr>
              <w:jc w:val="both"/>
              <w:rPr>
                <w:color w:val="000000" w:themeColor="text1"/>
              </w:rPr>
            </w:pPr>
            <w:r w:rsidRPr="00E84485">
              <w:rPr>
                <w:color w:val="000000" w:themeColor="text1"/>
              </w:rPr>
              <w:t>0,5</w:t>
            </w:r>
          </w:p>
          <w:p w:rsidR="00683496" w:rsidRPr="00E84485" w:rsidRDefault="00683496" w:rsidP="00683496">
            <w:pPr>
              <w:numPr>
                <w:ilvl w:val="12"/>
                <w:numId w:val="0"/>
              </w:numPr>
              <w:jc w:val="both"/>
              <w:rPr>
                <w:color w:val="000000" w:themeColor="text1"/>
              </w:rPr>
            </w:pPr>
            <w:r w:rsidRPr="00E84485">
              <w:rPr>
                <w:color w:val="000000" w:themeColor="text1"/>
              </w:rPr>
              <w:t>0,25</w:t>
            </w:r>
          </w:p>
          <w:p w:rsidR="00683496" w:rsidRPr="00E84485" w:rsidRDefault="00683496" w:rsidP="00683496">
            <w:pPr>
              <w:numPr>
                <w:ilvl w:val="12"/>
                <w:numId w:val="0"/>
              </w:numPr>
              <w:jc w:val="both"/>
              <w:rPr>
                <w:color w:val="000000" w:themeColor="text1"/>
              </w:rPr>
            </w:pPr>
            <w:r w:rsidRPr="00E84485">
              <w:rPr>
                <w:color w:val="000000" w:themeColor="text1"/>
              </w:rPr>
              <w:t>0,125</w:t>
            </w:r>
          </w:p>
        </w:tc>
        <w:tc>
          <w:tcPr>
            <w:tcW w:w="2727" w:type="dxa"/>
            <w:tcBorders>
              <w:top w:val="nil"/>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w:t>
            </w:r>
          </w:p>
          <w:p w:rsidR="00683496" w:rsidRPr="00E84485" w:rsidRDefault="00683496" w:rsidP="00683496">
            <w:pPr>
              <w:numPr>
                <w:ilvl w:val="12"/>
                <w:numId w:val="0"/>
              </w:numPr>
              <w:jc w:val="both"/>
              <w:rPr>
                <w:color w:val="000000" w:themeColor="text1"/>
              </w:rPr>
            </w:pPr>
            <w:r w:rsidRPr="00E84485">
              <w:rPr>
                <w:color w:val="000000" w:themeColor="text1"/>
              </w:rPr>
              <w:t>100</w:t>
            </w:r>
          </w:p>
          <w:p w:rsidR="00683496" w:rsidRPr="00E84485" w:rsidRDefault="00683496" w:rsidP="00683496">
            <w:pPr>
              <w:numPr>
                <w:ilvl w:val="12"/>
                <w:numId w:val="0"/>
              </w:numPr>
              <w:jc w:val="both"/>
              <w:rPr>
                <w:color w:val="000000" w:themeColor="text1"/>
              </w:rPr>
            </w:pPr>
            <w:r w:rsidRPr="00E84485">
              <w:rPr>
                <w:color w:val="000000" w:themeColor="text1"/>
              </w:rPr>
              <w:t>od 60 do 80</w:t>
            </w:r>
          </w:p>
          <w:p w:rsidR="00683496" w:rsidRPr="00E84485" w:rsidRDefault="00683496" w:rsidP="00683496">
            <w:pPr>
              <w:numPr>
                <w:ilvl w:val="12"/>
                <w:numId w:val="0"/>
              </w:numPr>
              <w:jc w:val="both"/>
              <w:rPr>
                <w:color w:val="000000" w:themeColor="text1"/>
              </w:rPr>
            </w:pPr>
            <w:r w:rsidRPr="00E84485">
              <w:rPr>
                <w:color w:val="000000" w:themeColor="text1"/>
              </w:rPr>
              <w:t>od 40 do 65</w:t>
            </w:r>
          </w:p>
          <w:p w:rsidR="00683496" w:rsidRPr="00E84485" w:rsidRDefault="00683496" w:rsidP="00683496">
            <w:pPr>
              <w:numPr>
                <w:ilvl w:val="12"/>
                <w:numId w:val="0"/>
              </w:numPr>
              <w:jc w:val="both"/>
              <w:rPr>
                <w:color w:val="000000" w:themeColor="text1"/>
              </w:rPr>
            </w:pPr>
            <w:r w:rsidRPr="00E84485">
              <w:rPr>
                <w:color w:val="000000" w:themeColor="text1"/>
              </w:rPr>
              <w:t>od 25 do 55</w:t>
            </w:r>
          </w:p>
          <w:p w:rsidR="00683496" w:rsidRPr="00E84485" w:rsidRDefault="00683496" w:rsidP="00683496">
            <w:pPr>
              <w:numPr>
                <w:ilvl w:val="12"/>
                <w:numId w:val="0"/>
              </w:numPr>
              <w:jc w:val="both"/>
              <w:rPr>
                <w:color w:val="000000" w:themeColor="text1"/>
              </w:rPr>
            </w:pPr>
            <w:r w:rsidRPr="00E84485">
              <w:rPr>
                <w:color w:val="000000" w:themeColor="text1"/>
              </w:rPr>
              <w:t>od 20 do 45</w:t>
            </w:r>
          </w:p>
          <w:p w:rsidR="00683496" w:rsidRPr="00E84485" w:rsidRDefault="00683496" w:rsidP="00683496">
            <w:pPr>
              <w:numPr>
                <w:ilvl w:val="12"/>
                <w:numId w:val="0"/>
              </w:numPr>
              <w:jc w:val="both"/>
              <w:rPr>
                <w:color w:val="000000" w:themeColor="text1"/>
              </w:rPr>
            </w:pPr>
            <w:r w:rsidRPr="00E84485">
              <w:rPr>
                <w:color w:val="000000" w:themeColor="text1"/>
              </w:rPr>
              <w:t>od 15 do 35</w:t>
            </w:r>
          </w:p>
          <w:p w:rsidR="00683496" w:rsidRPr="00E84485" w:rsidRDefault="00683496" w:rsidP="00683496">
            <w:pPr>
              <w:numPr>
                <w:ilvl w:val="12"/>
                <w:numId w:val="0"/>
              </w:numPr>
              <w:jc w:val="both"/>
              <w:rPr>
                <w:color w:val="000000" w:themeColor="text1"/>
              </w:rPr>
            </w:pPr>
            <w:r w:rsidRPr="00E84485">
              <w:rPr>
                <w:color w:val="000000" w:themeColor="text1"/>
              </w:rPr>
              <w:t>od 7 do 20</w:t>
            </w:r>
          </w:p>
          <w:p w:rsidR="00683496" w:rsidRPr="00E84485" w:rsidRDefault="00683496" w:rsidP="00683496">
            <w:pPr>
              <w:numPr>
                <w:ilvl w:val="12"/>
                <w:numId w:val="0"/>
              </w:numPr>
              <w:jc w:val="both"/>
              <w:rPr>
                <w:color w:val="000000" w:themeColor="text1"/>
              </w:rPr>
            </w:pPr>
            <w:r w:rsidRPr="00E84485">
              <w:rPr>
                <w:color w:val="000000" w:themeColor="text1"/>
              </w:rPr>
              <w:t>od 2 do 12</w:t>
            </w:r>
          </w:p>
          <w:p w:rsidR="00683496" w:rsidRPr="00E84485" w:rsidRDefault="00683496" w:rsidP="00683496">
            <w:pPr>
              <w:numPr>
                <w:ilvl w:val="12"/>
                <w:numId w:val="0"/>
              </w:numPr>
              <w:jc w:val="both"/>
              <w:rPr>
                <w:color w:val="000000" w:themeColor="text1"/>
              </w:rPr>
            </w:pPr>
            <w:r w:rsidRPr="00E84485">
              <w:rPr>
                <w:color w:val="000000" w:themeColor="text1"/>
              </w:rPr>
              <w:t>od 0 do 5</w:t>
            </w:r>
          </w:p>
        </w:tc>
        <w:tc>
          <w:tcPr>
            <w:tcW w:w="2727" w:type="dxa"/>
            <w:tcBorders>
              <w:top w:val="nil"/>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100</w:t>
            </w:r>
          </w:p>
          <w:p w:rsidR="00683496" w:rsidRPr="00E84485" w:rsidRDefault="00683496" w:rsidP="00683496">
            <w:pPr>
              <w:numPr>
                <w:ilvl w:val="12"/>
                <w:numId w:val="0"/>
              </w:numPr>
              <w:jc w:val="both"/>
              <w:rPr>
                <w:color w:val="000000" w:themeColor="text1"/>
              </w:rPr>
            </w:pPr>
            <w:r w:rsidRPr="00E84485">
              <w:rPr>
                <w:color w:val="000000" w:themeColor="text1"/>
              </w:rPr>
              <w:t>od 60 do 85</w:t>
            </w:r>
          </w:p>
          <w:p w:rsidR="00683496" w:rsidRPr="00E84485" w:rsidRDefault="00683496" w:rsidP="00683496">
            <w:pPr>
              <w:numPr>
                <w:ilvl w:val="12"/>
                <w:numId w:val="0"/>
              </w:numPr>
              <w:jc w:val="both"/>
              <w:rPr>
                <w:color w:val="000000" w:themeColor="text1"/>
              </w:rPr>
            </w:pPr>
            <w:r w:rsidRPr="00E84485">
              <w:rPr>
                <w:color w:val="000000" w:themeColor="text1"/>
              </w:rPr>
              <w:t>od 40 do 67</w:t>
            </w:r>
          </w:p>
          <w:p w:rsidR="00683496" w:rsidRPr="00E84485" w:rsidRDefault="00683496" w:rsidP="00683496">
            <w:pPr>
              <w:numPr>
                <w:ilvl w:val="12"/>
                <w:numId w:val="0"/>
              </w:numPr>
              <w:jc w:val="both"/>
              <w:rPr>
                <w:color w:val="000000" w:themeColor="text1"/>
              </w:rPr>
            </w:pPr>
            <w:r w:rsidRPr="00E84485">
              <w:rPr>
                <w:color w:val="000000" w:themeColor="text1"/>
              </w:rPr>
              <w:t>od 30 do 55</w:t>
            </w:r>
          </w:p>
          <w:p w:rsidR="00683496" w:rsidRPr="00E84485" w:rsidRDefault="00683496" w:rsidP="00683496">
            <w:pPr>
              <w:numPr>
                <w:ilvl w:val="12"/>
                <w:numId w:val="0"/>
              </w:numPr>
              <w:jc w:val="both"/>
              <w:rPr>
                <w:color w:val="000000" w:themeColor="text1"/>
              </w:rPr>
            </w:pPr>
            <w:r w:rsidRPr="00E84485">
              <w:rPr>
                <w:color w:val="000000" w:themeColor="text1"/>
              </w:rPr>
              <w:t>od 25 do 45</w:t>
            </w:r>
          </w:p>
          <w:p w:rsidR="00683496" w:rsidRPr="00E84485" w:rsidRDefault="00683496" w:rsidP="00683496">
            <w:pPr>
              <w:numPr>
                <w:ilvl w:val="12"/>
                <w:numId w:val="0"/>
              </w:numPr>
              <w:jc w:val="both"/>
              <w:rPr>
                <w:color w:val="000000" w:themeColor="text1"/>
              </w:rPr>
            </w:pPr>
            <w:r w:rsidRPr="00E84485">
              <w:rPr>
                <w:color w:val="000000" w:themeColor="text1"/>
              </w:rPr>
              <w:t>od 20 do 40</w:t>
            </w:r>
          </w:p>
          <w:p w:rsidR="00683496" w:rsidRPr="00E84485" w:rsidRDefault="00683496" w:rsidP="00683496">
            <w:pPr>
              <w:numPr>
                <w:ilvl w:val="12"/>
                <w:numId w:val="0"/>
              </w:numPr>
              <w:jc w:val="both"/>
              <w:rPr>
                <w:color w:val="000000" w:themeColor="text1"/>
              </w:rPr>
            </w:pPr>
            <w:r w:rsidRPr="00E84485">
              <w:rPr>
                <w:color w:val="000000" w:themeColor="text1"/>
              </w:rPr>
              <w:t>od 15 do 35</w:t>
            </w:r>
          </w:p>
          <w:p w:rsidR="00683496" w:rsidRPr="00E84485" w:rsidRDefault="00683496" w:rsidP="00683496">
            <w:pPr>
              <w:numPr>
                <w:ilvl w:val="12"/>
                <w:numId w:val="0"/>
              </w:numPr>
              <w:jc w:val="both"/>
              <w:rPr>
                <w:color w:val="000000" w:themeColor="text1"/>
              </w:rPr>
            </w:pPr>
            <w:r w:rsidRPr="00E84485">
              <w:rPr>
                <w:color w:val="000000" w:themeColor="text1"/>
              </w:rPr>
              <w:t>od 8 do 20</w:t>
            </w:r>
          </w:p>
          <w:p w:rsidR="00683496" w:rsidRPr="00E84485" w:rsidRDefault="00683496" w:rsidP="00683496">
            <w:pPr>
              <w:numPr>
                <w:ilvl w:val="12"/>
                <w:numId w:val="0"/>
              </w:numPr>
              <w:jc w:val="both"/>
              <w:rPr>
                <w:color w:val="000000" w:themeColor="text1"/>
              </w:rPr>
            </w:pPr>
            <w:r w:rsidRPr="00E84485">
              <w:rPr>
                <w:color w:val="000000" w:themeColor="text1"/>
              </w:rPr>
              <w:t>od 4 do 13</w:t>
            </w:r>
          </w:p>
          <w:p w:rsidR="00683496" w:rsidRPr="00E84485" w:rsidRDefault="00683496" w:rsidP="00683496">
            <w:pPr>
              <w:numPr>
                <w:ilvl w:val="12"/>
                <w:numId w:val="0"/>
              </w:numPr>
              <w:spacing w:after="60"/>
              <w:jc w:val="both"/>
              <w:rPr>
                <w:color w:val="000000" w:themeColor="text1"/>
              </w:rPr>
            </w:pPr>
            <w:r w:rsidRPr="00E84485">
              <w:rPr>
                <w:color w:val="000000" w:themeColor="text1"/>
              </w:rPr>
              <w:t>od 0 do 5</w:t>
            </w:r>
          </w:p>
        </w:tc>
      </w:tr>
    </w:tbl>
    <w:p w:rsidR="00683496" w:rsidRPr="00E84485" w:rsidRDefault="00683496" w:rsidP="00683496">
      <w:pPr>
        <w:numPr>
          <w:ilvl w:val="12"/>
          <w:numId w:val="0"/>
        </w:numPr>
        <w:jc w:val="both"/>
        <w:rPr>
          <w:color w:val="000000" w:themeColor="text1"/>
        </w:rPr>
      </w:pPr>
    </w:p>
    <w:p w:rsidR="00683496" w:rsidRPr="00E84485" w:rsidRDefault="00683496" w:rsidP="00683496">
      <w:pPr>
        <w:numPr>
          <w:ilvl w:val="12"/>
          <w:numId w:val="0"/>
        </w:numPr>
        <w:jc w:val="both"/>
        <w:rPr>
          <w:color w:val="000000" w:themeColor="text1"/>
        </w:rPr>
      </w:pPr>
      <w:r w:rsidRPr="00E84485">
        <w:rPr>
          <w:color w:val="000000" w:themeColor="text1"/>
        </w:rPr>
        <w:tab/>
        <w:t>Zawartość cementu powinna wynosić od 5 do 7% w stosunku do kruszywa i nie powinna przekraczać 130 kg/m</w:t>
      </w:r>
      <w:r w:rsidRPr="00E84485">
        <w:rPr>
          <w:color w:val="000000" w:themeColor="text1"/>
          <w:vertAlign w:val="superscript"/>
        </w:rPr>
        <w:t>3</w:t>
      </w:r>
      <w:r w:rsidRPr="00E84485">
        <w:rPr>
          <w:color w:val="000000" w:themeColor="text1"/>
        </w:rPr>
        <w:t>.</w:t>
      </w:r>
    </w:p>
    <w:p w:rsidR="00683496" w:rsidRPr="00E84485" w:rsidRDefault="00683496" w:rsidP="00683496">
      <w:pPr>
        <w:numPr>
          <w:ilvl w:val="12"/>
          <w:numId w:val="0"/>
        </w:numPr>
        <w:jc w:val="both"/>
        <w:rPr>
          <w:color w:val="000000" w:themeColor="text1"/>
        </w:rPr>
      </w:pPr>
      <w:r w:rsidRPr="00E84485">
        <w:rPr>
          <w:color w:val="000000" w:themeColor="text1"/>
        </w:rPr>
        <w:tab/>
        <w:t xml:space="preserve">Zawartość wody powinna odpowiadać wilgotności optymalnej, określonej według normalnej próby </w:t>
      </w:r>
      <w:proofErr w:type="spellStart"/>
      <w:r w:rsidRPr="00E84485">
        <w:rPr>
          <w:color w:val="000000" w:themeColor="text1"/>
        </w:rPr>
        <w:t>Proctora</w:t>
      </w:r>
      <w:proofErr w:type="spellEnd"/>
      <w:r w:rsidRPr="00E84485">
        <w:rPr>
          <w:color w:val="000000" w:themeColor="text1"/>
        </w:rPr>
        <w:t>, zgodnie z PN-B-04481: 1988 [9] (duży cylinder, metoda II).</w:t>
      </w:r>
    </w:p>
    <w:p w:rsidR="00683496" w:rsidRPr="00E84485" w:rsidRDefault="00683496" w:rsidP="00683496">
      <w:pPr>
        <w:framePr w:hSpace="142" w:wrap="notBeside" w:vAnchor="text" w:hAnchor="page" w:x="2269" w:y="755"/>
        <w:numPr>
          <w:ilvl w:val="12"/>
          <w:numId w:val="0"/>
        </w:numPr>
        <w:jc w:val="both"/>
        <w:rPr>
          <w:color w:val="000000" w:themeColor="text1"/>
        </w:rPr>
      </w:pPr>
      <w:r w:rsidRPr="00E84485">
        <w:rPr>
          <w:noProof/>
          <w:color w:val="000000" w:themeColor="text1"/>
        </w:rPr>
        <w:drawing>
          <wp:inline distT="0" distB="0" distL="0" distR="0" wp14:anchorId="1B4A6DC1" wp14:editId="11613AC4">
            <wp:extent cx="4687570" cy="2795905"/>
            <wp:effectExtent l="0" t="0" r="0" b="4445"/>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87570" cy="2795905"/>
                    </a:xfrm>
                    <a:prstGeom prst="rect">
                      <a:avLst/>
                    </a:prstGeom>
                    <a:noFill/>
                    <a:ln>
                      <a:noFill/>
                    </a:ln>
                  </pic:spPr>
                </pic:pic>
              </a:graphicData>
            </a:graphic>
          </wp:inline>
        </w:drawing>
      </w:r>
    </w:p>
    <w:p w:rsidR="00683496" w:rsidRPr="00E84485" w:rsidRDefault="00683496" w:rsidP="00683496">
      <w:pPr>
        <w:numPr>
          <w:ilvl w:val="12"/>
          <w:numId w:val="0"/>
        </w:numPr>
        <w:jc w:val="both"/>
        <w:rPr>
          <w:color w:val="000000" w:themeColor="text1"/>
        </w:rPr>
      </w:pPr>
    </w:p>
    <w:p w:rsidR="00683496" w:rsidRPr="00E84485" w:rsidRDefault="00683496" w:rsidP="00683496">
      <w:pPr>
        <w:numPr>
          <w:ilvl w:val="12"/>
          <w:numId w:val="0"/>
        </w:numPr>
        <w:jc w:val="both"/>
        <w:rPr>
          <w:color w:val="000000" w:themeColor="text1"/>
        </w:rPr>
      </w:pPr>
    </w:p>
    <w:p w:rsidR="00683496" w:rsidRPr="00E84485" w:rsidRDefault="00683496" w:rsidP="00683496">
      <w:pPr>
        <w:numPr>
          <w:ilvl w:val="12"/>
          <w:numId w:val="0"/>
        </w:numPr>
        <w:spacing w:before="120"/>
        <w:jc w:val="both"/>
        <w:rPr>
          <w:color w:val="000000" w:themeColor="text1"/>
        </w:rPr>
      </w:pPr>
      <w:r w:rsidRPr="00E84485">
        <w:rPr>
          <w:color w:val="000000" w:themeColor="text1"/>
        </w:rPr>
        <w:lastRenderedPageBreak/>
        <w:t>Rysunek 1. Graniczne krzywe uziarnienia do chudego betonu od 0 do 31,5 mm.</w:t>
      </w:r>
    </w:p>
    <w:p w:rsidR="00683496" w:rsidRPr="00E84485" w:rsidRDefault="00683496" w:rsidP="00683496">
      <w:pPr>
        <w:numPr>
          <w:ilvl w:val="12"/>
          <w:numId w:val="0"/>
        </w:numPr>
        <w:jc w:val="both"/>
        <w:rPr>
          <w:color w:val="000000" w:themeColor="text1"/>
        </w:rPr>
      </w:pPr>
    </w:p>
    <w:p w:rsidR="00683496" w:rsidRPr="00E84485" w:rsidRDefault="00683496" w:rsidP="00683496">
      <w:pPr>
        <w:framePr w:hSpace="142" w:wrap="notBeside" w:vAnchor="text" w:hAnchor="page" w:x="2303" w:y="92"/>
        <w:numPr>
          <w:ilvl w:val="12"/>
          <w:numId w:val="0"/>
        </w:numPr>
        <w:jc w:val="both"/>
        <w:rPr>
          <w:color w:val="000000" w:themeColor="text1"/>
        </w:rPr>
      </w:pPr>
      <w:r w:rsidRPr="00E84485">
        <w:rPr>
          <w:noProof/>
          <w:color w:val="000000" w:themeColor="text1"/>
        </w:rPr>
        <w:drawing>
          <wp:inline distT="0" distB="0" distL="0" distR="0" wp14:anchorId="5A1826C7" wp14:editId="6B947542">
            <wp:extent cx="4634865" cy="2564765"/>
            <wp:effectExtent l="0" t="0" r="0" b="6985"/>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34865" cy="2564765"/>
                    </a:xfrm>
                    <a:prstGeom prst="rect">
                      <a:avLst/>
                    </a:prstGeom>
                    <a:noFill/>
                    <a:ln>
                      <a:noFill/>
                    </a:ln>
                  </pic:spPr>
                </pic:pic>
              </a:graphicData>
            </a:graphic>
          </wp:inline>
        </w:drawing>
      </w:r>
    </w:p>
    <w:p w:rsidR="00683496" w:rsidRPr="00E84485" w:rsidRDefault="00683496" w:rsidP="00683496">
      <w:pPr>
        <w:numPr>
          <w:ilvl w:val="12"/>
          <w:numId w:val="0"/>
        </w:numPr>
        <w:spacing w:before="120"/>
        <w:jc w:val="both"/>
        <w:rPr>
          <w:color w:val="000000" w:themeColor="text1"/>
        </w:rPr>
      </w:pPr>
      <w:r w:rsidRPr="00E84485">
        <w:rPr>
          <w:color w:val="000000" w:themeColor="text1"/>
        </w:rPr>
        <w:t>Rysunek 2. Graniczne krzywe uziarnienia kruszywa do chudego betonu od 0 do 63 mm.</w:t>
      </w:r>
    </w:p>
    <w:p w:rsidR="00683496" w:rsidRPr="00E84485" w:rsidRDefault="00683496" w:rsidP="00683496">
      <w:pPr>
        <w:numPr>
          <w:ilvl w:val="12"/>
          <w:numId w:val="0"/>
        </w:numPr>
        <w:spacing w:before="120"/>
        <w:jc w:val="both"/>
        <w:rPr>
          <w:color w:val="000000" w:themeColor="text1"/>
        </w:rPr>
      </w:pPr>
    </w:p>
    <w:p w:rsidR="00683496" w:rsidRPr="00E84485" w:rsidRDefault="00683496" w:rsidP="00683496">
      <w:pPr>
        <w:pStyle w:val="Nagwek2"/>
        <w:rPr>
          <w:color w:val="000000" w:themeColor="text1"/>
        </w:rPr>
      </w:pPr>
      <w:r w:rsidRPr="00E84485">
        <w:rPr>
          <w:color w:val="000000" w:themeColor="text1"/>
        </w:rPr>
        <w:t>5.3. Właściwości chudego betonu.</w:t>
      </w:r>
    </w:p>
    <w:p w:rsidR="00683496" w:rsidRPr="00E84485" w:rsidRDefault="00683496" w:rsidP="00683496">
      <w:pPr>
        <w:numPr>
          <w:ilvl w:val="12"/>
          <w:numId w:val="0"/>
        </w:numPr>
        <w:jc w:val="both"/>
        <w:rPr>
          <w:color w:val="000000" w:themeColor="text1"/>
        </w:rPr>
      </w:pPr>
      <w:r w:rsidRPr="00E84485">
        <w:rPr>
          <w:color w:val="000000" w:themeColor="text1"/>
        </w:rPr>
        <w:tab/>
        <w:t>Chudy beton powinien spełniać wymagania określone w tablicy 4.</w:t>
      </w:r>
    </w:p>
    <w:p w:rsidR="00683496" w:rsidRPr="00E84485" w:rsidRDefault="00683496" w:rsidP="00683496">
      <w:pPr>
        <w:numPr>
          <w:ilvl w:val="12"/>
          <w:numId w:val="0"/>
        </w:numPr>
        <w:spacing w:before="120" w:after="120"/>
        <w:jc w:val="both"/>
        <w:rPr>
          <w:color w:val="000000" w:themeColor="text1"/>
        </w:rPr>
      </w:pPr>
      <w:r w:rsidRPr="00E84485">
        <w:rPr>
          <w:color w:val="000000" w:themeColor="text1"/>
        </w:rPr>
        <w:t>Tablica 4. Wymagania dla chudego 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969"/>
        <w:gridCol w:w="1426"/>
        <w:gridCol w:w="1616"/>
      </w:tblGrid>
      <w:tr w:rsidR="00683496" w:rsidRPr="00E84485" w:rsidTr="00683496">
        <w:tc>
          <w:tcPr>
            <w:tcW w:w="496" w:type="dxa"/>
            <w:tcBorders>
              <w:bottom w:val="doub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Lp.</w:t>
            </w:r>
          </w:p>
        </w:tc>
        <w:tc>
          <w:tcPr>
            <w:tcW w:w="3969" w:type="dxa"/>
            <w:tcBorders>
              <w:bottom w:val="doub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Właściwości</w:t>
            </w:r>
          </w:p>
        </w:tc>
        <w:tc>
          <w:tcPr>
            <w:tcW w:w="1426" w:type="dxa"/>
            <w:tcBorders>
              <w:bottom w:val="doub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Wymagania</w:t>
            </w:r>
          </w:p>
        </w:tc>
        <w:tc>
          <w:tcPr>
            <w:tcW w:w="1616" w:type="dxa"/>
            <w:tcBorders>
              <w:bottom w:val="doub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Badania według</w:t>
            </w:r>
          </w:p>
        </w:tc>
      </w:tr>
      <w:tr w:rsidR="00683496" w:rsidRPr="00E84485" w:rsidTr="00683496">
        <w:tc>
          <w:tcPr>
            <w:tcW w:w="496" w:type="dxa"/>
            <w:tcBorders>
              <w:top w:val="nil"/>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1</w:t>
            </w:r>
          </w:p>
        </w:tc>
        <w:tc>
          <w:tcPr>
            <w:tcW w:w="3969" w:type="dxa"/>
            <w:tcBorders>
              <w:top w:val="nil"/>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 xml:space="preserve">Wytrzymałość na ściskanie po 7 dniach, </w:t>
            </w:r>
            <w:proofErr w:type="spellStart"/>
            <w:r w:rsidRPr="00E84485">
              <w:rPr>
                <w:color w:val="000000" w:themeColor="text1"/>
              </w:rPr>
              <w:t>MPa</w:t>
            </w:r>
            <w:proofErr w:type="spellEnd"/>
          </w:p>
        </w:tc>
        <w:tc>
          <w:tcPr>
            <w:tcW w:w="1426" w:type="dxa"/>
            <w:tcBorders>
              <w:top w:val="nil"/>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od 3,5 do 5,5</w:t>
            </w:r>
          </w:p>
        </w:tc>
        <w:tc>
          <w:tcPr>
            <w:tcW w:w="1616" w:type="dxa"/>
            <w:tcBorders>
              <w:top w:val="nil"/>
            </w:tcBorders>
          </w:tcPr>
          <w:p w:rsidR="00683496" w:rsidRPr="00E84485" w:rsidRDefault="00683496" w:rsidP="00683496">
            <w:pPr>
              <w:numPr>
                <w:ilvl w:val="12"/>
                <w:numId w:val="0"/>
              </w:numPr>
              <w:spacing w:before="120"/>
              <w:jc w:val="both"/>
              <w:rPr>
                <w:color w:val="000000" w:themeColor="text1"/>
              </w:rPr>
            </w:pPr>
            <w:r w:rsidRPr="00E84485">
              <w:rPr>
                <w:color w:val="000000" w:themeColor="text1"/>
              </w:rPr>
              <w:t>PN-B-06250 [10]</w:t>
            </w:r>
          </w:p>
        </w:tc>
      </w:tr>
      <w:tr w:rsidR="00683496" w:rsidRPr="00E84485" w:rsidTr="00683496">
        <w:tc>
          <w:tcPr>
            <w:tcW w:w="496" w:type="dxa"/>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2</w:t>
            </w:r>
          </w:p>
        </w:tc>
        <w:tc>
          <w:tcPr>
            <w:tcW w:w="3969" w:type="dxa"/>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 xml:space="preserve">Wytrzymałość na ściskanie po 28 dniach, </w:t>
            </w:r>
            <w:proofErr w:type="spellStart"/>
            <w:r w:rsidRPr="00E84485">
              <w:rPr>
                <w:color w:val="000000" w:themeColor="text1"/>
              </w:rPr>
              <w:t>MPa</w:t>
            </w:r>
            <w:proofErr w:type="spellEnd"/>
          </w:p>
        </w:tc>
        <w:tc>
          <w:tcPr>
            <w:tcW w:w="1426" w:type="dxa"/>
          </w:tcPr>
          <w:p w:rsidR="00683496" w:rsidRPr="00E84485" w:rsidRDefault="00683496" w:rsidP="00683496">
            <w:pPr>
              <w:numPr>
                <w:ilvl w:val="12"/>
                <w:numId w:val="0"/>
              </w:numPr>
              <w:spacing w:before="120" w:after="60"/>
              <w:jc w:val="both"/>
              <w:rPr>
                <w:color w:val="000000" w:themeColor="text1"/>
              </w:rPr>
            </w:pPr>
            <w:r w:rsidRPr="00E84485">
              <w:rPr>
                <w:color w:val="000000" w:themeColor="text1"/>
              </w:rPr>
              <w:t>od 6,0 do 9,0</w:t>
            </w:r>
          </w:p>
        </w:tc>
        <w:tc>
          <w:tcPr>
            <w:tcW w:w="1616" w:type="dxa"/>
          </w:tcPr>
          <w:p w:rsidR="00683496" w:rsidRPr="00E84485" w:rsidRDefault="00683496" w:rsidP="00683496">
            <w:pPr>
              <w:numPr>
                <w:ilvl w:val="12"/>
                <w:numId w:val="0"/>
              </w:numPr>
              <w:spacing w:before="120"/>
              <w:jc w:val="both"/>
              <w:rPr>
                <w:color w:val="000000" w:themeColor="text1"/>
              </w:rPr>
            </w:pPr>
            <w:r w:rsidRPr="00E84485">
              <w:rPr>
                <w:color w:val="000000" w:themeColor="text1"/>
              </w:rPr>
              <w:t>PN-B-06250 [10]</w:t>
            </w:r>
          </w:p>
        </w:tc>
      </w:tr>
      <w:tr w:rsidR="00683496" w:rsidRPr="00E84485" w:rsidTr="00683496">
        <w:tc>
          <w:tcPr>
            <w:tcW w:w="496" w:type="dxa"/>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3</w:t>
            </w:r>
          </w:p>
        </w:tc>
        <w:tc>
          <w:tcPr>
            <w:tcW w:w="3969" w:type="dxa"/>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Nasiąkliwość, % m/m, nie więcej niż:</w:t>
            </w:r>
          </w:p>
        </w:tc>
        <w:tc>
          <w:tcPr>
            <w:tcW w:w="1426" w:type="dxa"/>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9</w:t>
            </w:r>
          </w:p>
        </w:tc>
        <w:tc>
          <w:tcPr>
            <w:tcW w:w="1616" w:type="dxa"/>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PN-B-06250 [10]</w:t>
            </w:r>
          </w:p>
        </w:tc>
      </w:tr>
      <w:tr w:rsidR="00683496" w:rsidRPr="00E84485" w:rsidTr="00683496">
        <w:tc>
          <w:tcPr>
            <w:tcW w:w="496" w:type="dxa"/>
          </w:tcPr>
          <w:p w:rsidR="00683496" w:rsidRPr="00E84485" w:rsidRDefault="00683496" w:rsidP="00683496">
            <w:pPr>
              <w:numPr>
                <w:ilvl w:val="12"/>
                <w:numId w:val="0"/>
              </w:numPr>
              <w:spacing w:before="120"/>
              <w:jc w:val="both"/>
              <w:rPr>
                <w:color w:val="000000" w:themeColor="text1"/>
              </w:rPr>
            </w:pPr>
            <w:r w:rsidRPr="00E84485">
              <w:rPr>
                <w:color w:val="000000" w:themeColor="text1"/>
              </w:rPr>
              <w:t>4</w:t>
            </w:r>
          </w:p>
        </w:tc>
        <w:tc>
          <w:tcPr>
            <w:tcW w:w="3969" w:type="dxa"/>
          </w:tcPr>
          <w:p w:rsidR="00683496" w:rsidRPr="00E84485" w:rsidRDefault="00683496" w:rsidP="00683496">
            <w:pPr>
              <w:numPr>
                <w:ilvl w:val="12"/>
                <w:numId w:val="0"/>
              </w:numPr>
              <w:jc w:val="both"/>
              <w:rPr>
                <w:color w:val="000000" w:themeColor="text1"/>
              </w:rPr>
            </w:pPr>
            <w:r w:rsidRPr="00E84485">
              <w:rPr>
                <w:color w:val="000000" w:themeColor="text1"/>
              </w:rPr>
              <w:t>Mrozoodporność, zmniejszenie wytrzymałości, %, nie więcej niż:</w:t>
            </w:r>
          </w:p>
        </w:tc>
        <w:tc>
          <w:tcPr>
            <w:tcW w:w="1426" w:type="dxa"/>
          </w:tcPr>
          <w:p w:rsidR="00683496" w:rsidRPr="00E84485" w:rsidRDefault="00683496" w:rsidP="00683496">
            <w:pPr>
              <w:numPr>
                <w:ilvl w:val="12"/>
                <w:numId w:val="0"/>
              </w:numPr>
              <w:spacing w:before="120"/>
              <w:jc w:val="both"/>
              <w:rPr>
                <w:color w:val="000000" w:themeColor="text1"/>
              </w:rPr>
            </w:pPr>
            <w:r w:rsidRPr="00E84485">
              <w:rPr>
                <w:color w:val="000000" w:themeColor="text1"/>
              </w:rPr>
              <w:t>20</w:t>
            </w:r>
          </w:p>
        </w:tc>
        <w:tc>
          <w:tcPr>
            <w:tcW w:w="1616" w:type="dxa"/>
          </w:tcPr>
          <w:p w:rsidR="00683496" w:rsidRPr="00E84485" w:rsidRDefault="00683496" w:rsidP="00683496">
            <w:pPr>
              <w:numPr>
                <w:ilvl w:val="12"/>
                <w:numId w:val="0"/>
              </w:numPr>
              <w:spacing w:before="120"/>
              <w:jc w:val="both"/>
              <w:rPr>
                <w:color w:val="000000" w:themeColor="text1"/>
              </w:rPr>
            </w:pPr>
            <w:r w:rsidRPr="00E84485">
              <w:rPr>
                <w:color w:val="000000" w:themeColor="text1"/>
              </w:rPr>
              <w:t>PN-B-06250 [10]</w:t>
            </w:r>
          </w:p>
        </w:tc>
      </w:tr>
    </w:tbl>
    <w:p w:rsidR="00683496" w:rsidRPr="00E84485" w:rsidRDefault="00683496" w:rsidP="00683496">
      <w:pPr>
        <w:numPr>
          <w:ilvl w:val="12"/>
          <w:numId w:val="0"/>
        </w:numPr>
        <w:jc w:val="both"/>
        <w:rPr>
          <w:color w:val="000000" w:themeColor="text1"/>
        </w:rPr>
      </w:pPr>
    </w:p>
    <w:p w:rsidR="00683496" w:rsidRPr="00E84485" w:rsidRDefault="00683496" w:rsidP="00683496">
      <w:pPr>
        <w:pStyle w:val="Nagwek2"/>
        <w:numPr>
          <w:ilvl w:val="12"/>
          <w:numId w:val="0"/>
        </w:numPr>
        <w:rPr>
          <w:color w:val="000000" w:themeColor="text1"/>
        </w:rPr>
      </w:pPr>
      <w:r w:rsidRPr="00E84485">
        <w:rPr>
          <w:color w:val="000000" w:themeColor="text1"/>
        </w:rPr>
        <w:t>5.4. Warunki przystąpienia do robót</w:t>
      </w:r>
    </w:p>
    <w:p w:rsidR="00683496" w:rsidRPr="00E84485" w:rsidRDefault="00683496" w:rsidP="00683496">
      <w:pPr>
        <w:numPr>
          <w:ilvl w:val="12"/>
          <w:numId w:val="0"/>
        </w:numPr>
        <w:jc w:val="both"/>
        <w:rPr>
          <w:color w:val="000000" w:themeColor="text1"/>
        </w:rPr>
      </w:pPr>
      <w:r w:rsidRPr="00E84485">
        <w:rPr>
          <w:color w:val="000000" w:themeColor="text1"/>
        </w:rPr>
        <w:tab/>
        <w:t>Podbudowa z chudego betonu nie powinna być wykonywana gdy temperatura powietrza jest niższa niż 5</w:t>
      </w:r>
      <w:r w:rsidRPr="00E84485">
        <w:rPr>
          <w:color w:val="000000" w:themeColor="text1"/>
          <w:vertAlign w:val="superscript"/>
        </w:rPr>
        <w:t>o</w:t>
      </w:r>
      <w:r w:rsidRPr="00E84485">
        <w:rPr>
          <w:color w:val="000000" w:themeColor="text1"/>
        </w:rPr>
        <w:t>C i wyższa niż 25</w:t>
      </w:r>
      <w:r w:rsidRPr="00E84485">
        <w:rPr>
          <w:color w:val="000000" w:themeColor="text1"/>
          <w:vertAlign w:val="superscript"/>
        </w:rPr>
        <w:t>0</w:t>
      </w:r>
      <w:r w:rsidRPr="00E84485">
        <w:rPr>
          <w:color w:val="000000" w:themeColor="text1"/>
        </w:rPr>
        <w:t xml:space="preserve"> C oraz gdy podłoże jest zamarznięte. </w:t>
      </w:r>
    </w:p>
    <w:p w:rsidR="00683496" w:rsidRPr="00E84485" w:rsidRDefault="00683496" w:rsidP="00683496">
      <w:pPr>
        <w:pStyle w:val="Nagwek2"/>
        <w:numPr>
          <w:ilvl w:val="12"/>
          <w:numId w:val="0"/>
        </w:numPr>
        <w:rPr>
          <w:color w:val="000000" w:themeColor="text1"/>
        </w:rPr>
      </w:pPr>
      <w:r w:rsidRPr="00E84485">
        <w:rPr>
          <w:color w:val="000000" w:themeColor="text1"/>
        </w:rPr>
        <w:t>5.5. Przygotowanie podłoża</w:t>
      </w:r>
    </w:p>
    <w:p w:rsidR="00683496" w:rsidRPr="00E84485" w:rsidRDefault="00683496" w:rsidP="00683496">
      <w:pPr>
        <w:numPr>
          <w:ilvl w:val="12"/>
          <w:numId w:val="0"/>
        </w:numPr>
        <w:jc w:val="both"/>
        <w:rPr>
          <w:color w:val="000000" w:themeColor="text1"/>
        </w:rPr>
      </w:pPr>
      <w:r w:rsidRPr="00E84485">
        <w:rPr>
          <w:color w:val="000000" w:themeColor="text1"/>
        </w:rPr>
        <w:tab/>
        <w:t>Podłoże pod podbudowę z chudego betonu powinno być przygotowane zgodnie z wymaganiami określonymi w dokumentacji projektowej i SST.</w:t>
      </w:r>
    </w:p>
    <w:p w:rsidR="00683496" w:rsidRPr="00E84485" w:rsidRDefault="00683496" w:rsidP="00683496">
      <w:pPr>
        <w:pStyle w:val="Nagwek2"/>
        <w:numPr>
          <w:ilvl w:val="12"/>
          <w:numId w:val="0"/>
        </w:numPr>
        <w:rPr>
          <w:color w:val="000000" w:themeColor="text1"/>
        </w:rPr>
      </w:pPr>
      <w:r w:rsidRPr="00E84485">
        <w:rPr>
          <w:color w:val="000000" w:themeColor="text1"/>
        </w:rPr>
        <w:t>5.6. Wytwarzanie mieszanki betonowej</w:t>
      </w:r>
    </w:p>
    <w:p w:rsidR="00683496" w:rsidRPr="00E84485" w:rsidRDefault="00683496" w:rsidP="00683496">
      <w:pPr>
        <w:numPr>
          <w:ilvl w:val="12"/>
          <w:numId w:val="0"/>
        </w:numPr>
        <w:jc w:val="both"/>
        <w:rPr>
          <w:color w:val="000000" w:themeColor="text1"/>
        </w:rPr>
      </w:pPr>
      <w:r w:rsidRPr="00E84485">
        <w:rPr>
          <w:color w:val="000000" w:themeColor="text1"/>
        </w:rPr>
        <w:tab/>
        <w:t>Mieszankę chudego betonu o ściśle określonym składzie zawartym w recepcie laboratoryjnej należy wytwarzać w mieszarkach zapewniających ciągłość produkcji i gwarantujących otrzymanie jednorodnej mieszanki.</w:t>
      </w:r>
    </w:p>
    <w:p w:rsidR="00683496" w:rsidRPr="00E84485" w:rsidRDefault="00683496" w:rsidP="00683496">
      <w:pPr>
        <w:numPr>
          <w:ilvl w:val="12"/>
          <w:numId w:val="0"/>
        </w:numPr>
        <w:jc w:val="both"/>
        <w:rPr>
          <w:color w:val="000000" w:themeColor="text1"/>
        </w:rPr>
      </w:pPr>
      <w:r w:rsidRPr="00E84485">
        <w:rPr>
          <w:color w:val="000000" w:themeColor="text1"/>
        </w:rPr>
        <w:tab/>
        <w:t>Składniki mieszanki chudego betonu powinny być dozowane wagowo zgodnie z normą PN-S-96013:1997 [20 ].</w:t>
      </w:r>
    </w:p>
    <w:p w:rsidR="00683496" w:rsidRPr="00E84485" w:rsidRDefault="00683496" w:rsidP="00683496">
      <w:pPr>
        <w:numPr>
          <w:ilvl w:val="12"/>
          <w:numId w:val="0"/>
        </w:numPr>
        <w:jc w:val="both"/>
        <w:rPr>
          <w:color w:val="000000" w:themeColor="text1"/>
        </w:rPr>
      </w:pPr>
      <w:r w:rsidRPr="00E84485">
        <w:rPr>
          <w:color w:val="000000" w:themeColor="text1"/>
        </w:rPr>
        <w:tab/>
        <w:t>Mieszanka po wyprodukowaniu powinna być od razu transportowana na  miejsce wbudowania, w sposób zabezpieczony przed segregacją i nadmiernym wysychaniem.</w:t>
      </w:r>
    </w:p>
    <w:p w:rsidR="00683496" w:rsidRPr="00E84485" w:rsidRDefault="00683496" w:rsidP="00683496">
      <w:pPr>
        <w:pStyle w:val="Nagwek2"/>
        <w:numPr>
          <w:ilvl w:val="12"/>
          <w:numId w:val="0"/>
        </w:numPr>
        <w:rPr>
          <w:color w:val="000000" w:themeColor="text1"/>
        </w:rPr>
      </w:pPr>
      <w:r w:rsidRPr="00E84485">
        <w:rPr>
          <w:color w:val="000000" w:themeColor="text1"/>
        </w:rPr>
        <w:t>5.7. Wbudowywanie i zagęszczanie mieszanki betonowej</w:t>
      </w:r>
    </w:p>
    <w:p w:rsidR="00683496" w:rsidRPr="00E84485" w:rsidRDefault="00683496" w:rsidP="00683496">
      <w:pPr>
        <w:numPr>
          <w:ilvl w:val="12"/>
          <w:numId w:val="0"/>
        </w:numPr>
        <w:jc w:val="both"/>
        <w:rPr>
          <w:color w:val="000000" w:themeColor="text1"/>
        </w:rPr>
      </w:pPr>
      <w:r w:rsidRPr="00E84485">
        <w:rPr>
          <w:color w:val="000000" w:themeColor="text1"/>
        </w:rPr>
        <w:tab/>
        <w:t>Układanie podbudowy z chudego betonu należy wykonywać układarkami mechanicznymi, poruszającymi się po prowadnicach.</w:t>
      </w:r>
    </w:p>
    <w:p w:rsidR="00683496" w:rsidRPr="00E84485" w:rsidRDefault="00683496" w:rsidP="00683496">
      <w:pPr>
        <w:numPr>
          <w:ilvl w:val="12"/>
          <w:numId w:val="0"/>
        </w:numPr>
        <w:jc w:val="both"/>
        <w:rPr>
          <w:color w:val="000000" w:themeColor="text1"/>
        </w:rPr>
      </w:pPr>
      <w:r w:rsidRPr="00E84485">
        <w:rPr>
          <w:color w:val="000000" w:themeColor="text1"/>
        </w:rPr>
        <w:tab/>
        <w:t>Przy układaniu chudej mieszanki betonowej za pomocą równiarek konieczne jest stosowanie prowadnic. Wbudowanie za pomocą równiarek bez stosowania prowadnic, może odbywać się tylko w wyjątkowych wypadkach, określonych w SST i za zgodą Inżyniera.</w:t>
      </w:r>
    </w:p>
    <w:p w:rsidR="00683496" w:rsidRPr="00E84485" w:rsidRDefault="00683496" w:rsidP="00683496">
      <w:pPr>
        <w:numPr>
          <w:ilvl w:val="12"/>
          <w:numId w:val="0"/>
        </w:numPr>
        <w:jc w:val="both"/>
        <w:rPr>
          <w:color w:val="000000" w:themeColor="text1"/>
        </w:rPr>
      </w:pPr>
      <w:r w:rsidRPr="00E84485">
        <w:rPr>
          <w:color w:val="000000" w:themeColor="text1"/>
        </w:rPr>
        <w:lastRenderedPageBreak/>
        <w:tab/>
        <w:t>Podbudowy z chudego betonu wykonuje się w jednej warstwie o grubości od 10 do 20 cm, po zagęszczeniu. Gdy wymagana jest większa grubość, to do układania drugiej warstwy można przystąpić po odbiorze jej przez Inżyniera.</w:t>
      </w:r>
    </w:p>
    <w:p w:rsidR="00683496" w:rsidRPr="00E84485" w:rsidRDefault="00683496" w:rsidP="00683496">
      <w:pPr>
        <w:numPr>
          <w:ilvl w:val="12"/>
          <w:numId w:val="0"/>
        </w:numPr>
        <w:jc w:val="both"/>
        <w:rPr>
          <w:color w:val="000000" w:themeColor="text1"/>
        </w:rPr>
      </w:pPr>
      <w:r w:rsidRPr="00E84485">
        <w:rPr>
          <w:color w:val="000000" w:themeColor="text1"/>
        </w:rPr>
        <w:tab/>
        <w:t>Natychmiast po rozłożeniu i wyprofilowaniu mieszanki należy rozpocząć jej zagęszczanie. Powierzchnia zagęszczonej warstwy powinna mieć prawidłowy przekrój poprzeczny i jednolity wygląd.</w:t>
      </w:r>
    </w:p>
    <w:p w:rsidR="00683496" w:rsidRPr="00E84485" w:rsidRDefault="00683496" w:rsidP="00683496">
      <w:pPr>
        <w:numPr>
          <w:ilvl w:val="12"/>
          <w:numId w:val="0"/>
        </w:numPr>
        <w:jc w:val="both"/>
        <w:rPr>
          <w:color w:val="000000" w:themeColor="text1"/>
        </w:rPr>
      </w:pPr>
      <w:r w:rsidRPr="00E84485">
        <w:rPr>
          <w:color w:val="000000" w:themeColor="text1"/>
        </w:rPr>
        <w:tab/>
        <w:t xml:space="preserve">Zagęszczanie należy kontynuować do osiągnięcia wskaźnika zagęszczenia nie mniejszego niż 0,98 maksymalnego zagęszczenia określonego według normalnej próby </w:t>
      </w:r>
      <w:proofErr w:type="spellStart"/>
      <w:r w:rsidRPr="00E84485">
        <w:rPr>
          <w:color w:val="000000" w:themeColor="text1"/>
        </w:rPr>
        <w:t>Proctora</w:t>
      </w:r>
      <w:proofErr w:type="spellEnd"/>
      <w:r w:rsidRPr="00E84485">
        <w:rPr>
          <w:color w:val="000000" w:themeColor="text1"/>
        </w:rPr>
        <w:t xml:space="preserve"> zgodnie z PN-B-04481: 1988 [9], (duży cylinder metoda II). Zagęszczenie powinno być zakończone przed rozpoczęciem czasu wiązania cementu.</w:t>
      </w:r>
    </w:p>
    <w:p w:rsidR="00683496" w:rsidRPr="00E84485" w:rsidRDefault="00683496" w:rsidP="00683496">
      <w:pPr>
        <w:numPr>
          <w:ilvl w:val="12"/>
          <w:numId w:val="0"/>
        </w:numPr>
        <w:jc w:val="both"/>
        <w:rPr>
          <w:color w:val="000000" w:themeColor="text1"/>
        </w:rPr>
      </w:pPr>
      <w:r w:rsidRPr="00E84485">
        <w:rPr>
          <w:color w:val="000000" w:themeColor="text1"/>
        </w:rPr>
        <w:tab/>
        <w:t>Wilgotność mieszanki chudego betonu podczas zagęszczania powinna być równa wilgotności optymalnej z tolerancją + 10% i - 20% jej wartości.</w:t>
      </w:r>
    </w:p>
    <w:p w:rsidR="00683496" w:rsidRPr="00E84485" w:rsidRDefault="00683496" w:rsidP="00683496">
      <w:pPr>
        <w:pStyle w:val="Nagwek2"/>
        <w:numPr>
          <w:ilvl w:val="12"/>
          <w:numId w:val="0"/>
        </w:numPr>
        <w:rPr>
          <w:color w:val="000000" w:themeColor="text1"/>
        </w:rPr>
      </w:pPr>
      <w:r w:rsidRPr="00E84485">
        <w:rPr>
          <w:color w:val="000000" w:themeColor="text1"/>
        </w:rPr>
        <w:t>5.8. Spoiny robocze</w:t>
      </w:r>
    </w:p>
    <w:p w:rsidR="00683496" w:rsidRPr="00E84485" w:rsidRDefault="00683496" w:rsidP="00683496">
      <w:pPr>
        <w:numPr>
          <w:ilvl w:val="12"/>
          <w:numId w:val="0"/>
        </w:numPr>
        <w:jc w:val="both"/>
        <w:rPr>
          <w:color w:val="000000" w:themeColor="text1"/>
        </w:rPr>
      </w:pPr>
      <w:r w:rsidRPr="00E84485">
        <w:rPr>
          <w:color w:val="000000" w:themeColor="text1"/>
        </w:rPr>
        <w:tab/>
        <w:t>Wykonawca powinien tak organizować roboty, aby unikać podłużnych spoin roboczych, poprzez wykonanie podbudowy na całej szerokości koryta.</w:t>
      </w:r>
    </w:p>
    <w:p w:rsidR="00683496" w:rsidRPr="00E84485" w:rsidRDefault="00683496" w:rsidP="00683496">
      <w:pPr>
        <w:numPr>
          <w:ilvl w:val="12"/>
          <w:numId w:val="0"/>
        </w:numPr>
        <w:jc w:val="both"/>
        <w:rPr>
          <w:color w:val="000000" w:themeColor="text1"/>
        </w:rPr>
      </w:pPr>
      <w:r w:rsidRPr="00E84485">
        <w:rPr>
          <w:color w:val="000000" w:themeColor="text1"/>
        </w:rPr>
        <w:tab/>
        <w:t>Jeżeli w dolnej warstwie podbudowy występują spoiny robocze, to spoiny w górnej warstwie podbudowy powinny być względem nich przesunięte o co najmniej 30 cm dla spoiny podłużnej i 1 m dla spoiny poprzecznej.</w:t>
      </w:r>
    </w:p>
    <w:p w:rsidR="00683496" w:rsidRPr="00E84485" w:rsidRDefault="00683496" w:rsidP="00683496">
      <w:pPr>
        <w:pStyle w:val="Nagwek2"/>
        <w:numPr>
          <w:ilvl w:val="12"/>
          <w:numId w:val="0"/>
        </w:numPr>
        <w:rPr>
          <w:color w:val="000000" w:themeColor="text1"/>
        </w:rPr>
      </w:pPr>
      <w:r w:rsidRPr="00E84485">
        <w:rPr>
          <w:color w:val="000000" w:themeColor="text1"/>
        </w:rPr>
        <w:t>5.9. Nacinanie szczelin</w:t>
      </w:r>
    </w:p>
    <w:p w:rsidR="00683496" w:rsidRPr="00E84485" w:rsidRDefault="00683496" w:rsidP="00683496">
      <w:pPr>
        <w:numPr>
          <w:ilvl w:val="12"/>
          <w:numId w:val="0"/>
        </w:numPr>
        <w:jc w:val="both"/>
        <w:rPr>
          <w:color w:val="000000" w:themeColor="text1"/>
        </w:rPr>
      </w:pPr>
      <w:r w:rsidRPr="00E84485">
        <w:rPr>
          <w:color w:val="000000" w:themeColor="text1"/>
        </w:rPr>
        <w:tab/>
        <w:t>W początkowej fazie twardnienia betonu zaleca się wycięcie szczelin pozornych na głębokość około 1/3 jej grubości.</w:t>
      </w:r>
    </w:p>
    <w:p w:rsidR="00683496" w:rsidRPr="00E84485" w:rsidRDefault="00683496" w:rsidP="00683496">
      <w:pPr>
        <w:numPr>
          <w:ilvl w:val="12"/>
          <w:numId w:val="0"/>
        </w:numPr>
        <w:jc w:val="both"/>
        <w:rPr>
          <w:color w:val="000000" w:themeColor="text1"/>
        </w:rPr>
      </w:pPr>
      <w:r w:rsidRPr="00E84485">
        <w:rPr>
          <w:color w:val="000000" w:themeColor="text1"/>
        </w:rPr>
        <w:tab/>
        <w:t>Szerokość naciętych szczelin pozornych powinna wynosić od 3 do 5 mm. Szczeliny te należy wyciąć tak, aby cała powierzchnia podbudowy była podzielona na kwadratowe lub prostokątne płyty. Stosunek długości płyt do ich szerokości powinien być nie większy niż od 1,5 do 1,0.</w:t>
      </w:r>
    </w:p>
    <w:p w:rsidR="00683496" w:rsidRPr="00E84485" w:rsidRDefault="00683496" w:rsidP="00683496">
      <w:pPr>
        <w:numPr>
          <w:ilvl w:val="12"/>
          <w:numId w:val="0"/>
        </w:numPr>
        <w:jc w:val="both"/>
        <w:rPr>
          <w:color w:val="000000" w:themeColor="text1"/>
        </w:rPr>
      </w:pPr>
      <w:r w:rsidRPr="00E84485">
        <w:rPr>
          <w:color w:val="000000" w:themeColor="text1"/>
        </w:rPr>
        <w:tab/>
        <w:t>W przypadku przekroczenia górnej granicy siedmiodniowej wytrzymałości i spodziewanego przekroczenia dwudziestoośmiodniowej wytrzymałości na ściskanie chudego betonu, wycięcie szczelin pozornych jest konieczne.</w:t>
      </w:r>
    </w:p>
    <w:p w:rsidR="00683496" w:rsidRPr="00E84485" w:rsidRDefault="00683496" w:rsidP="00683496">
      <w:pPr>
        <w:pStyle w:val="Nagwek2"/>
        <w:rPr>
          <w:color w:val="000000" w:themeColor="text1"/>
        </w:rPr>
      </w:pPr>
      <w:r w:rsidRPr="00E84485">
        <w:rPr>
          <w:color w:val="000000" w:themeColor="text1"/>
        </w:rPr>
        <w:t>5.10. Pielęgnacja podbudowy</w:t>
      </w:r>
    </w:p>
    <w:p w:rsidR="00683496" w:rsidRPr="00E84485" w:rsidRDefault="00683496" w:rsidP="00683496">
      <w:pPr>
        <w:jc w:val="both"/>
        <w:rPr>
          <w:color w:val="000000" w:themeColor="text1"/>
        </w:rPr>
      </w:pPr>
      <w:r w:rsidRPr="00E84485">
        <w:rPr>
          <w:color w:val="000000" w:themeColor="text1"/>
        </w:rPr>
        <w:tab/>
        <w:t>Podbudowa z chudego betonu powinna być natychmiast po zagęszczeniu poddana pielęgnacji. Pielęgnacja powinna być przeprowadzona według jednego z następujących sposobów:</w:t>
      </w:r>
    </w:p>
    <w:p w:rsidR="00683496" w:rsidRPr="00E84485" w:rsidRDefault="00683496" w:rsidP="002122BD">
      <w:pPr>
        <w:numPr>
          <w:ilvl w:val="0"/>
          <w:numId w:val="57"/>
        </w:numPr>
        <w:jc w:val="both"/>
        <w:rPr>
          <w:color w:val="000000" w:themeColor="text1"/>
        </w:rPr>
      </w:pPr>
      <w:r w:rsidRPr="00E84485">
        <w:rPr>
          <w:color w:val="000000" w:themeColor="text1"/>
        </w:rPr>
        <w:t xml:space="preserve">skropienie preparatem pielęgnacyjnym posiadającym aprobatę techniczną, w ilości ustalonej w SST, </w:t>
      </w:r>
    </w:p>
    <w:p w:rsidR="00683496" w:rsidRPr="00E84485" w:rsidRDefault="00683496" w:rsidP="002122BD">
      <w:pPr>
        <w:numPr>
          <w:ilvl w:val="0"/>
          <w:numId w:val="57"/>
        </w:numPr>
        <w:jc w:val="both"/>
        <w:rPr>
          <w:color w:val="000000" w:themeColor="text1"/>
        </w:rPr>
      </w:pPr>
      <w:r w:rsidRPr="00E84485">
        <w:rPr>
          <w:color w:val="000000" w:themeColor="text1"/>
        </w:rPr>
        <w:t>przykrycie na okres 7 do 10 dni nieprzepuszczalną folią z tworzywa sztucznego, ułożoną na zakład co najmniej 30 cm i zabezpieczoną przed zerwaniem z powierzchni podbudowy przez wiatr,</w:t>
      </w:r>
    </w:p>
    <w:p w:rsidR="00683496" w:rsidRPr="00E84485" w:rsidRDefault="00683496" w:rsidP="002122BD">
      <w:pPr>
        <w:numPr>
          <w:ilvl w:val="0"/>
          <w:numId w:val="57"/>
        </w:numPr>
        <w:jc w:val="both"/>
        <w:rPr>
          <w:color w:val="000000" w:themeColor="text1"/>
        </w:rPr>
      </w:pPr>
      <w:r w:rsidRPr="00E84485">
        <w:rPr>
          <w:color w:val="000000" w:themeColor="text1"/>
        </w:rPr>
        <w:t>przykrycie matami lub włókninami i spryskiwanie wodą przez okres 7 do 10 dni,</w:t>
      </w:r>
    </w:p>
    <w:p w:rsidR="00683496" w:rsidRPr="00E84485" w:rsidRDefault="00683496" w:rsidP="002122BD">
      <w:pPr>
        <w:numPr>
          <w:ilvl w:val="0"/>
          <w:numId w:val="57"/>
        </w:numPr>
        <w:jc w:val="both"/>
        <w:rPr>
          <w:color w:val="000000" w:themeColor="text1"/>
        </w:rPr>
      </w:pPr>
      <w:r w:rsidRPr="00E84485">
        <w:rPr>
          <w:color w:val="000000" w:themeColor="text1"/>
        </w:rPr>
        <w:t>przykrycie warstwą piasku i utrzymanie jej w stanie wilgotnym przez okres  7 do 10 dni.</w:t>
      </w:r>
    </w:p>
    <w:p w:rsidR="00683496" w:rsidRPr="00E84485" w:rsidRDefault="00683496" w:rsidP="00683496">
      <w:pPr>
        <w:pStyle w:val="Tekstprzypisudolnego"/>
        <w:ind w:left="283"/>
        <w:rPr>
          <w:color w:val="000000" w:themeColor="text1"/>
        </w:rPr>
      </w:pPr>
      <w:r w:rsidRPr="00E84485">
        <w:rPr>
          <w:color w:val="000000" w:themeColor="text1"/>
        </w:rPr>
        <w:t>Stosowanie innych środków do pielęgnacji podbudowy wymaga każdorazowej zgody Inżyniera.</w:t>
      </w:r>
    </w:p>
    <w:p w:rsidR="00683496" w:rsidRPr="00E84485" w:rsidRDefault="00683496" w:rsidP="00683496">
      <w:pPr>
        <w:jc w:val="both"/>
        <w:rPr>
          <w:color w:val="000000" w:themeColor="text1"/>
        </w:rPr>
      </w:pPr>
      <w:r w:rsidRPr="00E84485">
        <w:rPr>
          <w:color w:val="000000" w:themeColor="text1"/>
        </w:rPr>
        <w:tab/>
        <w:t>Nie należy dopuszczać żadnego ruchu pojazdów i maszyn po podbudowie w okresie 7 do 10 dni pielęgnacji, a po tym czasie ewentualny ruch budowlany może odbywać się wyłącznie za zgodą Inżyniera.</w:t>
      </w:r>
    </w:p>
    <w:p w:rsidR="00683496" w:rsidRPr="00E84485" w:rsidRDefault="00683496" w:rsidP="00683496">
      <w:pPr>
        <w:pStyle w:val="Nagwek2"/>
        <w:numPr>
          <w:ilvl w:val="12"/>
          <w:numId w:val="0"/>
        </w:numPr>
        <w:rPr>
          <w:color w:val="000000" w:themeColor="text1"/>
        </w:rPr>
      </w:pPr>
      <w:r w:rsidRPr="00E84485">
        <w:rPr>
          <w:color w:val="000000" w:themeColor="text1"/>
        </w:rPr>
        <w:t>5.12. Utrzymanie podbudowy</w:t>
      </w:r>
    </w:p>
    <w:p w:rsidR="00683496" w:rsidRPr="00E84485" w:rsidRDefault="00683496" w:rsidP="00683496">
      <w:pPr>
        <w:numPr>
          <w:ilvl w:val="12"/>
          <w:numId w:val="0"/>
        </w:numPr>
        <w:jc w:val="both"/>
        <w:rPr>
          <w:color w:val="000000" w:themeColor="text1"/>
        </w:rPr>
      </w:pPr>
      <w:r w:rsidRPr="00E84485">
        <w:rPr>
          <w:color w:val="000000" w:themeColor="text1"/>
        </w:rPr>
        <w:tab/>
        <w:t xml:space="preserve">Podbudowa po wykonaniu, a przed ułożeniem następnej warstwy, powinna być chroniona przed uszkodzeniami. Jeżeli Wykonawca będzie wykorzystywał, za zgodą Inżyniera, gotową podbudowę do ruchu budowlanego, to powinien naprawić wszelkie uszkodzenia podbudowy, spowodowane przez ten ruch, na własny koszt. </w:t>
      </w:r>
    </w:p>
    <w:p w:rsidR="00683496" w:rsidRPr="00E84485" w:rsidRDefault="00683496" w:rsidP="00683496">
      <w:pPr>
        <w:numPr>
          <w:ilvl w:val="12"/>
          <w:numId w:val="0"/>
        </w:numPr>
        <w:jc w:val="both"/>
        <w:rPr>
          <w:color w:val="000000" w:themeColor="text1"/>
        </w:rPr>
      </w:pPr>
      <w:r w:rsidRPr="00E84485">
        <w:rPr>
          <w:color w:val="000000" w:themeColor="text1"/>
        </w:rPr>
        <w:tab/>
        <w:t>Wykonawca jest zobowiązany do przeprowadzenia bieżących napraw podbudowy, uszkodzonej wskutek oddziaływania czynników atmosferycznych, takich jak opady deszczu, śniegu i mróz.</w:t>
      </w:r>
    </w:p>
    <w:p w:rsidR="00683496" w:rsidRPr="00E84485" w:rsidRDefault="00683496" w:rsidP="00683496">
      <w:pPr>
        <w:numPr>
          <w:ilvl w:val="12"/>
          <w:numId w:val="0"/>
        </w:numPr>
        <w:jc w:val="both"/>
        <w:rPr>
          <w:color w:val="000000" w:themeColor="text1"/>
        </w:rPr>
      </w:pPr>
      <w:r w:rsidRPr="00E84485">
        <w:rPr>
          <w:color w:val="000000" w:themeColor="text1"/>
        </w:rPr>
        <w:tab/>
        <w:t>Wykonawca jest zobowiązany wstrzymać ruch budowlany po okresie intensywnych opadów deszczu, jeżeli wystąpi możliwość uszkodzenia podbudowy.</w:t>
      </w:r>
    </w:p>
    <w:p w:rsidR="00683496" w:rsidRPr="00E84485" w:rsidRDefault="00683496" w:rsidP="00683496">
      <w:pPr>
        <w:numPr>
          <w:ilvl w:val="12"/>
          <w:numId w:val="0"/>
        </w:numPr>
        <w:jc w:val="both"/>
        <w:rPr>
          <w:color w:val="000000" w:themeColor="text1"/>
        </w:rPr>
      </w:pPr>
      <w:r w:rsidRPr="00E84485">
        <w:rPr>
          <w:color w:val="000000" w:themeColor="text1"/>
        </w:rPr>
        <w:tab/>
        <w:t>Podbudowa z chudego betonu musi być przed zimą przykryta co najmniej jedną warstwą mieszanki mineralno-asfaltowej.</w:t>
      </w:r>
    </w:p>
    <w:p w:rsidR="00683496" w:rsidRPr="00E84485" w:rsidRDefault="00683496" w:rsidP="00683496">
      <w:pPr>
        <w:pStyle w:val="Nagwek1"/>
        <w:numPr>
          <w:ilvl w:val="12"/>
          <w:numId w:val="0"/>
        </w:numPr>
        <w:rPr>
          <w:color w:val="000000" w:themeColor="text1"/>
        </w:rPr>
      </w:pPr>
      <w:bookmarkStart w:id="420" w:name="_Toc32644950"/>
      <w:r w:rsidRPr="00E84485">
        <w:rPr>
          <w:color w:val="000000" w:themeColor="text1"/>
        </w:rPr>
        <w:t>6. kontrola jakości robót</w:t>
      </w:r>
      <w:bookmarkEnd w:id="420"/>
    </w:p>
    <w:p w:rsidR="00683496" w:rsidRPr="00E84485" w:rsidRDefault="00683496" w:rsidP="00683496">
      <w:pPr>
        <w:pStyle w:val="Nagwek2"/>
        <w:numPr>
          <w:ilvl w:val="12"/>
          <w:numId w:val="0"/>
        </w:numPr>
        <w:rPr>
          <w:color w:val="000000" w:themeColor="text1"/>
        </w:rPr>
      </w:pPr>
      <w:r w:rsidRPr="00E84485">
        <w:rPr>
          <w:color w:val="000000" w:themeColor="text1"/>
        </w:rPr>
        <w:t>6.1. Ogólne zasady kontroli jakości robót</w:t>
      </w:r>
    </w:p>
    <w:p w:rsidR="00683496" w:rsidRPr="00E84485" w:rsidRDefault="00683496" w:rsidP="00683496">
      <w:pPr>
        <w:numPr>
          <w:ilvl w:val="12"/>
          <w:numId w:val="0"/>
        </w:numPr>
        <w:jc w:val="both"/>
        <w:rPr>
          <w:color w:val="000000" w:themeColor="text1"/>
        </w:rPr>
      </w:pPr>
      <w:r w:rsidRPr="00E84485">
        <w:rPr>
          <w:color w:val="000000" w:themeColor="text1"/>
        </w:rPr>
        <w:tab/>
        <w:t>Ogólne zasady kontroli jakości robót podano w SST D-00.00.00 „Wymagania ogólne” pkt 6.</w:t>
      </w:r>
    </w:p>
    <w:p w:rsidR="00683496" w:rsidRPr="00E84485" w:rsidRDefault="00683496" w:rsidP="00683496">
      <w:pPr>
        <w:pStyle w:val="Nagwek2"/>
        <w:numPr>
          <w:ilvl w:val="12"/>
          <w:numId w:val="0"/>
        </w:numPr>
        <w:rPr>
          <w:color w:val="000000" w:themeColor="text1"/>
        </w:rPr>
      </w:pPr>
      <w:r w:rsidRPr="00E84485">
        <w:rPr>
          <w:color w:val="000000" w:themeColor="text1"/>
        </w:rPr>
        <w:t>6.2. Badania przed przystąpieniem do robót</w:t>
      </w:r>
    </w:p>
    <w:p w:rsidR="00683496" w:rsidRPr="00E84485" w:rsidRDefault="00683496" w:rsidP="00683496">
      <w:pPr>
        <w:numPr>
          <w:ilvl w:val="12"/>
          <w:numId w:val="0"/>
        </w:numPr>
        <w:jc w:val="both"/>
        <w:rPr>
          <w:color w:val="000000" w:themeColor="text1"/>
        </w:rPr>
      </w:pPr>
      <w:r w:rsidRPr="00E84485">
        <w:rPr>
          <w:color w:val="000000" w:themeColor="text1"/>
        </w:rPr>
        <w:tab/>
        <w:t>Przed przystąpieniem do robót Wykonawca powinien wykonać badania cementu,  kruszywa oraz w przypadkach wątpliwych wody i przedstawić wyniki tych badań Inżynierowi do akceptacji.</w:t>
      </w:r>
    </w:p>
    <w:p w:rsidR="00683496" w:rsidRPr="00E84485" w:rsidRDefault="00683496" w:rsidP="00683496">
      <w:pPr>
        <w:numPr>
          <w:ilvl w:val="12"/>
          <w:numId w:val="0"/>
        </w:numPr>
        <w:jc w:val="both"/>
        <w:rPr>
          <w:color w:val="000000" w:themeColor="text1"/>
        </w:rPr>
      </w:pPr>
      <w:r w:rsidRPr="00E84485">
        <w:rPr>
          <w:color w:val="000000" w:themeColor="text1"/>
        </w:rPr>
        <w:tab/>
        <w:t>Badania powinny obejmować wszystkie właściwości określone w punktach od 2.2 do 2.4 oraz w punktach 5.2 i 5.3 niniejszej SST.</w:t>
      </w:r>
    </w:p>
    <w:p w:rsidR="00683496" w:rsidRPr="00E84485" w:rsidRDefault="00683496" w:rsidP="00683496">
      <w:pPr>
        <w:pStyle w:val="Nagwek2"/>
        <w:numPr>
          <w:ilvl w:val="12"/>
          <w:numId w:val="0"/>
        </w:numPr>
        <w:rPr>
          <w:color w:val="000000" w:themeColor="text1"/>
        </w:rPr>
      </w:pPr>
      <w:r w:rsidRPr="00E84485">
        <w:rPr>
          <w:color w:val="000000" w:themeColor="text1"/>
        </w:rPr>
        <w:lastRenderedPageBreak/>
        <w:t>6.3. Badania w czasie robót</w:t>
      </w:r>
    </w:p>
    <w:p w:rsidR="00683496" w:rsidRPr="00E84485" w:rsidRDefault="00683496" w:rsidP="00683496">
      <w:pPr>
        <w:numPr>
          <w:ilvl w:val="12"/>
          <w:numId w:val="0"/>
        </w:numPr>
        <w:jc w:val="both"/>
        <w:rPr>
          <w:color w:val="000000" w:themeColor="text1"/>
        </w:rPr>
      </w:pPr>
      <w:r w:rsidRPr="00E84485">
        <w:rPr>
          <w:b/>
          <w:color w:val="000000" w:themeColor="text1"/>
        </w:rPr>
        <w:t xml:space="preserve">6.3.1. </w:t>
      </w:r>
      <w:r w:rsidRPr="00E84485">
        <w:rPr>
          <w:color w:val="000000" w:themeColor="text1"/>
        </w:rPr>
        <w:t>Częstotliwość oraz zakres badań i pomiarów</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Częstotliwość oraz zakres badań i pomiarów w czasie wykonywania podbudowy z chudego betonu podano w tablicy 5.</w:t>
      </w:r>
    </w:p>
    <w:p w:rsidR="00683496" w:rsidRPr="00E84485" w:rsidRDefault="00683496" w:rsidP="00683496">
      <w:pPr>
        <w:numPr>
          <w:ilvl w:val="12"/>
          <w:numId w:val="0"/>
        </w:numPr>
        <w:spacing w:before="120" w:after="120"/>
        <w:jc w:val="both"/>
        <w:rPr>
          <w:color w:val="000000" w:themeColor="text1"/>
        </w:rPr>
      </w:pPr>
      <w:r w:rsidRPr="00E84485">
        <w:rPr>
          <w:b/>
          <w:color w:val="000000" w:themeColor="text1"/>
        </w:rPr>
        <w:t xml:space="preserve">6.3.2. </w:t>
      </w:r>
      <w:r w:rsidRPr="00E84485">
        <w:rPr>
          <w:color w:val="000000" w:themeColor="text1"/>
        </w:rPr>
        <w:t>Właściwości kruszywa</w:t>
      </w:r>
    </w:p>
    <w:p w:rsidR="00683496" w:rsidRPr="00E84485" w:rsidRDefault="00683496" w:rsidP="00683496">
      <w:pPr>
        <w:numPr>
          <w:ilvl w:val="12"/>
          <w:numId w:val="0"/>
        </w:numPr>
        <w:jc w:val="both"/>
        <w:rPr>
          <w:color w:val="000000" w:themeColor="text1"/>
        </w:rPr>
      </w:pPr>
      <w:r w:rsidRPr="00E84485">
        <w:rPr>
          <w:color w:val="000000" w:themeColor="text1"/>
        </w:rPr>
        <w:tab/>
        <w:t>Właściwości kruszywa należy określić przy każdej zmianie rodzaju kruszywa i dla każdej partii. Właściwości kruszywa powinny być zgodne z wymaganiami normy PN-S-96013:1997[20].</w:t>
      </w:r>
    </w:p>
    <w:p w:rsidR="00683496" w:rsidRPr="00E84485" w:rsidRDefault="00683496" w:rsidP="00683496">
      <w:pPr>
        <w:numPr>
          <w:ilvl w:val="12"/>
          <w:numId w:val="0"/>
        </w:numPr>
        <w:tabs>
          <w:tab w:val="left" w:pos="851"/>
        </w:tabs>
        <w:jc w:val="both"/>
        <w:rPr>
          <w:color w:val="000000" w:themeColor="text1"/>
        </w:rPr>
      </w:pPr>
      <w:r w:rsidRPr="00E84485">
        <w:rPr>
          <w:color w:val="000000" w:themeColor="text1"/>
        </w:rPr>
        <w:t>Tablica 5. Częstotliwość oraz zakres badań i pomiarów przy wykonywaniu podbudowy</w:t>
      </w:r>
    </w:p>
    <w:p w:rsidR="00683496" w:rsidRPr="00E84485" w:rsidRDefault="00683496" w:rsidP="00683496">
      <w:pPr>
        <w:numPr>
          <w:ilvl w:val="12"/>
          <w:numId w:val="0"/>
        </w:numPr>
        <w:tabs>
          <w:tab w:val="left" w:pos="851"/>
        </w:tabs>
        <w:spacing w:after="120"/>
        <w:jc w:val="both"/>
        <w:rPr>
          <w:color w:val="000000" w:themeColor="text1"/>
        </w:rPr>
      </w:pPr>
      <w:r w:rsidRPr="00E84485">
        <w:rPr>
          <w:color w:val="000000" w:themeColor="text1"/>
        </w:rPr>
        <w:tab/>
        <w:t>chudego betonu</w:t>
      </w:r>
    </w:p>
    <w:tbl>
      <w:tblPr>
        <w:tblW w:w="0" w:type="auto"/>
        <w:tblLayout w:type="fixed"/>
        <w:tblCellMar>
          <w:left w:w="70" w:type="dxa"/>
          <w:right w:w="70" w:type="dxa"/>
        </w:tblCellMar>
        <w:tblLook w:val="0000" w:firstRow="0" w:lastRow="0" w:firstColumn="0" w:lastColumn="0" w:noHBand="0" w:noVBand="0"/>
      </w:tblPr>
      <w:tblGrid>
        <w:gridCol w:w="496"/>
        <w:gridCol w:w="4252"/>
        <w:gridCol w:w="1380"/>
        <w:gridCol w:w="1382"/>
      </w:tblGrid>
      <w:tr w:rsidR="00683496" w:rsidRPr="00E84485" w:rsidTr="00683496">
        <w:tc>
          <w:tcPr>
            <w:tcW w:w="496" w:type="dxa"/>
            <w:tcBorders>
              <w:top w:val="single" w:sz="6" w:space="0" w:color="auto"/>
              <w:left w:val="single" w:sz="6" w:space="0" w:color="auto"/>
            </w:tcBorders>
          </w:tcPr>
          <w:p w:rsidR="00683496" w:rsidRPr="00E84485" w:rsidRDefault="00683496" w:rsidP="00683496">
            <w:pPr>
              <w:numPr>
                <w:ilvl w:val="12"/>
                <w:numId w:val="0"/>
              </w:numPr>
              <w:jc w:val="both"/>
              <w:rPr>
                <w:color w:val="000000" w:themeColor="text1"/>
              </w:rPr>
            </w:pPr>
          </w:p>
        </w:tc>
        <w:tc>
          <w:tcPr>
            <w:tcW w:w="4252" w:type="dxa"/>
            <w:tcBorders>
              <w:top w:val="single" w:sz="6" w:space="0" w:color="auto"/>
              <w:left w:val="single" w:sz="6" w:space="0" w:color="auto"/>
            </w:tcBorders>
          </w:tcPr>
          <w:p w:rsidR="00683496" w:rsidRPr="00E84485" w:rsidRDefault="00683496" w:rsidP="00683496">
            <w:pPr>
              <w:numPr>
                <w:ilvl w:val="12"/>
                <w:numId w:val="0"/>
              </w:numPr>
              <w:jc w:val="both"/>
              <w:rPr>
                <w:color w:val="000000" w:themeColor="text1"/>
              </w:rPr>
            </w:pPr>
          </w:p>
        </w:tc>
        <w:tc>
          <w:tcPr>
            <w:tcW w:w="2762" w:type="dxa"/>
            <w:gridSpan w:val="2"/>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Częstotliwość badań</w:t>
            </w:r>
          </w:p>
        </w:tc>
      </w:tr>
      <w:tr w:rsidR="00683496" w:rsidRPr="00E84485" w:rsidTr="00683496">
        <w:tc>
          <w:tcPr>
            <w:tcW w:w="496" w:type="dxa"/>
            <w:tcBorders>
              <w:left w:val="single" w:sz="6" w:space="0" w:color="auto"/>
              <w:bottom w:val="doub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Lp.</w:t>
            </w:r>
          </w:p>
        </w:tc>
        <w:tc>
          <w:tcPr>
            <w:tcW w:w="4252" w:type="dxa"/>
            <w:tcBorders>
              <w:bottom w:val="doub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Wyszczególnienie badań</w:t>
            </w:r>
          </w:p>
        </w:tc>
        <w:tc>
          <w:tcPr>
            <w:tcW w:w="1380" w:type="dxa"/>
            <w:tcBorders>
              <w:top w:val="single" w:sz="6" w:space="0" w:color="auto"/>
              <w:left w:val="single" w:sz="6" w:space="0" w:color="auto"/>
              <w:bottom w:val="double" w:sz="6" w:space="0" w:color="auto"/>
              <w:right w:val="single" w:sz="6" w:space="0" w:color="auto"/>
            </w:tcBorders>
          </w:tcPr>
          <w:p w:rsidR="00683496" w:rsidRPr="00E84485" w:rsidRDefault="00683496" w:rsidP="00683496">
            <w:pPr>
              <w:numPr>
                <w:ilvl w:val="12"/>
                <w:numId w:val="0"/>
              </w:numPr>
              <w:spacing w:before="120"/>
              <w:jc w:val="both"/>
              <w:rPr>
                <w:color w:val="000000" w:themeColor="text1"/>
                <w:sz w:val="16"/>
              </w:rPr>
            </w:pPr>
            <w:r w:rsidRPr="00E84485">
              <w:rPr>
                <w:color w:val="000000" w:themeColor="text1"/>
                <w:sz w:val="16"/>
              </w:rPr>
              <w:t>Minimalne ilości badań na dziennej działce roboczej</w:t>
            </w:r>
          </w:p>
        </w:tc>
        <w:tc>
          <w:tcPr>
            <w:tcW w:w="1382" w:type="dxa"/>
            <w:tcBorders>
              <w:top w:val="single" w:sz="6" w:space="0" w:color="auto"/>
              <w:left w:val="single" w:sz="6" w:space="0" w:color="auto"/>
              <w:bottom w:val="double" w:sz="6" w:space="0" w:color="auto"/>
              <w:right w:val="single" w:sz="6" w:space="0" w:color="auto"/>
            </w:tcBorders>
          </w:tcPr>
          <w:p w:rsidR="00683496" w:rsidRPr="00E84485" w:rsidRDefault="00683496" w:rsidP="00683496">
            <w:pPr>
              <w:numPr>
                <w:ilvl w:val="12"/>
                <w:numId w:val="0"/>
              </w:numPr>
              <w:jc w:val="both"/>
              <w:rPr>
                <w:color w:val="000000" w:themeColor="text1"/>
                <w:sz w:val="16"/>
              </w:rPr>
            </w:pPr>
            <w:r w:rsidRPr="00E84485">
              <w:rPr>
                <w:color w:val="000000" w:themeColor="text1"/>
                <w:sz w:val="16"/>
              </w:rPr>
              <w:t>Maksymalna po-</w:t>
            </w:r>
          </w:p>
          <w:p w:rsidR="00683496" w:rsidRPr="00E84485" w:rsidRDefault="00683496" w:rsidP="00683496">
            <w:pPr>
              <w:numPr>
                <w:ilvl w:val="12"/>
                <w:numId w:val="0"/>
              </w:numPr>
              <w:jc w:val="both"/>
              <w:rPr>
                <w:color w:val="000000" w:themeColor="text1"/>
                <w:sz w:val="16"/>
              </w:rPr>
            </w:pPr>
            <w:r w:rsidRPr="00E84485">
              <w:rPr>
                <w:color w:val="000000" w:themeColor="text1"/>
                <w:sz w:val="16"/>
              </w:rPr>
              <w:t xml:space="preserve">wierzchnia </w:t>
            </w:r>
            <w:proofErr w:type="spellStart"/>
            <w:r w:rsidRPr="00E84485">
              <w:rPr>
                <w:color w:val="000000" w:themeColor="text1"/>
                <w:sz w:val="16"/>
              </w:rPr>
              <w:t>podbu</w:t>
            </w:r>
            <w:proofErr w:type="spellEnd"/>
            <w:r w:rsidRPr="00E84485">
              <w:rPr>
                <w:color w:val="000000" w:themeColor="text1"/>
                <w:sz w:val="16"/>
              </w:rPr>
              <w:t>-</w:t>
            </w:r>
          </w:p>
          <w:p w:rsidR="00683496" w:rsidRPr="00E84485" w:rsidRDefault="00683496" w:rsidP="00683496">
            <w:pPr>
              <w:numPr>
                <w:ilvl w:val="12"/>
                <w:numId w:val="0"/>
              </w:numPr>
              <w:jc w:val="both"/>
              <w:rPr>
                <w:color w:val="000000" w:themeColor="text1"/>
                <w:sz w:val="16"/>
              </w:rPr>
            </w:pPr>
            <w:proofErr w:type="spellStart"/>
            <w:r w:rsidRPr="00E84485">
              <w:rPr>
                <w:color w:val="000000" w:themeColor="text1"/>
                <w:sz w:val="16"/>
              </w:rPr>
              <w:t>dowy</w:t>
            </w:r>
            <w:proofErr w:type="spellEnd"/>
            <w:r w:rsidRPr="00E84485">
              <w:rPr>
                <w:color w:val="000000" w:themeColor="text1"/>
                <w:sz w:val="16"/>
              </w:rPr>
              <w:t xml:space="preserve"> na jedno badanie </w:t>
            </w:r>
          </w:p>
        </w:tc>
      </w:tr>
      <w:tr w:rsidR="00683496" w:rsidRPr="00E84485" w:rsidTr="00683496">
        <w:tc>
          <w:tcPr>
            <w:tcW w:w="496"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180"/>
              <w:jc w:val="both"/>
              <w:rPr>
                <w:color w:val="000000" w:themeColor="text1"/>
              </w:rPr>
            </w:pPr>
            <w:r w:rsidRPr="00E84485">
              <w:rPr>
                <w:color w:val="000000" w:themeColor="text1"/>
              </w:rPr>
              <w:t>1</w:t>
            </w:r>
          </w:p>
        </w:tc>
        <w:tc>
          <w:tcPr>
            <w:tcW w:w="4252"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180"/>
              <w:jc w:val="both"/>
              <w:rPr>
                <w:color w:val="000000" w:themeColor="text1"/>
              </w:rPr>
            </w:pPr>
            <w:r w:rsidRPr="00E84485">
              <w:rPr>
                <w:color w:val="000000" w:themeColor="text1"/>
              </w:rPr>
              <w:t xml:space="preserve">Właściwości kruszywa </w:t>
            </w:r>
          </w:p>
        </w:tc>
        <w:tc>
          <w:tcPr>
            <w:tcW w:w="2762" w:type="dxa"/>
            <w:gridSpan w:val="2"/>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dla każdej partii kruszywa i przy każdej zmianie kruszywa</w:t>
            </w:r>
          </w:p>
        </w:tc>
      </w:tr>
      <w:tr w:rsidR="00683496" w:rsidRPr="00E84485" w:rsidTr="00683496">
        <w:tc>
          <w:tcPr>
            <w:tcW w:w="496"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180"/>
              <w:jc w:val="both"/>
              <w:rPr>
                <w:color w:val="000000" w:themeColor="text1"/>
              </w:rPr>
            </w:pPr>
            <w:r w:rsidRPr="00E84485">
              <w:rPr>
                <w:color w:val="000000" w:themeColor="text1"/>
              </w:rPr>
              <w:t>2</w:t>
            </w:r>
          </w:p>
        </w:tc>
        <w:tc>
          <w:tcPr>
            <w:tcW w:w="4252"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Właściwości wody</w:t>
            </w:r>
          </w:p>
        </w:tc>
        <w:tc>
          <w:tcPr>
            <w:tcW w:w="2762" w:type="dxa"/>
            <w:gridSpan w:val="2"/>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dla każdego wątpliwego źródła</w:t>
            </w:r>
          </w:p>
        </w:tc>
      </w:tr>
      <w:tr w:rsidR="00683496" w:rsidRPr="00E84485" w:rsidTr="00683496">
        <w:tc>
          <w:tcPr>
            <w:tcW w:w="496"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180"/>
              <w:jc w:val="both"/>
              <w:rPr>
                <w:color w:val="000000" w:themeColor="text1"/>
              </w:rPr>
            </w:pPr>
            <w:r w:rsidRPr="00E84485">
              <w:rPr>
                <w:color w:val="000000" w:themeColor="text1"/>
              </w:rPr>
              <w:t>3</w:t>
            </w:r>
          </w:p>
        </w:tc>
        <w:tc>
          <w:tcPr>
            <w:tcW w:w="4252"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Właściwości cementu</w:t>
            </w:r>
          </w:p>
        </w:tc>
        <w:tc>
          <w:tcPr>
            <w:tcW w:w="2762" w:type="dxa"/>
            <w:gridSpan w:val="2"/>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dla każdej partii</w:t>
            </w:r>
          </w:p>
        </w:tc>
      </w:tr>
      <w:tr w:rsidR="00683496" w:rsidRPr="00E84485" w:rsidTr="00683496">
        <w:tc>
          <w:tcPr>
            <w:tcW w:w="496"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4</w:t>
            </w:r>
          </w:p>
        </w:tc>
        <w:tc>
          <w:tcPr>
            <w:tcW w:w="4252"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Uziarnienie mieszanki mineralnej</w:t>
            </w:r>
          </w:p>
        </w:tc>
        <w:tc>
          <w:tcPr>
            <w:tcW w:w="1380"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2</w:t>
            </w:r>
          </w:p>
        </w:tc>
        <w:tc>
          <w:tcPr>
            <w:tcW w:w="1382" w:type="dxa"/>
            <w:tcBorders>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600 m</w:t>
            </w:r>
            <w:r w:rsidRPr="00E84485">
              <w:rPr>
                <w:color w:val="000000" w:themeColor="text1"/>
                <w:vertAlign w:val="superscript"/>
              </w:rPr>
              <w:t>2</w:t>
            </w:r>
          </w:p>
        </w:tc>
      </w:tr>
      <w:tr w:rsidR="00683496" w:rsidRPr="00E84485" w:rsidTr="00683496">
        <w:tc>
          <w:tcPr>
            <w:tcW w:w="496"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5</w:t>
            </w:r>
          </w:p>
        </w:tc>
        <w:tc>
          <w:tcPr>
            <w:tcW w:w="4252"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Wilgotność mieszanki chudego betonu</w:t>
            </w:r>
          </w:p>
        </w:tc>
        <w:tc>
          <w:tcPr>
            <w:tcW w:w="1380"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2</w:t>
            </w:r>
          </w:p>
        </w:tc>
        <w:tc>
          <w:tcPr>
            <w:tcW w:w="1382" w:type="dxa"/>
            <w:tcBorders>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600 m</w:t>
            </w:r>
            <w:r w:rsidRPr="00E84485">
              <w:rPr>
                <w:color w:val="000000" w:themeColor="text1"/>
                <w:vertAlign w:val="superscript"/>
              </w:rPr>
              <w:t>2</w:t>
            </w:r>
          </w:p>
        </w:tc>
      </w:tr>
      <w:tr w:rsidR="00683496" w:rsidRPr="00E84485" w:rsidTr="00683496">
        <w:tc>
          <w:tcPr>
            <w:tcW w:w="496"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6</w:t>
            </w:r>
          </w:p>
        </w:tc>
        <w:tc>
          <w:tcPr>
            <w:tcW w:w="4252"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Zagęszczenie mieszanki chudego betonu</w:t>
            </w:r>
          </w:p>
        </w:tc>
        <w:tc>
          <w:tcPr>
            <w:tcW w:w="1380"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2</w:t>
            </w:r>
          </w:p>
        </w:tc>
        <w:tc>
          <w:tcPr>
            <w:tcW w:w="1382" w:type="dxa"/>
            <w:tcBorders>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600 m</w:t>
            </w:r>
            <w:r w:rsidRPr="00E84485">
              <w:rPr>
                <w:color w:val="000000" w:themeColor="text1"/>
                <w:vertAlign w:val="superscript"/>
              </w:rPr>
              <w:t>2</w:t>
            </w:r>
          </w:p>
        </w:tc>
      </w:tr>
      <w:tr w:rsidR="00683496" w:rsidRPr="00E84485" w:rsidTr="00683496">
        <w:tc>
          <w:tcPr>
            <w:tcW w:w="496"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7</w:t>
            </w:r>
          </w:p>
        </w:tc>
        <w:tc>
          <w:tcPr>
            <w:tcW w:w="4252"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Grubość podbudowy z chudego betonu</w:t>
            </w:r>
          </w:p>
        </w:tc>
        <w:tc>
          <w:tcPr>
            <w:tcW w:w="1380"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2</w:t>
            </w:r>
          </w:p>
        </w:tc>
        <w:tc>
          <w:tcPr>
            <w:tcW w:w="1382" w:type="dxa"/>
            <w:tcBorders>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600 m</w:t>
            </w:r>
            <w:r w:rsidRPr="00E84485">
              <w:rPr>
                <w:color w:val="000000" w:themeColor="text1"/>
                <w:vertAlign w:val="superscript"/>
              </w:rPr>
              <w:t>2</w:t>
            </w:r>
          </w:p>
        </w:tc>
      </w:tr>
      <w:tr w:rsidR="00683496" w:rsidRPr="00E84485" w:rsidTr="00683496">
        <w:tc>
          <w:tcPr>
            <w:tcW w:w="496"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8</w:t>
            </w:r>
          </w:p>
        </w:tc>
        <w:tc>
          <w:tcPr>
            <w:tcW w:w="4252"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Oznaczenie wytrzymałości na ściskanie chudego betonu;            po   7 dniach</w:t>
            </w:r>
          </w:p>
          <w:p w:rsidR="00683496" w:rsidRPr="00E84485" w:rsidRDefault="00683496" w:rsidP="00683496">
            <w:pPr>
              <w:numPr>
                <w:ilvl w:val="12"/>
                <w:numId w:val="0"/>
              </w:numPr>
              <w:spacing w:after="60"/>
              <w:jc w:val="both"/>
              <w:rPr>
                <w:color w:val="000000" w:themeColor="text1"/>
              </w:rPr>
            </w:pPr>
            <w:r w:rsidRPr="00E84485">
              <w:rPr>
                <w:color w:val="000000" w:themeColor="text1"/>
              </w:rPr>
              <w:t xml:space="preserve">                        po 28 dniach</w:t>
            </w:r>
          </w:p>
        </w:tc>
        <w:tc>
          <w:tcPr>
            <w:tcW w:w="1380" w:type="dxa"/>
            <w:tcBorders>
              <w:left w:val="single" w:sz="6" w:space="0" w:color="auto"/>
              <w:bottom w:val="single" w:sz="6" w:space="0" w:color="auto"/>
              <w:right w:val="single" w:sz="6" w:space="0" w:color="auto"/>
            </w:tcBorders>
          </w:tcPr>
          <w:p w:rsidR="00683496" w:rsidRPr="00E84485" w:rsidRDefault="00683496" w:rsidP="00683496">
            <w:pPr>
              <w:numPr>
                <w:ilvl w:val="12"/>
                <w:numId w:val="0"/>
              </w:numPr>
              <w:jc w:val="both"/>
              <w:rPr>
                <w:color w:val="000000" w:themeColor="text1"/>
              </w:rPr>
            </w:pPr>
          </w:p>
          <w:p w:rsidR="00683496" w:rsidRPr="00E84485" w:rsidRDefault="00683496" w:rsidP="00683496">
            <w:pPr>
              <w:numPr>
                <w:ilvl w:val="12"/>
                <w:numId w:val="0"/>
              </w:numPr>
              <w:jc w:val="both"/>
              <w:rPr>
                <w:color w:val="000000" w:themeColor="text1"/>
              </w:rPr>
            </w:pPr>
            <w:r w:rsidRPr="00E84485">
              <w:rPr>
                <w:color w:val="000000" w:themeColor="text1"/>
              </w:rPr>
              <w:t>3 próbki</w:t>
            </w:r>
          </w:p>
          <w:p w:rsidR="00683496" w:rsidRPr="00E84485" w:rsidRDefault="00683496" w:rsidP="00683496">
            <w:pPr>
              <w:numPr>
                <w:ilvl w:val="12"/>
                <w:numId w:val="0"/>
              </w:numPr>
              <w:jc w:val="both"/>
              <w:rPr>
                <w:color w:val="000000" w:themeColor="text1"/>
              </w:rPr>
            </w:pPr>
            <w:r w:rsidRPr="00E84485">
              <w:rPr>
                <w:color w:val="000000" w:themeColor="text1"/>
              </w:rPr>
              <w:t>3 próbki</w:t>
            </w:r>
          </w:p>
        </w:tc>
        <w:tc>
          <w:tcPr>
            <w:tcW w:w="1382" w:type="dxa"/>
            <w:tcBorders>
              <w:bottom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p>
          <w:p w:rsidR="00683496" w:rsidRPr="00E84485" w:rsidRDefault="00683496" w:rsidP="00683496">
            <w:pPr>
              <w:numPr>
                <w:ilvl w:val="12"/>
                <w:numId w:val="0"/>
              </w:numPr>
              <w:spacing w:before="60"/>
              <w:jc w:val="both"/>
              <w:rPr>
                <w:color w:val="000000" w:themeColor="text1"/>
              </w:rPr>
            </w:pPr>
            <w:r w:rsidRPr="00E84485">
              <w:rPr>
                <w:color w:val="000000" w:themeColor="text1"/>
              </w:rPr>
              <w:t>400 m</w:t>
            </w:r>
            <w:r w:rsidRPr="00E84485">
              <w:rPr>
                <w:color w:val="000000" w:themeColor="text1"/>
                <w:vertAlign w:val="superscript"/>
              </w:rPr>
              <w:t>2</w:t>
            </w:r>
          </w:p>
        </w:tc>
      </w:tr>
      <w:tr w:rsidR="00683496" w:rsidRPr="00E84485" w:rsidTr="00683496">
        <w:tc>
          <w:tcPr>
            <w:tcW w:w="496"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9</w:t>
            </w:r>
          </w:p>
        </w:tc>
        <w:tc>
          <w:tcPr>
            <w:tcW w:w="4252"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Oznaczenie nasiąkliwości chudego betonu</w:t>
            </w:r>
          </w:p>
        </w:tc>
        <w:tc>
          <w:tcPr>
            <w:tcW w:w="2762" w:type="dxa"/>
            <w:gridSpan w:val="2"/>
            <w:tcBorders>
              <w:top w:val="single" w:sz="6" w:space="0" w:color="auto"/>
              <w:left w:val="single" w:sz="6" w:space="0" w:color="auto"/>
              <w:right w:val="single" w:sz="6" w:space="0" w:color="auto"/>
            </w:tcBorders>
          </w:tcPr>
          <w:p w:rsidR="00683496" w:rsidRPr="00E84485" w:rsidRDefault="00683496" w:rsidP="00683496">
            <w:pPr>
              <w:numPr>
                <w:ilvl w:val="12"/>
                <w:numId w:val="0"/>
              </w:numPr>
              <w:spacing w:before="60"/>
              <w:jc w:val="both"/>
              <w:rPr>
                <w:color w:val="000000" w:themeColor="text1"/>
              </w:rPr>
            </w:pPr>
            <w:r w:rsidRPr="00E84485">
              <w:rPr>
                <w:color w:val="000000" w:themeColor="text1"/>
              </w:rPr>
              <w:t>w przypadkach wątpliwych</w:t>
            </w:r>
          </w:p>
        </w:tc>
      </w:tr>
      <w:tr w:rsidR="00683496" w:rsidRPr="00E84485" w:rsidTr="00683496">
        <w:tc>
          <w:tcPr>
            <w:tcW w:w="496"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10</w:t>
            </w:r>
          </w:p>
        </w:tc>
        <w:tc>
          <w:tcPr>
            <w:tcW w:w="4252" w:type="dxa"/>
            <w:tcBorders>
              <w:top w:val="single" w:sz="6" w:space="0" w:color="auto"/>
              <w:left w:val="single" w:sz="6" w:space="0" w:color="auto"/>
              <w:bottom w:val="single" w:sz="6" w:space="0" w:color="auto"/>
              <w:right w:val="single" w:sz="6" w:space="0" w:color="auto"/>
            </w:tcBorders>
          </w:tcPr>
          <w:p w:rsidR="00683496" w:rsidRPr="00E84485" w:rsidRDefault="00683496" w:rsidP="00683496">
            <w:pPr>
              <w:numPr>
                <w:ilvl w:val="12"/>
                <w:numId w:val="0"/>
              </w:numPr>
              <w:spacing w:before="60" w:after="60"/>
              <w:jc w:val="both"/>
              <w:rPr>
                <w:color w:val="000000" w:themeColor="text1"/>
              </w:rPr>
            </w:pPr>
            <w:r w:rsidRPr="00E84485">
              <w:rPr>
                <w:color w:val="000000" w:themeColor="text1"/>
              </w:rPr>
              <w:t>Oznaczenie mrozoodporności chudego betonu</w:t>
            </w:r>
          </w:p>
        </w:tc>
        <w:tc>
          <w:tcPr>
            <w:tcW w:w="2762" w:type="dxa"/>
            <w:gridSpan w:val="2"/>
            <w:tcBorders>
              <w:left w:val="single" w:sz="6" w:space="0" w:color="auto"/>
              <w:bottom w:val="single" w:sz="6" w:space="0" w:color="auto"/>
              <w:right w:val="single" w:sz="6" w:space="0" w:color="auto"/>
            </w:tcBorders>
          </w:tcPr>
          <w:p w:rsidR="00683496" w:rsidRPr="00E84485" w:rsidRDefault="00683496" w:rsidP="00683496">
            <w:pPr>
              <w:numPr>
                <w:ilvl w:val="12"/>
                <w:numId w:val="0"/>
              </w:numPr>
              <w:jc w:val="both"/>
              <w:rPr>
                <w:color w:val="000000" w:themeColor="text1"/>
              </w:rPr>
            </w:pPr>
            <w:r w:rsidRPr="00E84485">
              <w:rPr>
                <w:color w:val="000000" w:themeColor="text1"/>
              </w:rPr>
              <w:t>i na zlecenie Inżyniera</w:t>
            </w:r>
          </w:p>
        </w:tc>
      </w:tr>
    </w:tbl>
    <w:p w:rsidR="00683496" w:rsidRPr="00E84485" w:rsidRDefault="00683496" w:rsidP="00683496">
      <w:pPr>
        <w:numPr>
          <w:ilvl w:val="12"/>
          <w:numId w:val="0"/>
        </w:numPr>
        <w:jc w:val="both"/>
        <w:rPr>
          <w:color w:val="000000" w:themeColor="text1"/>
        </w:rPr>
      </w:pPr>
    </w:p>
    <w:p w:rsidR="00683496" w:rsidRPr="00E84485" w:rsidRDefault="00683496" w:rsidP="00683496">
      <w:pPr>
        <w:numPr>
          <w:ilvl w:val="12"/>
          <w:numId w:val="0"/>
        </w:numPr>
        <w:spacing w:before="120"/>
        <w:jc w:val="both"/>
        <w:rPr>
          <w:color w:val="000000" w:themeColor="text1"/>
        </w:rPr>
      </w:pPr>
      <w:r w:rsidRPr="00E84485">
        <w:rPr>
          <w:b/>
          <w:color w:val="000000" w:themeColor="text1"/>
        </w:rPr>
        <w:t xml:space="preserve">6.3.3. </w:t>
      </w:r>
      <w:r w:rsidRPr="00E84485">
        <w:rPr>
          <w:color w:val="000000" w:themeColor="text1"/>
        </w:rPr>
        <w:t>Właściwości wody</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W przypadkach wątpliwych należy przeprowadzić badania wody według PN-B-32250:1988 [18].</w:t>
      </w:r>
    </w:p>
    <w:p w:rsidR="00683496" w:rsidRPr="00E84485" w:rsidRDefault="00683496" w:rsidP="00683496">
      <w:pPr>
        <w:numPr>
          <w:ilvl w:val="12"/>
          <w:numId w:val="0"/>
        </w:numPr>
        <w:spacing w:before="120"/>
        <w:jc w:val="both"/>
        <w:rPr>
          <w:color w:val="000000" w:themeColor="text1"/>
        </w:rPr>
      </w:pPr>
      <w:r w:rsidRPr="00E84485">
        <w:rPr>
          <w:b/>
          <w:color w:val="000000" w:themeColor="text1"/>
        </w:rPr>
        <w:t>6.3.4.</w:t>
      </w:r>
      <w:r w:rsidRPr="00E84485">
        <w:rPr>
          <w:color w:val="000000" w:themeColor="text1"/>
        </w:rPr>
        <w:t xml:space="preserve">  Właściwości cementu</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Dla każdej dostawy cementu należy określić właściwości podane w tablicy 2.</w:t>
      </w:r>
    </w:p>
    <w:p w:rsidR="00683496" w:rsidRPr="00E84485" w:rsidRDefault="00683496" w:rsidP="00683496">
      <w:pPr>
        <w:numPr>
          <w:ilvl w:val="12"/>
          <w:numId w:val="0"/>
        </w:numPr>
        <w:spacing w:before="120"/>
        <w:jc w:val="both"/>
        <w:rPr>
          <w:color w:val="000000" w:themeColor="text1"/>
        </w:rPr>
      </w:pPr>
      <w:r w:rsidRPr="00E84485">
        <w:rPr>
          <w:b/>
          <w:color w:val="000000" w:themeColor="text1"/>
        </w:rPr>
        <w:t xml:space="preserve">6.3.5. </w:t>
      </w:r>
      <w:r w:rsidRPr="00E84485">
        <w:rPr>
          <w:color w:val="000000" w:themeColor="text1"/>
        </w:rPr>
        <w:t>Uziarnienie mieszanki mineralnej</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Próbki do badań należy pobierać z wytwórni po wymieszaniu kruszyw, a przed podaniem cementu. Badanie należy wykonać zgodnie z normą PN-B-06714-15:1991 [11].</w:t>
      </w:r>
    </w:p>
    <w:p w:rsidR="00683496" w:rsidRPr="00E84485" w:rsidRDefault="00683496" w:rsidP="00683496">
      <w:pPr>
        <w:numPr>
          <w:ilvl w:val="12"/>
          <w:numId w:val="0"/>
        </w:numPr>
        <w:jc w:val="both"/>
        <w:rPr>
          <w:color w:val="000000" w:themeColor="text1"/>
        </w:rPr>
      </w:pPr>
      <w:r w:rsidRPr="00E84485">
        <w:rPr>
          <w:color w:val="000000" w:themeColor="text1"/>
        </w:rPr>
        <w:tab/>
        <w:t>Krzywa uziarnienia mieszanki mineralnej powinna być zgodna z receptą.</w:t>
      </w:r>
    </w:p>
    <w:p w:rsidR="00683496" w:rsidRPr="00E84485" w:rsidRDefault="00683496" w:rsidP="00683496">
      <w:pPr>
        <w:numPr>
          <w:ilvl w:val="12"/>
          <w:numId w:val="0"/>
        </w:numPr>
        <w:jc w:val="both"/>
        <w:rPr>
          <w:b/>
          <w:color w:val="000000" w:themeColor="text1"/>
        </w:rPr>
      </w:pPr>
    </w:p>
    <w:p w:rsidR="00683496" w:rsidRPr="00E84485" w:rsidRDefault="00683496" w:rsidP="00683496">
      <w:pPr>
        <w:numPr>
          <w:ilvl w:val="12"/>
          <w:numId w:val="0"/>
        </w:numPr>
        <w:jc w:val="both"/>
        <w:rPr>
          <w:color w:val="000000" w:themeColor="text1"/>
        </w:rPr>
      </w:pPr>
      <w:r w:rsidRPr="00E84485">
        <w:rPr>
          <w:b/>
          <w:color w:val="000000" w:themeColor="text1"/>
        </w:rPr>
        <w:t xml:space="preserve">6.3.6. </w:t>
      </w:r>
      <w:r w:rsidRPr="00E84485">
        <w:rPr>
          <w:color w:val="000000" w:themeColor="text1"/>
        </w:rPr>
        <w:t>Wilgotność mieszanki chudego betonu</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Wilgotność mieszanki chudego betonu powinna być równa wilgotności optymalnej, określonej w recepcie z tolerancją + 10%, - 20% jej wartości.</w:t>
      </w:r>
    </w:p>
    <w:p w:rsidR="00683496" w:rsidRPr="00E84485" w:rsidRDefault="00683496" w:rsidP="00683496">
      <w:pPr>
        <w:numPr>
          <w:ilvl w:val="12"/>
          <w:numId w:val="0"/>
        </w:numPr>
        <w:spacing w:before="120"/>
        <w:jc w:val="both"/>
        <w:rPr>
          <w:color w:val="000000" w:themeColor="text1"/>
        </w:rPr>
      </w:pPr>
      <w:r w:rsidRPr="00E84485">
        <w:rPr>
          <w:b/>
          <w:color w:val="000000" w:themeColor="text1"/>
        </w:rPr>
        <w:t xml:space="preserve">6.3.7. </w:t>
      </w:r>
      <w:r w:rsidRPr="00E84485">
        <w:rPr>
          <w:color w:val="000000" w:themeColor="text1"/>
        </w:rPr>
        <w:t>Zagęszczenie podbudowy z chudego betonu</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 xml:space="preserve">Mieszanka chudego betonu powinna być zagęszczana do osiągnięcia wskaźnika zagęszczenia nie mniejszego niż 0,98 maksymalnego zagęszczenia laboratoryjnego oznaczonego zgodnie z normalną próbą </w:t>
      </w:r>
      <w:proofErr w:type="spellStart"/>
      <w:r w:rsidRPr="00E84485">
        <w:rPr>
          <w:color w:val="000000" w:themeColor="text1"/>
        </w:rPr>
        <w:t>Proctora</w:t>
      </w:r>
      <w:proofErr w:type="spellEnd"/>
      <w:r w:rsidRPr="00E84485">
        <w:rPr>
          <w:color w:val="000000" w:themeColor="text1"/>
        </w:rPr>
        <w:t xml:space="preserve"> (metoda II), według PN-B-04481:1988 [9].</w:t>
      </w:r>
    </w:p>
    <w:p w:rsidR="00683496" w:rsidRPr="00E84485" w:rsidRDefault="00683496" w:rsidP="00683496">
      <w:pPr>
        <w:numPr>
          <w:ilvl w:val="12"/>
          <w:numId w:val="0"/>
        </w:numPr>
        <w:spacing w:before="120"/>
        <w:jc w:val="both"/>
        <w:rPr>
          <w:color w:val="000000" w:themeColor="text1"/>
        </w:rPr>
      </w:pPr>
      <w:r w:rsidRPr="00E84485">
        <w:rPr>
          <w:b/>
          <w:color w:val="000000" w:themeColor="text1"/>
        </w:rPr>
        <w:t xml:space="preserve">6.3.8. </w:t>
      </w:r>
      <w:r w:rsidRPr="00E84485">
        <w:rPr>
          <w:color w:val="000000" w:themeColor="text1"/>
        </w:rPr>
        <w:t>Grubość podbudowy z chudego betonu</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 xml:space="preserve">Grubość warstwy należy mierzyć bezpośrednio po jej zagęszczeniu. Grubość podbudowy powinna być zgodna z dokumentacją projektową z tolerancją  </w:t>
      </w:r>
      <w:r w:rsidRPr="00E84485">
        <w:rPr>
          <w:color w:val="000000" w:themeColor="text1"/>
        </w:rPr>
        <w:sym w:font="Symbol" w:char="F0B1"/>
      </w:r>
      <w:r w:rsidRPr="00E84485">
        <w:rPr>
          <w:color w:val="000000" w:themeColor="text1"/>
        </w:rPr>
        <w:t xml:space="preserve"> 1 cm.</w:t>
      </w:r>
    </w:p>
    <w:p w:rsidR="00683496" w:rsidRPr="00E84485" w:rsidRDefault="00683496" w:rsidP="00683496">
      <w:pPr>
        <w:numPr>
          <w:ilvl w:val="12"/>
          <w:numId w:val="0"/>
        </w:numPr>
        <w:spacing w:before="120"/>
        <w:jc w:val="both"/>
        <w:rPr>
          <w:color w:val="000000" w:themeColor="text1"/>
        </w:rPr>
      </w:pPr>
      <w:r w:rsidRPr="00E84485">
        <w:rPr>
          <w:b/>
          <w:color w:val="000000" w:themeColor="text1"/>
        </w:rPr>
        <w:lastRenderedPageBreak/>
        <w:t xml:space="preserve">6.3.9. </w:t>
      </w:r>
      <w:r w:rsidRPr="00E84485">
        <w:rPr>
          <w:color w:val="000000" w:themeColor="text1"/>
        </w:rPr>
        <w:t>Wytrzymałość na ściskanie chudego betonu</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Wytrzymałość na ściskanie określa się na próbkach walcowych o średnicy i wysokości 16,0 cm. Próbki do badań należy pobierać z miejsc wybranych losowo, w świeżo rozłożonej warstwie. Próbki w ilości 6 sztuk należy formować i przechowywać zgodnie z normą PN-S-96013: 1997 [20]. Trzy próbki należy badać po 7 dniach i trzy po 28 dniach przechowywania. Wyniki wytrzymałości na ściskanie powinny być zgodne z wymaganiami podanymi w tablicy 4.</w:t>
      </w:r>
    </w:p>
    <w:p w:rsidR="00683496" w:rsidRPr="00E84485" w:rsidRDefault="00683496" w:rsidP="00683496">
      <w:pPr>
        <w:numPr>
          <w:ilvl w:val="12"/>
          <w:numId w:val="0"/>
        </w:numPr>
        <w:spacing w:before="120"/>
        <w:jc w:val="both"/>
        <w:rPr>
          <w:color w:val="000000" w:themeColor="text1"/>
        </w:rPr>
      </w:pPr>
      <w:r w:rsidRPr="00E84485">
        <w:rPr>
          <w:b/>
          <w:color w:val="000000" w:themeColor="text1"/>
        </w:rPr>
        <w:t xml:space="preserve">6.3.10. </w:t>
      </w:r>
      <w:r w:rsidRPr="00E84485">
        <w:rPr>
          <w:color w:val="000000" w:themeColor="text1"/>
        </w:rPr>
        <w:t>Nasiąkliwość i mrozoodporność chudego betonu</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Nasiąkliwość i mrozoodporność określa się po 28 dniach dojrzewania betonu, zgodnie z normą PN-B-06250:1988 [10].</w:t>
      </w:r>
    </w:p>
    <w:p w:rsidR="00683496" w:rsidRPr="00E84485" w:rsidRDefault="00683496" w:rsidP="00683496">
      <w:pPr>
        <w:numPr>
          <w:ilvl w:val="12"/>
          <w:numId w:val="0"/>
        </w:numPr>
        <w:jc w:val="both"/>
        <w:rPr>
          <w:color w:val="000000" w:themeColor="text1"/>
        </w:rPr>
      </w:pPr>
      <w:r w:rsidRPr="00E84485">
        <w:rPr>
          <w:color w:val="000000" w:themeColor="text1"/>
        </w:rPr>
        <w:tab/>
        <w:t>Wyniki badań powinny być zgodne z wymaganiami podanymi w  tablicy 4.</w:t>
      </w:r>
    </w:p>
    <w:p w:rsidR="00683496" w:rsidRPr="00E84485" w:rsidRDefault="00683496" w:rsidP="00683496">
      <w:pPr>
        <w:pStyle w:val="Nagwek2"/>
        <w:numPr>
          <w:ilvl w:val="12"/>
          <w:numId w:val="0"/>
        </w:numPr>
        <w:rPr>
          <w:color w:val="000000" w:themeColor="text1"/>
        </w:rPr>
      </w:pPr>
      <w:r w:rsidRPr="00E84485">
        <w:rPr>
          <w:color w:val="000000" w:themeColor="text1"/>
        </w:rPr>
        <w:t>6.4. Wymagania dotyczące cech geometrycznych podbudowy z chudego betonu</w:t>
      </w:r>
    </w:p>
    <w:p w:rsidR="00683496" w:rsidRPr="00E84485" w:rsidRDefault="00683496" w:rsidP="00683496">
      <w:pPr>
        <w:numPr>
          <w:ilvl w:val="12"/>
          <w:numId w:val="0"/>
        </w:numPr>
        <w:jc w:val="both"/>
        <w:rPr>
          <w:color w:val="000000" w:themeColor="text1"/>
        </w:rPr>
      </w:pPr>
      <w:r w:rsidRPr="00E84485">
        <w:rPr>
          <w:b/>
          <w:color w:val="000000" w:themeColor="text1"/>
        </w:rPr>
        <w:t xml:space="preserve">6.4.1. </w:t>
      </w:r>
      <w:r w:rsidRPr="00E84485">
        <w:rPr>
          <w:color w:val="000000" w:themeColor="text1"/>
        </w:rPr>
        <w:t>Częstotliwość oraz zakres badań i  pomiarów</w:t>
      </w:r>
    </w:p>
    <w:p w:rsidR="00683496" w:rsidRPr="00E84485" w:rsidRDefault="00683496" w:rsidP="00683496">
      <w:pPr>
        <w:numPr>
          <w:ilvl w:val="12"/>
          <w:numId w:val="0"/>
        </w:numPr>
        <w:spacing w:before="120"/>
        <w:jc w:val="both"/>
        <w:rPr>
          <w:color w:val="000000" w:themeColor="text1"/>
        </w:rPr>
      </w:pPr>
      <w:r w:rsidRPr="00E84485">
        <w:rPr>
          <w:color w:val="000000" w:themeColor="text1"/>
        </w:rPr>
        <w:tab/>
        <w:t xml:space="preserve"> Częstotliwość oraz zakres badań i pomiarów podaje  tablica 6.</w:t>
      </w:r>
    </w:p>
    <w:p w:rsidR="00683496" w:rsidRPr="00E84485" w:rsidRDefault="00683496" w:rsidP="00683496">
      <w:pPr>
        <w:numPr>
          <w:ilvl w:val="12"/>
          <w:numId w:val="0"/>
        </w:numPr>
        <w:spacing w:before="120"/>
        <w:jc w:val="both"/>
        <w:rPr>
          <w:color w:val="000000" w:themeColor="text1"/>
        </w:rPr>
      </w:pPr>
      <w:r w:rsidRPr="00E84485">
        <w:rPr>
          <w:color w:val="000000" w:themeColor="text1"/>
        </w:rPr>
        <w:t>Tablica 6. Częstotliwość oraz zakres badań i  pomiarów wykonanej podbudowy z chudego</w:t>
      </w:r>
    </w:p>
    <w:p w:rsidR="00683496" w:rsidRPr="00E84485" w:rsidRDefault="00683496" w:rsidP="00683496">
      <w:pPr>
        <w:numPr>
          <w:ilvl w:val="12"/>
          <w:numId w:val="0"/>
        </w:numPr>
        <w:tabs>
          <w:tab w:val="left" w:pos="851"/>
        </w:tabs>
        <w:spacing w:after="120"/>
        <w:jc w:val="both"/>
        <w:rPr>
          <w:color w:val="000000" w:themeColor="text1"/>
        </w:rPr>
      </w:pPr>
      <w:r w:rsidRPr="00E84485">
        <w:rPr>
          <w:color w:val="000000" w:themeColor="text1"/>
        </w:rPr>
        <w:tab/>
        <w:t>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835"/>
        <w:gridCol w:w="4252"/>
      </w:tblGrid>
      <w:tr w:rsidR="00683496" w:rsidRPr="00E84485" w:rsidTr="00683496">
        <w:tc>
          <w:tcPr>
            <w:tcW w:w="496" w:type="dxa"/>
            <w:tcBorders>
              <w:bottom w:val="double" w:sz="6" w:space="0" w:color="auto"/>
            </w:tcBorders>
          </w:tcPr>
          <w:p w:rsidR="00683496" w:rsidRPr="00E84485" w:rsidRDefault="00683496" w:rsidP="00683496">
            <w:pPr>
              <w:numPr>
                <w:ilvl w:val="12"/>
                <w:numId w:val="0"/>
              </w:numPr>
              <w:spacing w:before="180" w:after="60"/>
              <w:ind w:right="-11"/>
              <w:jc w:val="both"/>
              <w:rPr>
                <w:b/>
                <w:color w:val="000000" w:themeColor="text1"/>
              </w:rPr>
            </w:pPr>
            <w:r w:rsidRPr="00E84485">
              <w:rPr>
                <w:color w:val="000000" w:themeColor="text1"/>
              </w:rPr>
              <w:t>Lp.</w:t>
            </w:r>
          </w:p>
        </w:tc>
        <w:tc>
          <w:tcPr>
            <w:tcW w:w="2835" w:type="dxa"/>
            <w:tcBorders>
              <w:bottom w:val="double" w:sz="6" w:space="0" w:color="auto"/>
            </w:tcBorders>
          </w:tcPr>
          <w:p w:rsidR="00683496" w:rsidRPr="00E84485" w:rsidRDefault="00683496" w:rsidP="00683496">
            <w:pPr>
              <w:numPr>
                <w:ilvl w:val="12"/>
                <w:numId w:val="0"/>
              </w:numPr>
              <w:spacing w:before="60"/>
              <w:ind w:right="-11"/>
              <w:jc w:val="both"/>
              <w:rPr>
                <w:b/>
                <w:color w:val="000000" w:themeColor="text1"/>
              </w:rPr>
            </w:pPr>
            <w:r w:rsidRPr="00E84485">
              <w:rPr>
                <w:color w:val="000000" w:themeColor="text1"/>
              </w:rPr>
              <w:t>Wyszczególnienie badań i pomiarów</w:t>
            </w:r>
          </w:p>
        </w:tc>
        <w:tc>
          <w:tcPr>
            <w:tcW w:w="4252" w:type="dxa"/>
            <w:tcBorders>
              <w:bottom w:val="double" w:sz="6" w:space="0" w:color="auto"/>
            </w:tcBorders>
          </w:tcPr>
          <w:p w:rsidR="00683496" w:rsidRPr="00E84485" w:rsidRDefault="00683496" w:rsidP="00683496">
            <w:pPr>
              <w:numPr>
                <w:ilvl w:val="12"/>
                <w:numId w:val="0"/>
              </w:numPr>
              <w:spacing w:before="60"/>
              <w:ind w:right="-11"/>
              <w:jc w:val="both"/>
              <w:rPr>
                <w:color w:val="000000" w:themeColor="text1"/>
              </w:rPr>
            </w:pPr>
            <w:r w:rsidRPr="00E84485">
              <w:rPr>
                <w:color w:val="000000" w:themeColor="text1"/>
              </w:rPr>
              <w:t xml:space="preserve">Minimalna częstotliwość </w:t>
            </w:r>
          </w:p>
          <w:p w:rsidR="00683496" w:rsidRPr="00E84485" w:rsidRDefault="00683496" w:rsidP="00683496">
            <w:pPr>
              <w:numPr>
                <w:ilvl w:val="12"/>
                <w:numId w:val="0"/>
              </w:numPr>
              <w:spacing w:after="60"/>
              <w:ind w:right="-11"/>
              <w:jc w:val="both"/>
              <w:rPr>
                <w:b/>
                <w:color w:val="000000" w:themeColor="text1"/>
              </w:rPr>
            </w:pPr>
            <w:r w:rsidRPr="00E84485">
              <w:rPr>
                <w:color w:val="000000" w:themeColor="text1"/>
              </w:rPr>
              <w:t>badań i  pomiarów</w:t>
            </w:r>
          </w:p>
        </w:tc>
      </w:tr>
      <w:tr w:rsidR="00683496" w:rsidRPr="00E84485" w:rsidTr="00683496">
        <w:tc>
          <w:tcPr>
            <w:tcW w:w="496" w:type="dxa"/>
            <w:tcBorders>
              <w:top w:val="nil"/>
            </w:tcBorders>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1</w:t>
            </w:r>
          </w:p>
        </w:tc>
        <w:tc>
          <w:tcPr>
            <w:tcW w:w="2835" w:type="dxa"/>
            <w:tcBorders>
              <w:top w:val="nil"/>
            </w:tcBorders>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Szerokość podbudowy</w:t>
            </w:r>
          </w:p>
        </w:tc>
        <w:tc>
          <w:tcPr>
            <w:tcW w:w="4252" w:type="dxa"/>
            <w:tcBorders>
              <w:top w:val="nil"/>
            </w:tcBorders>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10 razy na 1 km</w:t>
            </w:r>
          </w:p>
        </w:tc>
      </w:tr>
      <w:tr w:rsidR="00683496" w:rsidRPr="00E84485" w:rsidTr="00683496">
        <w:tc>
          <w:tcPr>
            <w:tcW w:w="496" w:type="dxa"/>
          </w:tcPr>
          <w:p w:rsidR="00683496" w:rsidRPr="00E84485" w:rsidRDefault="00683496" w:rsidP="00683496">
            <w:pPr>
              <w:numPr>
                <w:ilvl w:val="12"/>
                <w:numId w:val="0"/>
              </w:numPr>
              <w:spacing w:before="120" w:after="60"/>
              <w:ind w:right="-11"/>
              <w:jc w:val="both"/>
              <w:rPr>
                <w:b/>
                <w:color w:val="000000" w:themeColor="text1"/>
              </w:rPr>
            </w:pPr>
            <w:r w:rsidRPr="00E84485">
              <w:rPr>
                <w:color w:val="000000" w:themeColor="text1"/>
              </w:rPr>
              <w:t>2</w:t>
            </w:r>
          </w:p>
        </w:tc>
        <w:tc>
          <w:tcPr>
            <w:tcW w:w="2835" w:type="dxa"/>
          </w:tcPr>
          <w:p w:rsidR="00683496" w:rsidRPr="00E84485" w:rsidRDefault="00683496" w:rsidP="00683496">
            <w:pPr>
              <w:numPr>
                <w:ilvl w:val="12"/>
                <w:numId w:val="0"/>
              </w:numPr>
              <w:spacing w:before="120" w:after="60"/>
              <w:ind w:right="-11"/>
              <w:jc w:val="both"/>
              <w:rPr>
                <w:b/>
                <w:color w:val="000000" w:themeColor="text1"/>
              </w:rPr>
            </w:pPr>
            <w:r w:rsidRPr="00E84485">
              <w:rPr>
                <w:color w:val="000000" w:themeColor="text1"/>
              </w:rPr>
              <w:t>Równość podłużna</w:t>
            </w:r>
          </w:p>
        </w:tc>
        <w:tc>
          <w:tcPr>
            <w:tcW w:w="4252" w:type="dxa"/>
          </w:tcPr>
          <w:p w:rsidR="00683496" w:rsidRPr="00E84485" w:rsidRDefault="00683496" w:rsidP="00683496">
            <w:pPr>
              <w:numPr>
                <w:ilvl w:val="12"/>
                <w:numId w:val="0"/>
              </w:numPr>
              <w:ind w:right="-11"/>
              <w:jc w:val="both"/>
              <w:rPr>
                <w:b/>
                <w:color w:val="000000" w:themeColor="text1"/>
              </w:rPr>
            </w:pPr>
            <w:r w:rsidRPr="00E84485">
              <w:rPr>
                <w:color w:val="000000" w:themeColor="text1"/>
              </w:rPr>
              <w:t xml:space="preserve">w sposób ciągły </w:t>
            </w:r>
            <w:proofErr w:type="spellStart"/>
            <w:r w:rsidRPr="00E84485">
              <w:rPr>
                <w:color w:val="000000" w:themeColor="text1"/>
              </w:rPr>
              <w:t>planografem</w:t>
            </w:r>
            <w:proofErr w:type="spellEnd"/>
            <w:r w:rsidRPr="00E84485">
              <w:rPr>
                <w:color w:val="000000" w:themeColor="text1"/>
              </w:rPr>
              <w:t xml:space="preserve"> albo co 20 m łatą </w:t>
            </w:r>
          </w:p>
          <w:p w:rsidR="00683496" w:rsidRPr="00E84485" w:rsidRDefault="00683496" w:rsidP="00683496">
            <w:pPr>
              <w:numPr>
                <w:ilvl w:val="12"/>
                <w:numId w:val="0"/>
              </w:numPr>
              <w:ind w:right="-11"/>
              <w:jc w:val="both"/>
              <w:rPr>
                <w:b/>
                <w:color w:val="000000" w:themeColor="text1"/>
              </w:rPr>
            </w:pPr>
            <w:r w:rsidRPr="00E84485">
              <w:rPr>
                <w:color w:val="000000" w:themeColor="text1"/>
              </w:rPr>
              <w:t>na każdym pasie ruchu</w:t>
            </w:r>
          </w:p>
        </w:tc>
      </w:tr>
      <w:tr w:rsidR="00683496" w:rsidRPr="00E84485" w:rsidTr="00683496">
        <w:tc>
          <w:tcPr>
            <w:tcW w:w="496"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3</w:t>
            </w:r>
          </w:p>
        </w:tc>
        <w:tc>
          <w:tcPr>
            <w:tcW w:w="2835"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Równość poprzeczna</w:t>
            </w:r>
          </w:p>
        </w:tc>
        <w:tc>
          <w:tcPr>
            <w:tcW w:w="4252"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10 razy na 1 km</w:t>
            </w:r>
          </w:p>
        </w:tc>
      </w:tr>
      <w:tr w:rsidR="00683496" w:rsidRPr="00E84485" w:rsidTr="00683496">
        <w:tc>
          <w:tcPr>
            <w:tcW w:w="496" w:type="dxa"/>
          </w:tcPr>
          <w:p w:rsidR="00683496" w:rsidRPr="00E84485" w:rsidRDefault="00683496" w:rsidP="00683496">
            <w:pPr>
              <w:numPr>
                <w:ilvl w:val="12"/>
                <w:numId w:val="0"/>
              </w:numPr>
              <w:spacing w:before="20" w:after="20"/>
              <w:ind w:right="-14"/>
              <w:jc w:val="both"/>
              <w:rPr>
                <w:b/>
                <w:color w:val="000000" w:themeColor="text1"/>
              </w:rPr>
            </w:pPr>
            <w:r w:rsidRPr="00E84485">
              <w:rPr>
                <w:color w:val="000000" w:themeColor="text1"/>
              </w:rPr>
              <w:t>4</w:t>
            </w:r>
          </w:p>
        </w:tc>
        <w:tc>
          <w:tcPr>
            <w:tcW w:w="2835" w:type="dxa"/>
          </w:tcPr>
          <w:p w:rsidR="00683496" w:rsidRPr="00E84485" w:rsidRDefault="00683496" w:rsidP="00683496">
            <w:pPr>
              <w:numPr>
                <w:ilvl w:val="12"/>
                <w:numId w:val="0"/>
              </w:numPr>
              <w:spacing w:before="20" w:after="20"/>
              <w:ind w:right="-14"/>
              <w:jc w:val="both"/>
              <w:rPr>
                <w:b/>
                <w:color w:val="000000" w:themeColor="text1"/>
              </w:rPr>
            </w:pPr>
            <w:r w:rsidRPr="00E84485">
              <w:rPr>
                <w:color w:val="000000" w:themeColor="text1"/>
              </w:rPr>
              <w:t>Spadki poprzeczne*</w:t>
            </w:r>
            <w:r w:rsidRPr="00E84485">
              <w:rPr>
                <w:color w:val="000000" w:themeColor="text1"/>
                <w:vertAlign w:val="superscript"/>
              </w:rPr>
              <w:t>)</w:t>
            </w:r>
          </w:p>
        </w:tc>
        <w:tc>
          <w:tcPr>
            <w:tcW w:w="4252" w:type="dxa"/>
            <w:tcBorders>
              <w:bottom w:val="nil"/>
            </w:tcBorders>
          </w:tcPr>
          <w:p w:rsidR="00683496" w:rsidRPr="00E84485" w:rsidRDefault="00683496" w:rsidP="00683496">
            <w:pPr>
              <w:numPr>
                <w:ilvl w:val="12"/>
                <w:numId w:val="0"/>
              </w:numPr>
              <w:spacing w:before="20" w:after="20"/>
              <w:ind w:right="-14"/>
              <w:jc w:val="both"/>
              <w:rPr>
                <w:b/>
                <w:color w:val="000000" w:themeColor="text1"/>
              </w:rPr>
            </w:pPr>
            <w:r w:rsidRPr="00E84485">
              <w:rPr>
                <w:color w:val="000000" w:themeColor="text1"/>
              </w:rPr>
              <w:t>10 razy na 1 km</w:t>
            </w:r>
          </w:p>
        </w:tc>
      </w:tr>
      <w:tr w:rsidR="00683496" w:rsidRPr="00E84485" w:rsidTr="00683496">
        <w:tc>
          <w:tcPr>
            <w:tcW w:w="496"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5</w:t>
            </w:r>
          </w:p>
        </w:tc>
        <w:tc>
          <w:tcPr>
            <w:tcW w:w="2835"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Rzędne wysokościowe</w:t>
            </w:r>
          </w:p>
        </w:tc>
        <w:tc>
          <w:tcPr>
            <w:tcW w:w="4252" w:type="dxa"/>
            <w:tcBorders>
              <w:bottom w:val="nil"/>
            </w:tcBorders>
          </w:tcPr>
          <w:p w:rsidR="00683496" w:rsidRPr="00E84485" w:rsidRDefault="00683496" w:rsidP="00683496">
            <w:pPr>
              <w:numPr>
                <w:ilvl w:val="12"/>
                <w:numId w:val="0"/>
              </w:numPr>
              <w:spacing w:before="20" w:after="20"/>
              <w:ind w:right="-11"/>
              <w:jc w:val="both"/>
              <w:rPr>
                <w:color w:val="000000" w:themeColor="text1"/>
              </w:rPr>
            </w:pPr>
            <w:r w:rsidRPr="00E84485">
              <w:rPr>
                <w:color w:val="000000" w:themeColor="text1"/>
              </w:rPr>
              <w:t>Dla autostrad i dróg ekspresowych co 25 m,</w:t>
            </w:r>
          </w:p>
        </w:tc>
      </w:tr>
      <w:tr w:rsidR="00683496" w:rsidRPr="00E84485" w:rsidTr="00683496">
        <w:tc>
          <w:tcPr>
            <w:tcW w:w="496" w:type="dxa"/>
          </w:tcPr>
          <w:p w:rsidR="00683496" w:rsidRPr="00E84485" w:rsidRDefault="00683496" w:rsidP="00683496">
            <w:pPr>
              <w:numPr>
                <w:ilvl w:val="12"/>
                <w:numId w:val="0"/>
              </w:numPr>
              <w:spacing w:before="20" w:after="20"/>
              <w:ind w:right="-14"/>
              <w:jc w:val="both"/>
              <w:rPr>
                <w:b/>
                <w:color w:val="000000" w:themeColor="text1"/>
              </w:rPr>
            </w:pPr>
            <w:r w:rsidRPr="00E84485">
              <w:rPr>
                <w:color w:val="000000" w:themeColor="text1"/>
              </w:rPr>
              <w:t>6</w:t>
            </w:r>
          </w:p>
        </w:tc>
        <w:tc>
          <w:tcPr>
            <w:tcW w:w="2835" w:type="dxa"/>
          </w:tcPr>
          <w:p w:rsidR="00683496" w:rsidRPr="00E84485" w:rsidRDefault="00683496" w:rsidP="00683496">
            <w:pPr>
              <w:numPr>
                <w:ilvl w:val="12"/>
                <w:numId w:val="0"/>
              </w:numPr>
              <w:spacing w:before="20" w:after="20"/>
              <w:ind w:right="-14"/>
              <w:jc w:val="both"/>
              <w:rPr>
                <w:b/>
                <w:color w:val="000000" w:themeColor="text1"/>
              </w:rPr>
            </w:pPr>
            <w:r w:rsidRPr="00E84485">
              <w:rPr>
                <w:color w:val="000000" w:themeColor="text1"/>
              </w:rPr>
              <w:t>Ukształtowanie osi w planie*</w:t>
            </w:r>
            <w:r w:rsidRPr="00E84485">
              <w:rPr>
                <w:color w:val="000000" w:themeColor="text1"/>
                <w:vertAlign w:val="superscript"/>
              </w:rPr>
              <w:t>)</w:t>
            </w:r>
          </w:p>
        </w:tc>
        <w:tc>
          <w:tcPr>
            <w:tcW w:w="4252" w:type="dxa"/>
            <w:tcBorders>
              <w:top w:val="nil"/>
            </w:tcBorders>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dla pozostałych dróg co 100 m</w:t>
            </w:r>
          </w:p>
        </w:tc>
      </w:tr>
      <w:tr w:rsidR="00683496" w:rsidRPr="00E84485" w:rsidTr="00683496">
        <w:tc>
          <w:tcPr>
            <w:tcW w:w="496"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7</w:t>
            </w:r>
          </w:p>
        </w:tc>
        <w:tc>
          <w:tcPr>
            <w:tcW w:w="2835"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Grubość podbudowy</w:t>
            </w:r>
          </w:p>
        </w:tc>
        <w:tc>
          <w:tcPr>
            <w:tcW w:w="4252" w:type="dxa"/>
          </w:tcPr>
          <w:p w:rsidR="00683496" w:rsidRPr="00E84485" w:rsidRDefault="00683496" w:rsidP="00683496">
            <w:pPr>
              <w:numPr>
                <w:ilvl w:val="12"/>
                <w:numId w:val="0"/>
              </w:numPr>
              <w:spacing w:before="20" w:after="20"/>
              <w:ind w:right="-11"/>
              <w:jc w:val="both"/>
              <w:rPr>
                <w:b/>
                <w:color w:val="000000" w:themeColor="text1"/>
              </w:rPr>
            </w:pPr>
            <w:r w:rsidRPr="00E84485">
              <w:rPr>
                <w:color w:val="000000" w:themeColor="text1"/>
              </w:rPr>
              <w:t>w 3 punktach, lecz nie rzadziej niż raz na 100 m</w:t>
            </w:r>
          </w:p>
        </w:tc>
      </w:tr>
    </w:tbl>
    <w:p w:rsidR="00683496" w:rsidRPr="00E84485" w:rsidRDefault="00683496" w:rsidP="00683496">
      <w:pPr>
        <w:numPr>
          <w:ilvl w:val="12"/>
          <w:numId w:val="0"/>
        </w:numPr>
        <w:spacing w:before="60"/>
        <w:jc w:val="both"/>
        <w:rPr>
          <w:color w:val="000000" w:themeColor="text1"/>
        </w:rPr>
      </w:pPr>
      <w:r w:rsidRPr="00E84485">
        <w:rPr>
          <w:color w:val="000000" w:themeColor="text1"/>
        </w:rPr>
        <w:t>*) Dodatkowe pomiary spadków poprzecznych i ukształtowanie osi w planie należy wykonać w punktach głównych łuków poziomych.</w:t>
      </w:r>
    </w:p>
    <w:p w:rsidR="00683496" w:rsidRPr="00E84485" w:rsidRDefault="00683496" w:rsidP="00683496">
      <w:pPr>
        <w:keepNext/>
        <w:numPr>
          <w:ilvl w:val="12"/>
          <w:numId w:val="0"/>
        </w:numPr>
        <w:spacing w:before="120" w:after="120"/>
        <w:ind w:right="-11"/>
        <w:jc w:val="both"/>
        <w:rPr>
          <w:color w:val="000000" w:themeColor="text1"/>
        </w:rPr>
      </w:pPr>
      <w:r w:rsidRPr="00E84485">
        <w:rPr>
          <w:b/>
          <w:color w:val="000000" w:themeColor="text1"/>
        </w:rPr>
        <w:t xml:space="preserve">6.4.2. </w:t>
      </w:r>
      <w:r w:rsidRPr="00E84485">
        <w:rPr>
          <w:color w:val="000000" w:themeColor="text1"/>
        </w:rPr>
        <w:t>Szerokość podbudowy</w:t>
      </w:r>
    </w:p>
    <w:p w:rsidR="00683496" w:rsidRPr="00E84485" w:rsidRDefault="00683496" w:rsidP="00683496">
      <w:pPr>
        <w:numPr>
          <w:ilvl w:val="12"/>
          <w:numId w:val="0"/>
        </w:numPr>
        <w:ind w:right="-11"/>
        <w:jc w:val="both"/>
        <w:rPr>
          <w:color w:val="000000" w:themeColor="text1"/>
        </w:rPr>
      </w:pPr>
      <w:r w:rsidRPr="00E84485">
        <w:rPr>
          <w:color w:val="000000" w:themeColor="text1"/>
        </w:rPr>
        <w:tab/>
        <w:t xml:space="preserve">Szerokość podbudowy powinna być zgodna z dokumentacją projektową z tolerancją +10 cm, </w:t>
      </w:r>
      <w:r w:rsidRPr="00E84485">
        <w:rPr>
          <w:color w:val="000000" w:themeColor="text1"/>
        </w:rPr>
        <w:sym w:font="Symbol" w:char="F02D"/>
      </w:r>
      <w:r w:rsidRPr="00E84485">
        <w:rPr>
          <w:color w:val="000000" w:themeColor="text1"/>
        </w:rPr>
        <w:t>5 cm.</w:t>
      </w:r>
    </w:p>
    <w:p w:rsidR="00683496" w:rsidRPr="00E84485" w:rsidRDefault="00683496" w:rsidP="00683496">
      <w:pPr>
        <w:numPr>
          <w:ilvl w:val="12"/>
          <w:numId w:val="0"/>
        </w:numPr>
        <w:jc w:val="both"/>
        <w:rPr>
          <w:color w:val="000000" w:themeColor="text1"/>
        </w:rPr>
      </w:pPr>
      <w:r w:rsidRPr="00E84485">
        <w:rPr>
          <w:color w:val="000000" w:themeColor="text1"/>
        </w:rPr>
        <w:tab/>
        <w:t>Na jezdniach bez krawężników szerokość podbudowy powinna być większa o co najmniej 25 cm od szerokości warstwy na niej układanej lub o wartość wskazaną w dokumentacji projektowej.</w:t>
      </w:r>
    </w:p>
    <w:p w:rsidR="00683496" w:rsidRPr="00E84485" w:rsidRDefault="00683496" w:rsidP="00683496">
      <w:pPr>
        <w:numPr>
          <w:ilvl w:val="12"/>
          <w:numId w:val="0"/>
        </w:numPr>
        <w:spacing w:before="120" w:after="120"/>
        <w:ind w:right="-11"/>
        <w:jc w:val="both"/>
        <w:rPr>
          <w:color w:val="000000" w:themeColor="text1"/>
        </w:rPr>
      </w:pPr>
      <w:r w:rsidRPr="00E84485">
        <w:rPr>
          <w:b/>
          <w:color w:val="000000" w:themeColor="text1"/>
        </w:rPr>
        <w:t xml:space="preserve">6.4.3. </w:t>
      </w:r>
      <w:r w:rsidRPr="00E84485">
        <w:rPr>
          <w:color w:val="000000" w:themeColor="text1"/>
        </w:rPr>
        <w:t>Równość podbudowy</w:t>
      </w:r>
    </w:p>
    <w:p w:rsidR="00683496" w:rsidRPr="00E84485" w:rsidRDefault="00683496" w:rsidP="00683496">
      <w:pPr>
        <w:numPr>
          <w:ilvl w:val="12"/>
          <w:numId w:val="0"/>
        </w:numPr>
        <w:ind w:right="-11"/>
        <w:jc w:val="both"/>
        <w:rPr>
          <w:color w:val="000000" w:themeColor="text1"/>
        </w:rPr>
      </w:pPr>
      <w:r w:rsidRPr="00E84485">
        <w:rPr>
          <w:color w:val="000000" w:themeColor="text1"/>
        </w:rPr>
        <w:tab/>
        <w:t xml:space="preserve">Nierówności podłużne podbudowy należy mierzyć 4-metrową łatą lub </w:t>
      </w:r>
      <w:proofErr w:type="spellStart"/>
      <w:r w:rsidRPr="00E84485">
        <w:rPr>
          <w:color w:val="000000" w:themeColor="text1"/>
        </w:rPr>
        <w:t>planografem</w:t>
      </w:r>
      <w:proofErr w:type="spellEnd"/>
      <w:r w:rsidRPr="00E84485">
        <w:rPr>
          <w:color w:val="000000" w:themeColor="text1"/>
        </w:rPr>
        <w:t xml:space="preserve">, zgodnie z normą BN-68/8931-04 [23]. </w:t>
      </w:r>
    </w:p>
    <w:p w:rsidR="00683496" w:rsidRPr="00E84485" w:rsidRDefault="00683496" w:rsidP="00683496">
      <w:pPr>
        <w:numPr>
          <w:ilvl w:val="12"/>
          <w:numId w:val="0"/>
        </w:numPr>
        <w:ind w:right="-11"/>
        <w:jc w:val="both"/>
        <w:rPr>
          <w:color w:val="000000" w:themeColor="text1"/>
        </w:rPr>
      </w:pPr>
      <w:r w:rsidRPr="00E84485">
        <w:rPr>
          <w:color w:val="000000" w:themeColor="text1"/>
        </w:rPr>
        <w:tab/>
        <w:t xml:space="preserve">Nierówności poprzeczne podbudowy należy mierzyć 4-metrową łatą. </w:t>
      </w:r>
    </w:p>
    <w:p w:rsidR="00683496" w:rsidRPr="00E84485" w:rsidRDefault="00683496" w:rsidP="00683496">
      <w:pPr>
        <w:numPr>
          <w:ilvl w:val="12"/>
          <w:numId w:val="0"/>
        </w:numPr>
        <w:ind w:right="-11"/>
        <w:jc w:val="both"/>
        <w:rPr>
          <w:color w:val="000000" w:themeColor="text1"/>
        </w:rPr>
      </w:pPr>
      <w:r w:rsidRPr="00E84485">
        <w:rPr>
          <w:color w:val="000000" w:themeColor="text1"/>
        </w:rPr>
        <w:tab/>
        <w:t>Nierówności podbudowy nie mogą przekraczać:</w:t>
      </w:r>
    </w:p>
    <w:p w:rsidR="00683496" w:rsidRPr="00E84485" w:rsidRDefault="00683496" w:rsidP="002122BD">
      <w:pPr>
        <w:numPr>
          <w:ilvl w:val="0"/>
          <w:numId w:val="53"/>
        </w:numPr>
        <w:ind w:left="0" w:right="-11" w:firstLine="0"/>
        <w:jc w:val="both"/>
        <w:rPr>
          <w:color w:val="000000" w:themeColor="text1"/>
        </w:rPr>
      </w:pPr>
      <w:r w:rsidRPr="00E84485">
        <w:rPr>
          <w:color w:val="000000" w:themeColor="text1"/>
        </w:rPr>
        <w:t>9 mm dla podbudowy zasadniczej,</w:t>
      </w:r>
    </w:p>
    <w:p w:rsidR="00683496" w:rsidRPr="00E84485" w:rsidRDefault="00683496" w:rsidP="002122BD">
      <w:pPr>
        <w:numPr>
          <w:ilvl w:val="0"/>
          <w:numId w:val="53"/>
        </w:numPr>
        <w:ind w:left="0" w:right="-11" w:firstLine="0"/>
        <w:jc w:val="both"/>
        <w:rPr>
          <w:color w:val="000000" w:themeColor="text1"/>
        </w:rPr>
      </w:pPr>
      <w:r w:rsidRPr="00E84485">
        <w:rPr>
          <w:color w:val="000000" w:themeColor="text1"/>
        </w:rPr>
        <w:t>15 mm dla podbudowy pomocniczej.</w:t>
      </w:r>
    </w:p>
    <w:p w:rsidR="00683496" w:rsidRPr="00E84485" w:rsidRDefault="00683496" w:rsidP="00683496">
      <w:pPr>
        <w:numPr>
          <w:ilvl w:val="12"/>
          <w:numId w:val="0"/>
        </w:numPr>
        <w:spacing w:before="120" w:after="120"/>
        <w:ind w:right="-11"/>
        <w:jc w:val="both"/>
        <w:rPr>
          <w:color w:val="000000" w:themeColor="text1"/>
        </w:rPr>
      </w:pPr>
      <w:r w:rsidRPr="00E84485">
        <w:rPr>
          <w:b/>
          <w:color w:val="000000" w:themeColor="text1"/>
        </w:rPr>
        <w:t xml:space="preserve">6.4.4. </w:t>
      </w:r>
      <w:r w:rsidRPr="00E84485">
        <w:rPr>
          <w:color w:val="000000" w:themeColor="text1"/>
        </w:rPr>
        <w:t>Spadki poprzeczne podbudowy</w:t>
      </w:r>
    </w:p>
    <w:p w:rsidR="00683496" w:rsidRPr="00E84485" w:rsidRDefault="00683496" w:rsidP="00683496">
      <w:pPr>
        <w:numPr>
          <w:ilvl w:val="12"/>
          <w:numId w:val="0"/>
        </w:numPr>
        <w:ind w:right="-11"/>
        <w:jc w:val="both"/>
        <w:rPr>
          <w:color w:val="000000" w:themeColor="text1"/>
        </w:rPr>
      </w:pPr>
      <w:r w:rsidRPr="00E84485">
        <w:rPr>
          <w:color w:val="000000" w:themeColor="text1"/>
        </w:rPr>
        <w:tab/>
        <w:t xml:space="preserve">Spadki poprzeczne podbudowy na prostych i łukach powinny być zgodne z dokumentacją projektową z tolerancją </w:t>
      </w:r>
      <w:r w:rsidRPr="00E84485">
        <w:rPr>
          <w:color w:val="000000" w:themeColor="text1"/>
        </w:rPr>
        <w:sym w:font="Symbol" w:char="F0B1"/>
      </w:r>
      <w:r w:rsidRPr="00E84485">
        <w:rPr>
          <w:color w:val="000000" w:themeColor="text1"/>
        </w:rPr>
        <w:t xml:space="preserve"> 0,5 %.</w:t>
      </w:r>
    </w:p>
    <w:p w:rsidR="00683496" w:rsidRPr="00E84485" w:rsidRDefault="00683496" w:rsidP="00683496">
      <w:pPr>
        <w:numPr>
          <w:ilvl w:val="12"/>
          <w:numId w:val="0"/>
        </w:numPr>
        <w:spacing w:before="120" w:after="120"/>
        <w:ind w:right="-11"/>
        <w:jc w:val="both"/>
        <w:rPr>
          <w:color w:val="000000" w:themeColor="text1"/>
        </w:rPr>
      </w:pPr>
      <w:r w:rsidRPr="00E84485">
        <w:rPr>
          <w:b/>
          <w:color w:val="000000" w:themeColor="text1"/>
        </w:rPr>
        <w:t xml:space="preserve">6.4.5. </w:t>
      </w:r>
      <w:r w:rsidRPr="00E84485">
        <w:rPr>
          <w:color w:val="000000" w:themeColor="text1"/>
        </w:rPr>
        <w:t>Rzędne wysokościowe podbudowy</w:t>
      </w:r>
    </w:p>
    <w:p w:rsidR="00683496" w:rsidRPr="00E84485" w:rsidRDefault="00683496" w:rsidP="00683496">
      <w:pPr>
        <w:numPr>
          <w:ilvl w:val="12"/>
          <w:numId w:val="0"/>
        </w:numPr>
        <w:ind w:right="-11"/>
        <w:jc w:val="both"/>
        <w:rPr>
          <w:color w:val="000000" w:themeColor="text1"/>
        </w:rPr>
      </w:pPr>
      <w:r w:rsidRPr="00E84485">
        <w:rPr>
          <w:color w:val="000000" w:themeColor="text1"/>
        </w:rPr>
        <w:tab/>
        <w:t xml:space="preserve">Rzędne wysokościowe podbudowy powinny być zgodne z dokumentacją projektową z tolerancją +1 cm, </w:t>
      </w:r>
      <w:r w:rsidRPr="00E84485">
        <w:rPr>
          <w:color w:val="000000" w:themeColor="text1"/>
        </w:rPr>
        <w:sym w:font="Symbol" w:char="F02D"/>
      </w:r>
      <w:r w:rsidRPr="00E84485">
        <w:rPr>
          <w:color w:val="000000" w:themeColor="text1"/>
        </w:rPr>
        <w:t>2 cm.</w:t>
      </w:r>
    </w:p>
    <w:p w:rsidR="00683496" w:rsidRPr="00E84485" w:rsidRDefault="00683496" w:rsidP="00683496">
      <w:pPr>
        <w:numPr>
          <w:ilvl w:val="12"/>
          <w:numId w:val="0"/>
        </w:numPr>
        <w:spacing w:before="120" w:after="120"/>
        <w:ind w:right="-11"/>
        <w:jc w:val="both"/>
        <w:rPr>
          <w:color w:val="000000" w:themeColor="text1"/>
        </w:rPr>
      </w:pPr>
      <w:r w:rsidRPr="00E84485">
        <w:rPr>
          <w:b/>
          <w:color w:val="000000" w:themeColor="text1"/>
        </w:rPr>
        <w:t xml:space="preserve">6.4.6. </w:t>
      </w:r>
      <w:r w:rsidRPr="00E84485">
        <w:rPr>
          <w:color w:val="000000" w:themeColor="text1"/>
        </w:rPr>
        <w:t>Ukształtowanie osi w planie</w:t>
      </w:r>
    </w:p>
    <w:p w:rsidR="00683496" w:rsidRPr="00E84485" w:rsidRDefault="00683496" w:rsidP="00683496">
      <w:pPr>
        <w:numPr>
          <w:ilvl w:val="12"/>
          <w:numId w:val="0"/>
        </w:numPr>
        <w:ind w:right="-11"/>
        <w:jc w:val="both"/>
        <w:rPr>
          <w:color w:val="000000" w:themeColor="text1"/>
        </w:rPr>
      </w:pPr>
      <w:r w:rsidRPr="00E84485">
        <w:rPr>
          <w:color w:val="000000" w:themeColor="text1"/>
        </w:rPr>
        <w:tab/>
        <w:t xml:space="preserve">Oś podbudowy w planie powinna być zgodna z dokumentacją projektową z tolerancją </w:t>
      </w:r>
      <w:r w:rsidRPr="00E84485">
        <w:rPr>
          <w:color w:val="000000" w:themeColor="text1"/>
        </w:rPr>
        <w:sym w:font="Symbol" w:char="F0B1"/>
      </w:r>
      <w:r w:rsidRPr="00E84485">
        <w:rPr>
          <w:color w:val="000000" w:themeColor="text1"/>
        </w:rPr>
        <w:t xml:space="preserve"> 3 cm dla autostrad i dróg ekspresowych i </w:t>
      </w:r>
      <w:r w:rsidRPr="00E84485">
        <w:rPr>
          <w:color w:val="000000" w:themeColor="text1"/>
        </w:rPr>
        <w:sym w:font="Symbol" w:char="F0B1"/>
      </w:r>
      <w:r w:rsidRPr="00E84485">
        <w:rPr>
          <w:color w:val="000000" w:themeColor="text1"/>
        </w:rPr>
        <w:t xml:space="preserve"> 5 cm dla pozostałych dróg.</w:t>
      </w:r>
    </w:p>
    <w:p w:rsidR="00683496" w:rsidRPr="00E84485" w:rsidRDefault="00683496" w:rsidP="00683496">
      <w:pPr>
        <w:numPr>
          <w:ilvl w:val="12"/>
          <w:numId w:val="0"/>
        </w:numPr>
        <w:spacing w:before="120" w:after="120"/>
        <w:ind w:right="-11"/>
        <w:jc w:val="both"/>
        <w:rPr>
          <w:color w:val="000000" w:themeColor="text1"/>
        </w:rPr>
      </w:pPr>
      <w:r w:rsidRPr="00E84485">
        <w:rPr>
          <w:b/>
          <w:color w:val="000000" w:themeColor="text1"/>
        </w:rPr>
        <w:t xml:space="preserve">6.4.7. </w:t>
      </w:r>
      <w:r w:rsidRPr="00E84485">
        <w:rPr>
          <w:color w:val="000000" w:themeColor="text1"/>
        </w:rPr>
        <w:t>Grubość podbudowy</w:t>
      </w:r>
    </w:p>
    <w:p w:rsidR="00683496" w:rsidRPr="00E84485" w:rsidRDefault="00683496" w:rsidP="00683496">
      <w:pPr>
        <w:numPr>
          <w:ilvl w:val="12"/>
          <w:numId w:val="0"/>
        </w:numPr>
        <w:ind w:right="-11"/>
        <w:jc w:val="both"/>
        <w:rPr>
          <w:color w:val="000000" w:themeColor="text1"/>
        </w:rPr>
      </w:pPr>
      <w:r w:rsidRPr="00E84485">
        <w:rPr>
          <w:color w:val="000000" w:themeColor="text1"/>
        </w:rPr>
        <w:lastRenderedPageBreak/>
        <w:tab/>
        <w:t>Grubość podbudowy powinna być zgodna z dokumentacją projektową z tolerancją:</w:t>
      </w:r>
    </w:p>
    <w:p w:rsidR="00683496" w:rsidRPr="00E84485" w:rsidRDefault="00683496" w:rsidP="002122BD">
      <w:pPr>
        <w:numPr>
          <w:ilvl w:val="0"/>
          <w:numId w:val="53"/>
        </w:numPr>
        <w:ind w:left="0" w:right="-11" w:firstLine="0"/>
        <w:jc w:val="both"/>
        <w:rPr>
          <w:color w:val="000000" w:themeColor="text1"/>
        </w:rPr>
      </w:pPr>
      <w:r w:rsidRPr="00E84485">
        <w:rPr>
          <w:color w:val="000000" w:themeColor="text1"/>
        </w:rPr>
        <w:t xml:space="preserve">dla podbudowy zasadniczej </w:t>
      </w:r>
      <w:r w:rsidRPr="00E84485">
        <w:rPr>
          <w:color w:val="000000" w:themeColor="text1"/>
        </w:rPr>
        <w:sym w:font="Symbol" w:char="F0B1"/>
      </w:r>
      <w:r w:rsidRPr="00E84485">
        <w:rPr>
          <w:color w:val="000000" w:themeColor="text1"/>
        </w:rPr>
        <w:t xml:space="preserve"> 1 cm,</w:t>
      </w:r>
    </w:p>
    <w:p w:rsidR="00683496" w:rsidRPr="00E84485" w:rsidRDefault="00683496" w:rsidP="002122BD">
      <w:pPr>
        <w:numPr>
          <w:ilvl w:val="0"/>
          <w:numId w:val="53"/>
        </w:numPr>
        <w:ind w:left="0" w:firstLine="0"/>
        <w:jc w:val="both"/>
        <w:rPr>
          <w:color w:val="000000" w:themeColor="text1"/>
        </w:rPr>
      </w:pPr>
      <w:r w:rsidRPr="00E84485">
        <w:rPr>
          <w:color w:val="000000" w:themeColor="text1"/>
        </w:rPr>
        <w:t xml:space="preserve">dla podbudowy pomocniczej +1 cm, </w:t>
      </w:r>
      <w:r w:rsidRPr="00E84485">
        <w:rPr>
          <w:color w:val="000000" w:themeColor="text1"/>
        </w:rPr>
        <w:sym w:font="Symbol" w:char="F02D"/>
      </w:r>
      <w:r w:rsidRPr="00E84485">
        <w:rPr>
          <w:color w:val="000000" w:themeColor="text1"/>
        </w:rPr>
        <w:t>2 cm.</w:t>
      </w:r>
    </w:p>
    <w:p w:rsidR="00683496" w:rsidRPr="00E84485" w:rsidRDefault="00683496" w:rsidP="00683496">
      <w:pPr>
        <w:pStyle w:val="Nagwek1"/>
        <w:numPr>
          <w:ilvl w:val="12"/>
          <w:numId w:val="0"/>
        </w:numPr>
        <w:rPr>
          <w:color w:val="000000" w:themeColor="text1"/>
        </w:rPr>
      </w:pPr>
      <w:bookmarkStart w:id="421" w:name="_Toc32644951"/>
      <w:r w:rsidRPr="00E84485">
        <w:rPr>
          <w:color w:val="000000" w:themeColor="text1"/>
        </w:rPr>
        <w:t>7. OBMIAR ROBÓT</w:t>
      </w:r>
      <w:bookmarkEnd w:id="421"/>
    </w:p>
    <w:p w:rsidR="00683496" w:rsidRPr="00E84485" w:rsidRDefault="00683496" w:rsidP="00683496">
      <w:pPr>
        <w:pStyle w:val="Nagwek2"/>
        <w:numPr>
          <w:ilvl w:val="12"/>
          <w:numId w:val="0"/>
        </w:numPr>
        <w:rPr>
          <w:color w:val="000000" w:themeColor="text1"/>
        </w:rPr>
      </w:pPr>
      <w:r w:rsidRPr="00E84485">
        <w:rPr>
          <w:color w:val="000000" w:themeColor="text1"/>
        </w:rPr>
        <w:t>7.1. Ogólne zasady obmiaru robót</w:t>
      </w:r>
    </w:p>
    <w:p w:rsidR="00683496" w:rsidRPr="00E84485" w:rsidRDefault="00683496" w:rsidP="00683496">
      <w:pPr>
        <w:numPr>
          <w:ilvl w:val="12"/>
          <w:numId w:val="0"/>
        </w:numPr>
        <w:ind w:right="-11"/>
        <w:jc w:val="both"/>
        <w:rPr>
          <w:color w:val="000000" w:themeColor="text1"/>
        </w:rPr>
      </w:pPr>
      <w:r w:rsidRPr="00E84485">
        <w:rPr>
          <w:color w:val="000000" w:themeColor="text1"/>
        </w:rPr>
        <w:tab/>
        <w:t>Ogólne zasady obmiaru robót podano w SST D-00.00.00 „Wymagania ogólne” pkt 7.</w:t>
      </w:r>
    </w:p>
    <w:p w:rsidR="00683496" w:rsidRPr="00E84485" w:rsidRDefault="00683496" w:rsidP="00683496">
      <w:pPr>
        <w:pStyle w:val="Nagwek2"/>
        <w:numPr>
          <w:ilvl w:val="12"/>
          <w:numId w:val="0"/>
        </w:numPr>
        <w:rPr>
          <w:color w:val="000000" w:themeColor="text1"/>
        </w:rPr>
      </w:pPr>
      <w:r w:rsidRPr="00E84485">
        <w:rPr>
          <w:color w:val="000000" w:themeColor="text1"/>
        </w:rPr>
        <w:t>7.2. Jednostka obmiarowa</w:t>
      </w:r>
    </w:p>
    <w:p w:rsidR="00683496" w:rsidRPr="00E84485" w:rsidRDefault="00683496" w:rsidP="00683496">
      <w:pPr>
        <w:numPr>
          <w:ilvl w:val="12"/>
          <w:numId w:val="0"/>
        </w:numPr>
        <w:ind w:right="-11"/>
        <w:jc w:val="both"/>
        <w:rPr>
          <w:color w:val="000000" w:themeColor="text1"/>
        </w:rPr>
      </w:pPr>
      <w:r w:rsidRPr="00E84485">
        <w:rPr>
          <w:color w:val="000000" w:themeColor="text1"/>
        </w:rPr>
        <w:tab/>
        <w:t>Jednostką obmiarową jest  m</w:t>
      </w:r>
      <w:r w:rsidRPr="00E84485">
        <w:rPr>
          <w:color w:val="000000" w:themeColor="text1"/>
          <w:vertAlign w:val="superscript"/>
        </w:rPr>
        <w:t>2</w:t>
      </w:r>
      <w:r w:rsidRPr="00E84485">
        <w:rPr>
          <w:color w:val="000000" w:themeColor="text1"/>
        </w:rPr>
        <w:t xml:space="preserve"> (metr kwadratowy) wykonanej podbudowy z chudego betonu.</w:t>
      </w:r>
    </w:p>
    <w:p w:rsidR="00683496" w:rsidRPr="00E84485" w:rsidRDefault="00683496" w:rsidP="00683496">
      <w:pPr>
        <w:pStyle w:val="Nagwek1"/>
        <w:numPr>
          <w:ilvl w:val="12"/>
          <w:numId w:val="0"/>
        </w:numPr>
        <w:rPr>
          <w:color w:val="000000" w:themeColor="text1"/>
        </w:rPr>
      </w:pPr>
      <w:bookmarkStart w:id="422" w:name="_Toc32644952"/>
      <w:r w:rsidRPr="00E84485">
        <w:rPr>
          <w:color w:val="000000" w:themeColor="text1"/>
        </w:rPr>
        <w:t>8. ODBIÓR ROBÓT</w:t>
      </w:r>
      <w:bookmarkEnd w:id="422"/>
    </w:p>
    <w:p w:rsidR="00683496" w:rsidRPr="00E84485" w:rsidRDefault="00683496" w:rsidP="00683496">
      <w:pPr>
        <w:numPr>
          <w:ilvl w:val="12"/>
          <w:numId w:val="0"/>
        </w:numPr>
        <w:ind w:right="-11"/>
        <w:jc w:val="both"/>
        <w:rPr>
          <w:color w:val="000000" w:themeColor="text1"/>
        </w:rPr>
      </w:pPr>
      <w:r w:rsidRPr="00E84485">
        <w:rPr>
          <w:color w:val="000000" w:themeColor="text1"/>
        </w:rPr>
        <w:tab/>
        <w:t>Ogólne zasady odbioru robót podano w SST D-00.00.00 „Wymagania ogólne” pkt 8.</w:t>
      </w:r>
    </w:p>
    <w:p w:rsidR="00683496" w:rsidRPr="00E84485" w:rsidRDefault="00683496" w:rsidP="00683496">
      <w:pPr>
        <w:numPr>
          <w:ilvl w:val="12"/>
          <w:numId w:val="0"/>
        </w:numPr>
        <w:ind w:right="-11"/>
        <w:jc w:val="both"/>
        <w:rPr>
          <w:color w:val="000000" w:themeColor="text1"/>
        </w:rPr>
      </w:pPr>
      <w:r w:rsidRPr="00E84485">
        <w:rPr>
          <w:color w:val="000000" w:themeColor="text1"/>
        </w:rPr>
        <w:tab/>
        <w:t>Roboty uznaje się za zgodne z dokumentacją projektową, SST i wymaganiami Inżyniera, jeżeli wszystkie pomiary i badania z zachowaniem tolerancji wg pkt 6 dały wyniki pozytywne.</w:t>
      </w:r>
    </w:p>
    <w:p w:rsidR="00683496" w:rsidRPr="00E84485" w:rsidRDefault="00683496" w:rsidP="00683496">
      <w:pPr>
        <w:pStyle w:val="Nagwek1"/>
        <w:numPr>
          <w:ilvl w:val="12"/>
          <w:numId w:val="0"/>
        </w:numPr>
        <w:rPr>
          <w:color w:val="000000" w:themeColor="text1"/>
        </w:rPr>
      </w:pPr>
      <w:bookmarkStart w:id="423" w:name="_Toc32644953"/>
      <w:r w:rsidRPr="00E84485">
        <w:rPr>
          <w:color w:val="000000" w:themeColor="text1"/>
        </w:rPr>
        <w:t>9. PODSTAWA PŁATNOŚCI</w:t>
      </w:r>
      <w:bookmarkEnd w:id="423"/>
    </w:p>
    <w:p w:rsidR="00683496" w:rsidRPr="00E84485" w:rsidRDefault="00683496" w:rsidP="00683496">
      <w:pPr>
        <w:pStyle w:val="Nagwek2"/>
        <w:numPr>
          <w:ilvl w:val="12"/>
          <w:numId w:val="0"/>
        </w:numPr>
        <w:rPr>
          <w:color w:val="000000" w:themeColor="text1"/>
        </w:rPr>
      </w:pPr>
      <w:r w:rsidRPr="00E84485">
        <w:rPr>
          <w:color w:val="000000" w:themeColor="text1"/>
        </w:rPr>
        <w:t>9.1. Ogólne ustalenia dotyczące podstawy płatności</w:t>
      </w:r>
    </w:p>
    <w:p w:rsidR="00683496" w:rsidRPr="00E84485" w:rsidRDefault="00683496" w:rsidP="00683496">
      <w:pPr>
        <w:numPr>
          <w:ilvl w:val="12"/>
          <w:numId w:val="0"/>
        </w:numPr>
        <w:ind w:right="-11"/>
        <w:jc w:val="both"/>
        <w:rPr>
          <w:color w:val="000000" w:themeColor="text1"/>
        </w:rPr>
      </w:pPr>
      <w:r w:rsidRPr="00E84485">
        <w:rPr>
          <w:b/>
          <w:color w:val="000000" w:themeColor="text1"/>
        </w:rPr>
        <w:tab/>
      </w:r>
      <w:r w:rsidRPr="00E84485">
        <w:rPr>
          <w:color w:val="000000" w:themeColor="text1"/>
        </w:rPr>
        <w:t>Ogólne ustalenia dotyczące podstawy płatności podano w SST D-00.00.00 „Wymagania ogólne” pkt 9.</w:t>
      </w:r>
    </w:p>
    <w:p w:rsidR="00683496" w:rsidRPr="00E84485" w:rsidRDefault="00683496" w:rsidP="00683496">
      <w:pPr>
        <w:pStyle w:val="Nagwek2"/>
        <w:numPr>
          <w:ilvl w:val="12"/>
          <w:numId w:val="0"/>
        </w:numPr>
        <w:rPr>
          <w:color w:val="000000" w:themeColor="text1"/>
        </w:rPr>
      </w:pPr>
      <w:r w:rsidRPr="00E84485">
        <w:rPr>
          <w:color w:val="000000" w:themeColor="text1"/>
        </w:rPr>
        <w:t>9.2. Cena jednostki obmiarowej</w:t>
      </w:r>
    </w:p>
    <w:p w:rsidR="00683496" w:rsidRPr="00E84485" w:rsidRDefault="00683496" w:rsidP="00683496">
      <w:pPr>
        <w:numPr>
          <w:ilvl w:val="12"/>
          <w:numId w:val="0"/>
        </w:numPr>
        <w:ind w:right="-11"/>
        <w:jc w:val="both"/>
        <w:rPr>
          <w:color w:val="000000" w:themeColor="text1"/>
        </w:rPr>
      </w:pPr>
      <w:r w:rsidRPr="00E84485">
        <w:rPr>
          <w:color w:val="000000" w:themeColor="text1"/>
        </w:rPr>
        <w:tab/>
        <w:t>Cena wykonania 1 m</w:t>
      </w:r>
      <w:r w:rsidRPr="00E84485">
        <w:rPr>
          <w:color w:val="000000" w:themeColor="text1"/>
          <w:vertAlign w:val="superscript"/>
        </w:rPr>
        <w:t>2</w:t>
      </w:r>
      <w:r w:rsidRPr="00E84485">
        <w:rPr>
          <w:color w:val="000000" w:themeColor="text1"/>
        </w:rPr>
        <w:t xml:space="preserve"> podbudowy z chudego betonu obejmuje:</w:t>
      </w:r>
    </w:p>
    <w:p w:rsidR="00683496" w:rsidRPr="00E84485" w:rsidRDefault="00683496" w:rsidP="002122BD">
      <w:pPr>
        <w:numPr>
          <w:ilvl w:val="0"/>
          <w:numId w:val="53"/>
        </w:numPr>
        <w:ind w:left="283" w:right="-11"/>
        <w:jc w:val="both"/>
        <w:rPr>
          <w:color w:val="000000" w:themeColor="text1"/>
        </w:rPr>
      </w:pPr>
      <w:r w:rsidRPr="00E84485">
        <w:rPr>
          <w:color w:val="000000" w:themeColor="text1"/>
        </w:rPr>
        <w:t>prace pomiarowe i roboty przygotowawcze,</w:t>
      </w:r>
    </w:p>
    <w:p w:rsidR="00683496" w:rsidRPr="00E84485" w:rsidRDefault="00683496" w:rsidP="002122BD">
      <w:pPr>
        <w:numPr>
          <w:ilvl w:val="0"/>
          <w:numId w:val="53"/>
        </w:numPr>
        <w:ind w:left="283" w:right="-11"/>
        <w:jc w:val="both"/>
        <w:rPr>
          <w:color w:val="000000" w:themeColor="text1"/>
        </w:rPr>
      </w:pPr>
      <w:r w:rsidRPr="00E84485">
        <w:rPr>
          <w:color w:val="000000" w:themeColor="text1"/>
        </w:rPr>
        <w:t>oznakowanie robót,</w:t>
      </w:r>
    </w:p>
    <w:p w:rsidR="00683496" w:rsidRPr="00E84485" w:rsidRDefault="00683496" w:rsidP="002122BD">
      <w:pPr>
        <w:numPr>
          <w:ilvl w:val="0"/>
          <w:numId w:val="53"/>
        </w:numPr>
        <w:ind w:left="283" w:right="-11"/>
        <w:jc w:val="both"/>
        <w:rPr>
          <w:color w:val="000000" w:themeColor="text1"/>
        </w:rPr>
      </w:pPr>
      <w:r w:rsidRPr="00E84485">
        <w:rPr>
          <w:color w:val="000000" w:themeColor="text1"/>
        </w:rPr>
        <w:t xml:space="preserve">dostarczenie materiałów, </w:t>
      </w:r>
    </w:p>
    <w:p w:rsidR="00683496" w:rsidRPr="00E84485" w:rsidRDefault="00683496" w:rsidP="002122BD">
      <w:pPr>
        <w:numPr>
          <w:ilvl w:val="0"/>
          <w:numId w:val="53"/>
        </w:numPr>
        <w:ind w:left="283" w:right="-11"/>
        <w:jc w:val="both"/>
        <w:rPr>
          <w:color w:val="000000" w:themeColor="text1"/>
        </w:rPr>
      </w:pPr>
      <w:r w:rsidRPr="00E84485">
        <w:rPr>
          <w:color w:val="000000" w:themeColor="text1"/>
        </w:rPr>
        <w:t>wyprodukowanie mieszanki,</w:t>
      </w:r>
    </w:p>
    <w:p w:rsidR="00683496" w:rsidRPr="00E84485" w:rsidRDefault="00683496" w:rsidP="002122BD">
      <w:pPr>
        <w:numPr>
          <w:ilvl w:val="0"/>
          <w:numId w:val="53"/>
        </w:numPr>
        <w:ind w:left="283" w:right="-11"/>
        <w:jc w:val="both"/>
        <w:rPr>
          <w:color w:val="000000" w:themeColor="text1"/>
        </w:rPr>
      </w:pPr>
      <w:r w:rsidRPr="00E84485">
        <w:rPr>
          <w:color w:val="000000" w:themeColor="text1"/>
        </w:rPr>
        <w:t>transport na miejsce wbudowania,</w:t>
      </w:r>
    </w:p>
    <w:p w:rsidR="00683496" w:rsidRPr="00E84485" w:rsidRDefault="00683496" w:rsidP="002122BD">
      <w:pPr>
        <w:numPr>
          <w:ilvl w:val="0"/>
          <w:numId w:val="53"/>
        </w:numPr>
        <w:ind w:left="283" w:right="-11"/>
        <w:jc w:val="both"/>
        <w:rPr>
          <w:color w:val="000000" w:themeColor="text1"/>
        </w:rPr>
      </w:pPr>
      <w:r w:rsidRPr="00E84485">
        <w:rPr>
          <w:color w:val="000000" w:themeColor="text1"/>
        </w:rPr>
        <w:t>przygotowanie podłoża,</w:t>
      </w:r>
    </w:p>
    <w:p w:rsidR="00683496" w:rsidRPr="00E84485" w:rsidRDefault="00683496" w:rsidP="002122BD">
      <w:pPr>
        <w:numPr>
          <w:ilvl w:val="0"/>
          <w:numId w:val="53"/>
        </w:numPr>
        <w:ind w:left="283" w:right="-11"/>
        <w:jc w:val="both"/>
        <w:rPr>
          <w:color w:val="000000" w:themeColor="text1"/>
        </w:rPr>
      </w:pPr>
      <w:r w:rsidRPr="00E84485">
        <w:rPr>
          <w:color w:val="000000" w:themeColor="text1"/>
        </w:rPr>
        <w:t>dostarczenie, ustawienie, rozebranie i odwiezienie prowadnic oraz innych materiałów i urządzeń pomocniczych,</w:t>
      </w:r>
    </w:p>
    <w:p w:rsidR="00683496" w:rsidRPr="00E84485" w:rsidRDefault="00683496" w:rsidP="002122BD">
      <w:pPr>
        <w:numPr>
          <w:ilvl w:val="0"/>
          <w:numId w:val="53"/>
        </w:numPr>
        <w:ind w:left="283" w:right="-11"/>
        <w:jc w:val="both"/>
        <w:rPr>
          <w:color w:val="000000" w:themeColor="text1"/>
        </w:rPr>
      </w:pPr>
      <w:r w:rsidRPr="00E84485">
        <w:rPr>
          <w:color w:val="000000" w:themeColor="text1"/>
        </w:rPr>
        <w:t>rozłożenie i zagęszczenie mieszanki,</w:t>
      </w:r>
    </w:p>
    <w:p w:rsidR="00683496" w:rsidRPr="00E84485" w:rsidRDefault="00683496" w:rsidP="002122BD">
      <w:pPr>
        <w:numPr>
          <w:ilvl w:val="0"/>
          <w:numId w:val="53"/>
        </w:numPr>
        <w:ind w:left="283" w:right="-11"/>
        <w:jc w:val="both"/>
        <w:rPr>
          <w:color w:val="000000" w:themeColor="text1"/>
        </w:rPr>
      </w:pPr>
      <w:r w:rsidRPr="00E84485">
        <w:rPr>
          <w:color w:val="000000" w:themeColor="text1"/>
        </w:rPr>
        <w:t>ewentualne nacinanie szczelin,</w:t>
      </w:r>
    </w:p>
    <w:p w:rsidR="00683496" w:rsidRPr="00E84485" w:rsidRDefault="00683496" w:rsidP="002122BD">
      <w:pPr>
        <w:numPr>
          <w:ilvl w:val="0"/>
          <w:numId w:val="53"/>
        </w:numPr>
        <w:ind w:left="283" w:right="-11"/>
        <w:jc w:val="both"/>
        <w:rPr>
          <w:color w:val="000000" w:themeColor="text1"/>
        </w:rPr>
      </w:pPr>
      <w:r w:rsidRPr="00E84485">
        <w:rPr>
          <w:color w:val="000000" w:themeColor="text1"/>
        </w:rPr>
        <w:t>pielęgnacja wykonanej podbudowy,</w:t>
      </w:r>
    </w:p>
    <w:p w:rsidR="00683496" w:rsidRPr="00E84485" w:rsidRDefault="00683496" w:rsidP="002122BD">
      <w:pPr>
        <w:numPr>
          <w:ilvl w:val="0"/>
          <w:numId w:val="53"/>
        </w:numPr>
        <w:ind w:left="283"/>
        <w:jc w:val="both"/>
        <w:rPr>
          <w:color w:val="000000" w:themeColor="text1"/>
        </w:rPr>
      </w:pPr>
      <w:r w:rsidRPr="00E84485">
        <w:rPr>
          <w:color w:val="000000" w:themeColor="text1"/>
        </w:rPr>
        <w:t>przeprowadzenie pomiarów i badań laboratoryjnych, wymaganych w specyfikacji technicznej.</w:t>
      </w:r>
    </w:p>
    <w:p w:rsidR="00683496" w:rsidRPr="00E84485" w:rsidRDefault="00683496" w:rsidP="00683496">
      <w:pPr>
        <w:pStyle w:val="Nagwek1"/>
        <w:rPr>
          <w:color w:val="000000" w:themeColor="text1"/>
        </w:rPr>
      </w:pPr>
      <w:bookmarkStart w:id="424" w:name="_Toc32644954"/>
      <w:r w:rsidRPr="00E84485">
        <w:rPr>
          <w:color w:val="000000" w:themeColor="text1"/>
        </w:rPr>
        <w:t>10. przepisy związane</w:t>
      </w:r>
      <w:bookmarkEnd w:id="424"/>
    </w:p>
    <w:p w:rsidR="00683496" w:rsidRPr="00E84485" w:rsidRDefault="00683496" w:rsidP="00683496">
      <w:pPr>
        <w:pStyle w:val="Nagwek2"/>
        <w:rPr>
          <w:color w:val="000000" w:themeColor="text1"/>
        </w:rPr>
      </w:pPr>
    </w:p>
    <w:p w:rsidR="00683496" w:rsidRPr="00E84485" w:rsidRDefault="00683496" w:rsidP="00683496">
      <w:pPr>
        <w:pStyle w:val="Nagwek2"/>
        <w:rPr>
          <w:color w:val="000000" w:themeColor="text1"/>
        </w:rPr>
      </w:pPr>
      <w:r w:rsidRPr="00E84485">
        <w:rPr>
          <w:color w:val="000000" w:themeColor="text1"/>
        </w:rPr>
        <w:t>10.1. Normy</w:t>
      </w:r>
    </w:p>
    <w:tbl>
      <w:tblPr>
        <w:tblW w:w="0" w:type="auto"/>
        <w:tblLayout w:type="fixed"/>
        <w:tblCellMar>
          <w:left w:w="70" w:type="dxa"/>
          <w:right w:w="70" w:type="dxa"/>
        </w:tblCellMar>
        <w:tblLook w:val="0000" w:firstRow="0" w:lastRow="0" w:firstColumn="0" w:lastColumn="0" w:noHBand="0" w:noVBand="0"/>
      </w:tblPr>
      <w:tblGrid>
        <w:gridCol w:w="496"/>
        <w:gridCol w:w="1984"/>
        <w:gridCol w:w="5029"/>
      </w:tblGrid>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196-1:1996</w:t>
            </w:r>
          </w:p>
        </w:tc>
        <w:tc>
          <w:tcPr>
            <w:tcW w:w="5029" w:type="dxa"/>
          </w:tcPr>
          <w:p w:rsidR="00683496" w:rsidRPr="00E84485" w:rsidRDefault="00683496" w:rsidP="00683496">
            <w:pPr>
              <w:jc w:val="both"/>
              <w:rPr>
                <w:color w:val="000000" w:themeColor="text1"/>
              </w:rPr>
            </w:pPr>
            <w:r w:rsidRPr="00E84485">
              <w:rPr>
                <w:color w:val="000000" w:themeColor="text1"/>
              </w:rPr>
              <w:t>Metody badania cementu. Oznaczanie wytrzymałości</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2.</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196-2:1996</w:t>
            </w:r>
          </w:p>
        </w:tc>
        <w:tc>
          <w:tcPr>
            <w:tcW w:w="5029" w:type="dxa"/>
          </w:tcPr>
          <w:p w:rsidR="00683496" w:rsidRPr="00E84485" w:rsidRDefault="00683496" w:rsidP="00683496">
            <w:pPr>
              <w:jc w:val="both"/>
              <w:rPr>
                <w:color w:val="000000" w:themeColor="text1"/>
              </w:rPr>
            </w:pPr>
            <w:r w:rsidRPr="00E84485">
              <w:rPr>
                <w:color w:val="000000" w:themeColor="text1"/>
              </w:rPr>
              <w:t>Metody badania cementu. Analiza chemiczna cementu</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3.</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196-3:1996</w:t>
            </w:r>
          </w:p>
        </w:tc>
        <w:tc>
          <w:tcPr>
            <w:tcW w:w="5029" w:type="dxa"/>
          </w:tcPr>
          <w:p w:rsidR="00683496" w:rsidRPr="00E84485" w:rsidRDefault="00683496" w:rsidP="00683496">
            <w:pPr>
              <w:jc w:val="both"/>
              <w:rPr>
                <w:color w:val="000000" w:themeColor="text1"/>
              </w:rPr>
            </w:pPr>
            <w:r w:rsidRPr="00E84485">
              <w:rPr>
                <w:color w:val="000000" w:themeColor="text1"/>
              </w:rPr>
              <w:t>Metody badania cementu. Oznaczanie czasu wiązania               i stałości objętości</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4.</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196-6:1996</w:t>
            </w:r>
          </w:p>
        </w:tc>
        <w:tc>
          <w:tcPr>
            <w:tcW w:w="5029" w:type="dxa"/>
          </w:tcPr>
          <w:p w:rsidR="00683496" w:rsidRPr="00E84485" w:rsidRDefault="00683496" w:rsidP="00683496">
            <w:pPr>
              <w:jc w:val="both"/>
              <w:rPr>
                <w:color w:val="000000" w:themeColor="text1"/>
              </w:rPr>
            </w:pPr>
            <w:r w:rsidRPr="00E84485">
              <w:rPr>
                <w:color w:val="000000" w:themeColor="text1"/>
              </w:rPr>
              <w:t>Metody badania cementu. Oznaczanie stopnia zmielenia</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5.</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197-1:2002</w:t>
            </w:r>
          </w:p>
        </w:tc>
        <w:tc>
          <w:tcPr>
            <w:tcW w:w="5029" w:type="dxa"/>
          </w:tcPr>
          <w:p w:rsidR="00683496" w:rsidRPr="00E84485" w:rsidRDefault="00683496" w:rsidP="00683496">
            <w:pPr>
              <w:jc w:val="both"/>
              <w:rPr>
                <w:color w:val="000000" w:themeColor="text1"/>
              </w:rPr>
            </w:pPr>
            <w:proofErr w:type="spellStart"/>
            <w:r w:rsidRPr="00E84485">
              <w:rPr>
                <w:color w:val="000000" w:themeColor="text1"/>
              </w:rPr>
              <w:t>Cement.Część</w:t>
            </w:r>
            <w:proofErr w:type="spellEnd"/>
            <w:r w:rsidRPr="00E84485">
              <w:rPr>
                <w:color w:val="000000" w:themeColor="text1"/>
              </w:rPr>
              <w:t xml:space="preserve"> 1: Skład, wymagania i kryteria zgodności dotyczące cementu powszechnego użytku</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6.</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206-1:2000</w:t>
            </w:r>
          </w:p>
        </w:tc>
        <w:tc>
          <w:tcPr>
            <w:tcW w:w="5029" w:type="dxa"/>
          </w:tcPr>
          <w:p w:rsidR="00683496" w:rsidRPr="00E84485" w:rsidRDefault="00683496" w:rsidP="00683496">
            <w:pPr>
              <w:jc w:val="both"/>
              <w:rPr>
                <w:color w:val="000000" w:themeColor="text1"/>
              </w:rPr>
            </w:pPr>
            <w:r w:rsidRPr="00E84485">
              <w:rPr>
                <w:color w:val="000000" w:themeColor="text1"/>
              </w:rPr>
              <w:t>Beton. Część 1: Wymagania, właściwości, produkcja               i zgodność</w:t>
            </w:r>
          </w:p>
        </w:tc>
      </w:tr>
    </w:tbl>
    <w:p w:rsidR="00683496" w:rsidRPr="00E84485" w:rsidRDefault="00683496" w:rsidP="00683496">
      <w:pPr>
        <w:jc w:val="both"/>
        <w:rPr>
          <w:color w:val="000000" w:themeColor="text1"/>
        </w:rPr>
      </w:pPr>
    </w:p>
    <w:tbl>
      <w:tblPr>
        <w:tblW w:w="0" w:type="auto"/>
        <w:tblLayout w:type="fixed"/>
        <w:tblCellMar>
          <w:left w:w="70" w:type="dxa"/>
          <w:right w:w="70" w:type="dxa"/>
        </w:tblCellMar>
        <w:tblLook w:val="0000" w:firstRow="0" w:lastRow="0" w:firstColumn="0" w:lastColumn="0" w:noHBand="0" w:noVBand="0"/>
      </w:tblPr>
      <w:tblGrid>
        <w:gridCol w:w="496"/>
        <w:gridCol w:w="1984"/>
        <w:gridCol w:w="5029"/>
      </w:tblGrid>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 xml:space="preserve">  7.</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480-11:2000</w:t>
            </w:r>
          </w:p>
        </w:tc>
        <w:tc>
          <w:tcPr>
            <w:tcW w:w="5029" w:type="dxa"/>
          </w:tcPr>
          <w:p w:rsidR="00683496" w:rsidRPr="00E84485" w:rsidRDefault="00683496" w:rsidP="00683496">
            <w:pPr>
              <w:jc w:val="both"/>
              <w:rPr>
                <w:color w:val="000000" w:themeColor="text1"/>
              </w:rPr>
            </w:pPr>
            <w:r w:rsidRPr="00E84485">
              <w:rPr>
                <w:color w:val="000000" w:themeColor="text1"/>
              </w:rPr>
              <w:t>Domieszki do betonu, zaprawy i zaczynu. Metody badań. Oznaczanie charakterystyki porów powietrznych w stwardniałym betonie</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 xml:space="preserve">  8.</w:t>
            </w:r>
          </w:p>
        </w:tc>
        <w:tc>
          <w:tcPr>
            <w:tcW w:w="1984" w:type="dxa"/>
          </w:tcPr>
          <w:p w:rsidR="00683496" w:rsidRPr="00E84485" w:rsidRDefault="00683496" w:rsidP="00683496">
            <w:pPr>
              <w:jc w:val="both"/>
              <w:rPr>
                <w:color w:val="000000" w:themeColor="text1"/>
                <w:lang w:val="en-US"/>
              </w:rPr>
            </w:pPr>
            <w:r w:rsidRPr="00E84485">
              <w:rPr>
                <w:color w:val="000000" w:themeColor="text1"/>
                <w:lang w:val="en-US"/>
              </w:rPr>
              <w:t>PN-EN 934-2:1999</w:t>
            </w:r>
          </w:p>
        </w:tc>
        <w:tc>
          <w:tcPr>
            <w:tcW w:w="5029" w:type="dxa"/>
          </w:tcPr>
          <w:p w:rsidR="00683496" w:rsidRPr="00E84485" w:rsidRDefault="00683496" w:rsidP="00683496">
            <w:pPr>
              <w:jc w:val="both"/>
              <w:rPr>
                <w:color w:val="000000" w:themeColor="text1"/>
              </w:rPr>
            </w:pPr>
            <w:r w:rsidRPr="00E84485">
              <w:rPr>
                <w:color w:val="000000" w:themeColor="text1"/>
              </w:rPr>
              <w:t>Domieszki do betonu, zaprawy i zaczynu. Domieszki do betonu. Definicje i wymagania</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 xml:space="preserve">  9.</w:t>
            </w:r>
          </w:p>
        </w:tc>
        <w:tc>
          <w:tcPr>
            <w:tcW w:w="1984" w:type="dxa"/>
          </w:tcPr>
          <w:p w:rsidR="00683496" w:rsidRPr="00E84485" w:rsidRDefault="00683496" w:rsidP="00683496">
            <w:pPr>
              <w:jc w:val="both"/>
              <w:rPr>
                <w:color w:val="000000" w:themeColor="text1"/>
              </w:rPr>
            </w:pPr>
            <w:r w:rsidRPr="00E84485">
              <w:rPr>
                <w:color w:val="000000" w:themeColor="text1"/>
              </w:rPr>
              <w:t>PN-B-04481:1988</w:t>
            </w:r>
          </w:p>
        </w:tc>
        <w:tc>
          <w:tcPr>
            <w:tcW w:w="5029" w:type="dxa"/>
          </w:tcPr>
          <w:p w:rsidR="00683496" w:rsidRPr="00E84485" w:rsidRDefault="00683496" w:rsidP="00683496">
            <w:pPr>
              <w:jc w:val="both"/>
              <w:rPr>
                <w:color w:val="000000" w:themeColor="text1"/>
              </w:rPr>
            </w:pPr>
            <w:r w:rsidRPr="00E84485">
              <w:rPr>
                <w:color w:val="000000" w:themeColor="text1"/>
              </w:rPr>
              <w:t>Grunty budowlane. Badania laboratoryjne</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10.</w:t>
            </w:r>
          </w:p>
        </w:tc>
        <w:tc>
          <w:tcPr>
            <w:tcW w:w="1984" w:type="dxa"/>
          </w:tcPr>
          <w:p w:rsidR="00683496" w:rsidRPr="00E84485" w:rsidRDefault="00683496" w:rsidP="00683496">
            <w:pPr>
              <w:jc w:val="both"/>
              <w:rPr>
                <w:color w:val="000000" w:themeColor="text1"/>
              </w:rPr>
            </w:pPr>
            <w:r w:rsidRPr="00E84485">
              <w:rPr>
                <w:color w:val="000000" w:themeColor="text1"/>
              </w:rPr>
              <w:t>PN-B-06250:1988</w:t>
            </w:r>
          </w:p>
        </w:tc>
        <w:tc>
          <w:tcPr>
            <w:tcW w:w="5029" w:type="dxa"/>
          </w:tcPr>
          <w:p w:rsidR="00683496" w:rsidRPr="00E84485" w:rsidRDefault="00683496" w:rsidP="00683496">
            <w:pPr>
              <w:jc w:val="both"/>
              <w:rPr>
                <w:color w:val="000000" w:themeColor="text1"/>
              </w:rPr>
            </w:pPr>
            <w:r w:rsidRPr="00E84485">
              <w:rPr>
                <w:color w:val="000000" w:themeColor="text1"/>
              </w:rPr>
              <w:t>Beton zwykły</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11.</w:t>
            </w:r>
          </w:p>
        </w:tc>
        <w:tc>
          <w:tcPr>
            <w:tcW w:w="1984" w:type="dxa"/>
          </w:tcPr>
          <w:p w:rsidR="00683496" w:rsidRPr="00E84485" w:rsidRDefault="00683496" w:rsidP="00683496">
            <w:pPr>
              <w:jc w:val="both"/>
              <w:rPr>
                <w:color w:val="000000" w:themeColor="text1"/>
              </w:rPr>
            </w:pPr>
            <w:r w:rsidRPr="00E84485">
              <w:rPr>
                <w:color w:val="000000" w:themeColor="text1"/>
              </w:rPr>
              <w:t xml:space="preserve">PN-B-06714-15:1991 </w:t>
            </w:r>
          </w:p>
        </w:tc>
        <w:tc>
          <w:tcPr>
            <w:tcW w:w="5029" w:type="dxa"/>
          </w:tcPr>
          <w:p w:rsidR="00683496" w:rsidRPr="00E84485" w:rsidRDefault="00683496" w:rsidP="00683496">
            <w:pPr>
              <w:jc w:val="both"/>
              <w:rPr>
                <w:color w:val="000000" w:themeColor="text1"/>
              </w:rPr>
            </w:pPr>
            <w:r w:rsidRPr="00E84485">
              <w:rPr>
                <w:color w:val="000000" w:themeColor="text1"/>
              </w:rPr>
              <w:t>Kruszywa mineralne. Badania. Oznaczanie składu ziarnowego</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12.</w:t>
            </w:r>
          </w:p>
        </w:tc>
        <w:tc>
          <w:tcPr>
            <w:tcW w:w="1984" w:type="dxa"/>
          </w:tcPr>
          <w:p w:rsidR="00683496" w:rsidRPr="00E84485" w:rsidRDefault="00683496" w:rsidP="00683496">
            <w:pPr>
              <w:jc w:val="both"/>
              <w:rPr>
                <w:color w:val="000000" w:themeColor="text1"/>
              </w:rPr>
            </w:pPr>
            <w:r w:rsidRPr="00E84485">
              <w:rPr>
                <w:color w:val="000000" w:themeColor="text1"/>
              </w:rPr>
              <w:t>PN-B-06714-37:1980</w:t>
            </w:r>
          </w:p>
        </w:tc>
        <w:tc>
          <w:tcPr>
            <w:tcW w:w="5029" w:type="dxa"/>
          </w:tcPr>
          <w:p w:rsidR="00683496" w:rsidRPr="00E84485" w:rsidRDefault="00683496" w:rsidP="00683496">
            <w:pPr>
              <w:jc w:val="both"/>
              <w:rPr>
                <w:color w:val="000000" w:themeColor="text1"/>
              </w:rPr>
            </w:pPr>
            <w:r w:rsidRPr="00E84485">
              <w:rPr>
                <w:color w:val="000000" w:themeColor="text1"/>
              </w:rPr>
              <w:t>Kruszywa mineralne. Badania. Oznaczanie rozpadu krzemianowego</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lastRenderedPageBreak/>
              <w:t>13.</w:t>
            </w:r>
          </w:p>
        </w:tc>
        <w:tc>
          <w:tcPr>
            <w:tcW w:w="1984" w:type="dxa"/>
          </w:tcPr>
          <w:p w:rsidR="00683496" w:rsidRPr="00E84485" w:rsidRDefault="00683496" w:rsidP="00683496">
            <w:pPr>
              <w:jc w:val="both"/>
              <w:rPr>
                <w:color w:val="000000" w:themeColor="text1"/>
              </w:rPr>
            </w:pPr>
            <w:r w:rsidRPr="00E84485">
              <w:rPr>
                <w:color w:val="000000" w:themeColor="text1"/>
              </w:rPr>
              <w:t>PN-B-06714-39: 1978</w:t>
            </w:r>
          </w:p>
        </w:tc>
        <w:tc>
          <w:tcPr>
            <w:tcW w:w="5029" w:type="dxa"/>
          </w:tcPr>
          <w:p w:rsidR="00683496" w:rsidRPr="00E84485" w:rsidRDefault="00683496" w:rsidP="00683496">
            <w:pPr>
              <w:jc w:val="both"/>
              <w:rPr>
                <w:color w:val="000000" w:themeColor="text1"/>
              </w:rPr>
            </w:pPr>
            <w:r w:rsidRPr="00E84485">
              <w:rPr>
                <w:color w:val="000000" w:themeColor="text1"/>
              </w:rPr>
              <w:t>Kruszywa mineralne. Badania. Oznaczanie rozpadu żelazawego</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14.</w:t>
            </w:r>
          </w:p>
        </w:tc>
        <w:tc>
          <w:tcPr>
            <w:tcW w:w="1984" w:type="dxa"/>
          </w:tcPr>
          <w:p w:rsidR="00683496" w:rsidRPr="00E84485" w:rsidRDefault="00683496" w:rsidP="00683496">
            <w:pPr>
              <w:jc w:val="both"/>
              <w:rPr>
                <w:color w:val="000000" w:themeColor="text1"/>
              </w:rPr>
            </w:pPr>
            <w:r w:rsidRPr="00E84485">
              <w:rPr>
                <w:color w:val="000000" w:themeColor="text1"/>
              </w:rPr>
              <w:t>PN-B-11111: 1996</w:t>
            </w:r>
          </w:p>
        </w:tc>
        <w:tc>
          <w:tcPr>
            <w:tcW w:w="5029" w:type="dxa"/>
          </w:tcPr>
          <w:p w:rsidR="00683496" w:rsidRPr="00E84485" w:rsidRDefault="00683496" w:rsidP="00683496">
            <w:pPr>
              <w:jc w:val="both"/>
              <w:rPr>
                <w:color w:val="000000" w:themeColor="text1"/>
              </w:rPr>
            </w:pPr>
            <w:r w:rsidRPr="00E84485">
              <w:rPr>
                <w:color w:val="000000" w:themeColor="text1"/>
              </w:rPr>
              <w:t>Kruszywa mineralne. Kruszywa naturalne do nawierzchni drogowych; żwir i mieszanka</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15.</w:t>
            </w:r>
          </w:p>
        </w:tc>
        <w:tc>
          <w:tcPr>
            <w:tcW w:w="1984" w:type="dxa"/>
          </w:tcPr>
          <w:p w:rsidR="00683496" w:rsidRPr="00E84485" w:rsidRDefault="00683496" w:rsidP="00683496">
            <w:pPr>
              <w:jc w:val="both"/>
              <w:rPr>
                <w:color w:val="000000" w:themeColor="text1"/>
              </w:rPr>
            </w:pPr>
            <w:r w:rsidRPr="00E84485">
              <w:rPr>
                <w:color w:val="000000" w:themeColor="text1"/>
              </w:rPr>
              <w:t>PN-B-11112: 1996</w:t>
            </w:r>
          </w:p>
        </w:tc>
        <w:tc>
          <w:tcPr>
            <w:tcW w:w="5029" w:type="dxa"/>
          </w:tcPr>
          <w:p w:rsidR="00683496" w:rsidRPr="00E84485" w:rsidRDefault="00683496" w:rsidP="00683496">
            <w:pPr>
              <w:jc w:val="both"/>
              <w:rPr>
                <w:color w:val="000000" w:themeColor="text1"/>
              </w:rPr>
            </w:pPr>
            <w:r w:rsidRPr="00E84485">
              <w:rPr>
                <w:color w:val="000000" w:themeColor="text1"/>
              </w:rPr>
              <w:t>Kruszywa mineralne. Kruszywa łamane do nawierzchni drogowych</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16.</w:t>
            </w:r>
          </w:p>
        </w:tc>
        <w:tc>
          <w:tcPr>
            <w:tcW w:w="1984" w:type="dxa"/>
          </w:tcPr>
          <w:p w:rsidR="00683496" w:rsidRPr="00E84485" w:rsidRDefault="00683496" w:rsidP="00683496">
            <w:pPr>
              <w:jc w:val="both"/>
              <w:rPr>
                <w:color w:val="000000" w:themeColor="text1"/>
              </w:rPr>
            </w:pPr>
            <w:r w:rsidRPr="00E84485">
              <w:rPr>
                <w:color w:val="000000" w:themeColor="text1"/>
              </w:rPr>
              <w:t>PN-B-11113: 1996</w:t>
            </w:r>
          </w:p>
        </w:tc>
        <w:tc>
          <w:tcPr>
            <w:tcW w:w="5029" w:type="dxa"/>
          </w:tcPr>
          <w:p w:rsidR="00683496" w:rsidRPr="00E84485" w:rsidRDefault="00683496" w:rsidP="00683496">
            <w:pPr>
              <w:jc w:val="both"/>
              <w:rPr>
                <w:color w:val="000000" w:themeColor="text1"/>
              </w:rPr>
            </w:pPr>
            <w:r w:rsidRPr="00E84485">
              <w:rPr>
                <w:color w:val="000000" w:themeColor="text1"/>
              </w:rPr>
              <w:t>Kruszywa mineralne. Kruszywa naturalne do nawierzchni drogowych; piasek</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17.</w:t>
            </w:r>
          </w:p>
        </w:tc>
        <w:tc>
          <w:tcPr>
            <w:tcW w:w="1984" w:type="dxa"/>
          </w:tcPr>
          <w:p w:rsidR="00683496" w:rsidRPr="00E84485" w:rsidRDefault="00683496" w:rsidP="00683496">
            <w:pPr>
              <w:jc w:val="both"/>
              <w:rPr>
                <w:color w:val="000000" w:themeColor="text1"/>
              </w:rPr>
            </w:pPr>
            <w:r w:rsidRPr="00E84485">
              <w:rPr>
                <w:color w:val="000000" w:themeColor="text1"/>
              </w:rPr>
              <w:t>PN-B-23004: 1988</w:t>
            </w:r>
          </w:p>
        </w:tc>
        <w:tc>
          <w:tcPr>
            <w:tcW w:w="5029" w:type="dxa"/>
          </w:tcPr>
          <w:p w:rsidR="00683496" w:rsidRPr="00E84485" w:rsidRDefault="00683496" w:rsidP="00683496">
            <w:pPr>
              <w:jc w:val="both"/>
              <w:rPr>
                <w:color w:val="000000" w:themeColor="text1"/>
              </w:rPr>
            </w:pPr>
            <w:r w:rsidRPr="00E84485">
              <w:rPr>
                <w:color w:val="000000" w:themeColor="text1"/>
              </w:rPr>
              <w:t>Kruszywa mineralne. Kruszywa sztuczne. Kruszywa z żużla wielkopiecowego kawałkowego</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18.</w:t>
            </w:r>
          </w:p>
        </w:tc>
        <w:tc>
          <w:tcPr>
            <w:tcW w:w="1984" w:type="dxa"/>
          </w:tcPr>
          <w:p w:rsidR="00683496" w:rsidRPr="00E84485" w:rsidRDefault="00683496" w:rsidP="00683496">
            <w:pPr>
              <w:jc w:val="both"/>
              <w:rPr>
                <w:color w:val="000000" w:themeColor="text1"/>
              </w:rPr>
            </w:pPr>
            <w:r w:rsidRPr="00E84485">
              <w:rPr>
                <w:color w:val="000000" w:themeColor="text1"/>
              </w:rPr>
              <w:t>PN-B-32250: 1988</w:t>
            </w:r>
          </w:p>
        </w:tc>
        <w:tc>
          <w:tcPr>
            <w:tcW w:w="5029" w:type="dxa"/>
          </w:tcPr>
          <w:p w:rsidR="00683496" w:rsidRPr="00E84485" w:rsidRDefault="00683496" w:rsidP="00683496">
            <w:pPr>
              <w:jc w:val="both"/>
              <w:rPr>
                <w:color w:val="000000" w:themeColor="text1"/>
              </w:rPr>
            </w:pPr>
            <w:r w:rsidRPr="00E84485">
              <w:rPr>
                <w:color w:val="000000" w:themeColor="text1"/>
              </w:rPr>
              <w:t>Materiały budowlane. Woda do betonów i zapraw</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19.</w:t>
            </w:r>
          </w:p>
        </w:tc>
        <w:tc>
          <w:tcPr>
            <w:tcW w:w="1984" w:type="dxa"/>
          </w:tcPr>
          <w:p w:rsidR="00683496" w:rsidRPr="00E84485" w:rsidRDefault="00683496" w:rsidP="00683496">
            <w:pPr>
              <w:jc w:val="both"/>
              <w:rPr>
                <w:color w:val="000000" w:themeColor="text1"/>
              </w:rPr>
            </w:pPr>
            <w:r w:rsidRPr="00E84485">
              <w:rPr>
                <w:color w:val="000000" w:themeColor="text1"/>
              </w:rPr>
              <w:t>PN-P-01715 : 1985</w:t>
            </w:r>
          </w:p>
        </w:tc>
        <w:tc>
          <w:tcPr>
            <w:tcW w:w="5029" w:type="dxa"/>
          </w:tcPr>
          <w:p w:rsidR="00683496" w:rsidRPr="00E84485" w:rsidRDefault="00683496" w:rsidP="00683496">
            <w:pPr>
              <w:jc w:val="both"/>
              <w:rPr>
                <w:color w:val="000000" w:themeColor="text1"/>
              </w:rPr>
            </w:pPr>
            <w:r w:rsidRPr="00E84485">
              <w:rPr>
                <w:color w:val="000000" w:themeColor="text1"/>
              </w:rPr>
              <w:t>Włókniny. Zestawienie wskaźników technologicznych i użytkowych oraz metod badań</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20.</w:t>
            </w:r>
          </w:p>
        </w:tc>
        <w:tc>
          <w:tcPr>
            <w:tcW w:w="1984" w:type="dxa"/>
          </w:tcPr>
          <w:p w:rsidR="00683496" w:rsidRPr="00E84485" w:rsidRDefault="00683496" w:rsidP="00683496">
            <w:pPr>
              <w:jc w:val="both"/>
              <w:rPr>
                <w:color w:val="000000" w:themeColor="text1"/>
              </w:rPr>
            </w:pPr>
            <w:r w:rsidRPr="00E84485">
              <w:rPr>
                <w:color w:val="000000" w:themeColor="text1"/>
              </w:rPr>
              <w:t>PN-S-96013 : 1997</w:t>
            </w:r>
          </w:p>
        </w:tc>
        <w:tc>
          <w:tcPr>
            <w:tcW w:w="5029" w:type="dxa"/>
          </w:tcPr>
          <w:p w:rsidR="00683496" w:rsidRPr="00E84485" w:rsidRDefault="00683496" w:rsidP="00683496">
            <w:pPr>
              <w:jc w:val="both"/>
              <w:rPr>
                <w:color w:val="000000" w:themeColor="text1"/>
              </w:rPr>
            </w:pPr>
            <w:r w:rsidRPr="00E84485">
              <w:rPr>
                <w:color w:val="000000" w:themeColor="text1"/>
              </w:rPr>
              <w:t>Drogi samochodowe. Podbudowa z chudego betonu. Wymagania i badania</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21.</w:t>
            </w:r>
          </w:p>
        </w:tc>
        <w:tc>
          <w:tcPr>
            <w:tcW w:w="1984" w:type="dxa"/>
          </w:tcPr>
          <w:p w:rsidR="00683496" w:rsidRPr="00E84485" w:rsidRDefault="00683496" w:rsidP="00683496">
            <w:pPr>
              <w:jc w:val="both"/>
              <w:rPr>
                <w:color w:val="000000" w:themeColor="text1"/>
              </w:rPr>
            </w:pPr>
            <w:r w:rsidRPr="00E84485">
              <w:rPr>
                <w:color w:val="000000" w:themeColor="text1"/>
              </w:rPr>
              <w:t>PN-S-96014 : 1997</w:t>
            </w:r>
          </w:p>
        </w:tc>
        <w:tc>
          <w:tcPr>
            <w:tcW w:w="5029" w:type="dxa"/>
          </w:tcPr>
          <w:p w:rsidR="00683496" w:rsidRPr="00E84485" w:rsidRDefault="00683496" w:rsidP="00683496">
            <w:pPr>
              <w:jc w:val="both"/>
              <w:rPr>
                <w:color w:val="000000" w:themeColor="text1"/>
              </w:rPr>
            </w:pPr>
            <w:r w:rsidRPr="00E84485">
              <w:rPr>
                <w:color w:val="000000" w:themeColor="text1"/>
              </w:rPr>
              <w:t>Drogi samochodowe i lotniskowe. Podbudowa z betonu cementowego pod nawierzchnię ulepszoną.</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22.</w:t>
            </w:r>
          </w:p>
        </w:tc>
        <w:tc>
          <w:tcPr>
            <w:tcW w:w="1984" w:type="dxa"/>
          </w:tcPr>
          <w:p w:rsidR="00683496" w:rsidRPr="00E84485" w:rsidRDefault="00683496" w:rsidP="00683496">
            <w:pPr>
              <w:jc w:val="both"/>
              <w:rPr>
                <w:color w:val="000000" w:themeColor="text1"/>
              </w:rPr>
            </w:pPr>
            <w:r w:rsidRPr="00E84485">
              <w:rPr>
                <w:color w:val="000000" w:themeColor="text1"/>
              </w:rPr>
              <w:t>BN-88/6731-08</w:t>
            </w:r>
          </w:p>
        </w:tc>
        <w:tc>
          <w:tcPr>
            <w:tcW w:w="5029" w:type="dxa"/>
          </w:tcPr>
          <w:p w:rsidR="00683496" w:rsidRPr="00E84485" w:rsidRDefault="00683496" w:rsidP="00683496">
            <w:pPr>
              <w:jc w:val="both"/>
              <w:rPr>
                <w:color w:val="000000" w:themeColor="text1"/>
              </w:rPr>
            </w:pPr>
            <w:r w:rsidRPr="00E84485">
              <w:rPr>
                <w:color w:val="000000" w:themeColor="text1"/>
              </w:rPr>
              <w:t>Cement. Transport i przechowywanie</w:t>
            </w:r>
          </w:p>
        </w:tc>
      </w:tr>
      <w:tr w:rsidR="00683496" w:rsidRPr="00E84485" w:rsidTr="00683496">
        <w:tc>
          <w:tcPr>
            <w:tcW w:w="496" w:type="dxa"/>
          </w:tcPr>
          <w:p w:rsidR="00683496" w:rsidRPr="00E84485" w:rsidRDefault="00683496" w:rsidP="00683496">
            <w:pPr>
              <w:jc w:val="both"/>
              <w:rPr>
                <w:color w:val="000000" w:themeColor="text1"/>
              </w:rPr>
            </w:pPr>
            <w:r w:rsidRPr="00E84485">
              <w:rPr>
                <w:color w:val="000000" w:themeColor="text1"/>
              </w:rPr>
              <w:t>23.</w:t>
            </w:r>
          </w:p>
        </w:tc>
        <w:tc>
          <w:tcPr>
            <w:tcW w:w="1984" w:type="dxa"/>
          </w:tcPr>
          <w:p w:rsidR="00683496" w:rsidRPr="00E84485" w:rsidRDefault="00683496" w:rsidP="00683496">
            <w:pPr>
              <w:jc w:val="both"/>
              <w:rPr>
                <w:color w:val="000000" w:themeColor="text1"/>
              </w:rPr>
            </w:pPr>
            <w:r w:rsidRPr="00E84485">
              <w:rPr>
                <w:color w:val="000000" w:themeColor="text1"/>
              </w:rPr>
              <w:t>BN-68/8931-04</w:t>
            </w:r>
          </w:p>
        </w:tc>
        <w:tc>
          <w:tcPr>
            <w:tcW w:w="5029" w:type="dxa"/>
          </w:tcPr>
          <w:p w:rsidR="00683496" w:rsidRPr="00E84485" w:rsidRDefault="00683496" w:rsidP="00683496">
            <w:pPr>
              <w:jc w:val="both"/>
              <w:rPr>
                <w:color w:val="000000" w:themeColor="text1"/>
              </w:rPr>
            </w:pPr>
            <w:r w:rsidRPr="00E84485">
              <w:rPr>
                <w:color w:val="000000" w:themeColor="text1"/>
              </w:rPr>
              <w:t xml:space="preserve">Drogi samochodowe. Pomiar równości nawierzchni </w:t>
            </w:r>
            <w:proofErr w:type="spellStart"/>
            <w:r w:rsidRPr="00E84485">
              <w:rPr>
                <w:color w:val="000000" w:themeColor="text1"/>
              </w:rPr>
              <w:t>planografem</w:t>
            </w:r>
            <w:proofErr w:type="spellEnd"/>
            <w:r w:rsidRPr="00E84485">
              <w:rPr>
                <w:color w:val="000000" w:themeColor="text1"/>
              </w:rPr>
              <w:t xml:space="preserve"> i łatą.</w:t>
            </w:r>
          </w:p>
        </w:tc>
      </w:tr>
    </w:tbl>
    <w:p w:rsidR="00683496" w:rsidRPr="00E84485" w:rsidRDefault="00683496" w:rsidP="00683496">
      <w:pPr>
        <w:pStyle w:val="Nagwek2"/>
        <w:rPr>
          <w:color w:val="000000" w:themeColor="text1"/>
        </w:rPr>
      </w:pPr>
      <w:r w:rsidRPr="00E84485">
        <w:rPr>
          <w:color w:val="000000" w:themeColor="text1"/>
        </w:rPr>
        <w:t>10.2. Inne dokumenty</w:t>
      </w:r>
    </w:p>
    <w:p w:rsidR="00683496" w:rsidRPr="00E84485" w:rsidRDefault="00683496" w:rsidP="002122BD">
      <w:pPr>
        <w:numPr>
          <w:ilvl w:val="0"/>
          <w:numId w:val="58"/>
        </w:numPr>
        <w:jc w:val="both"/>
        <w:rPr>
          <w:color w:val="000000" w:themeColor="text1"/>
        </w:rPr>
      </w:pPr>
      <w:r w:rsidRPr="00E84485">
        <w:rPr>
          <w:color w:val="000000" w:themeColor="text1"/>
        </w:rPr>
        <w:t xml:space="preserve">Katalog typowych konstrukcji nawierzchni podatnych i półsztywnych, </w:t>
      </w:r>
      <w:proofErr w:type="spellStart"/>
      <w:r w:rsidRPr="00E84485">
        <w:rPr>
          <w:color w:val="000000" w:themeColor="text1"/>
        </w:rPr>
        <w:t>IBDiM</w:t>
      </w:r>
      <w:proofErr w:type="spellEnd"/>
      <w:r w:rsidRPr="00E84485">
        <w:rPr>
          <w:color w:val="000000" w:themeColor="text1"/>
        </w:rPr>
        <w:t>, Warszawa, 1997</w:t>
      </w:r>
    </w:p>
    <w:p w:rsidR="00683496" w:rsidRPr="00E84485" w:rsidRDefault="00683496" w:rsidP="002122BD">
      <w:pPr>
        <w:numPr>
          <w:ilvl w:val="0"/>
          <w:numId w:val="58"/>
        </w:numPr>
        <w:spacing w:before="120"/>
        <w:jc w:val="both"/>
        <w:rPr>
          <w:color w:val="000000" w:themeColor="text1"/>
        </w:rPr>
      </w:pPr>
      <w:r w:rsidRPr="00E84485">
        <w:rPr>
          <w:color w:val="000000" w:themeColor="text1"/>
        </w:rPr>
        <w:t xml:space="preserve"> Katalog typowych konstrukcji nawierzchni sztywnych, </w:t>
      </w:r>
      <w:proofErr w:type="spellStart"/>
      <w:r w:rsidRPr="00E84485">
        <w:rPr>
          <w:color w:val="000000" w:themeColor="text1"/>
        </w:rPr>
        <w:t>IBDiM</w:t>
      </w:r>
      <w:proofErr w:type="spellEnd"/>
      <w:r w:rsidRPr="00E84485">
        <w:rPr>
          <w:color w:val="000000" w:themeColor="text1"/>
        </w:rPr>
        <w:t>, Warszawa, 2001</w:t>
      </w:r>
    </w:p>
    <w:p w:rsidR="00683496" w:rsidRPr="00E84485" w:rsidRDefault="00683496" w:rsidP="002122BD">
      <w:pPr>
        <w:numPr>
          <w:ilvl w:val="0"/>
          <w:numId w:val="58"/>
        </w:numPr>
        <w:spacing w:before="120"/>
        <w:jc w:val="both"/>
        <w:rPr>
          <w:color w:val="000000" w:themeColor="text1"/>
        </w:rPr>
      </w:pPr>
      <w:r w:rsidRPr="00E84485">
        <w:rPr>
          <w:color w:val="000000" w:themeColor="text1"/>
        </w:rPr>
        <w:t xml:space="preserve"> WT/MK-CZDP84. Wytyczne techniczne oceny jakości grysów i żwirów kruszonych z naturalnie rozdrobnionego surowca skalnego przeznaczonych do nawierzchni drogowych, CZDP, Warszawa, 1984</w:t>
      </w:r>
    </w:p>
    <w:p w:rsidR="00683496" w:rsidRDefault="00683496"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Default="00234EE1" w:rsidP="00683496">
      <w:pPr>
        <w:jc w:val="both"/>
        <w:rPr>
          <w:b/>
          <w:color w:val="000000" w:themeColor="text1"/>
          <w:sz w:val="28"/>
        </w:rPr>
      </w:pPr>
    </w:p>
    <w:p w:rsidR="00234EE1" w:rsidRPr="00E84485" w:rsidRDefault="00234EE1" w:rsidP="00683496">
      <w:pPr>
        <w:jc w:val="both"/>
        <w:rPr>
          <w:b/>
          <w:color w:val="000000" w:themeColor="text1"/>
          <w:sz w:val="28"/>
        </w:rPr>
      </w:pPr>
    </w:p>
    <w:p w:rsidR="00683496" w:rsidRDefault="00683496" w:rsidP="00683496">
      <w:pPr>
        <w:rPr>
          <w:b/>
          <w:sz w:val="27"/>
        </w:rPr>
      </w:pPr>
      <w:bookmarkStart w:id="425" w:name="_Hlk15765464"/>
      <w:r>
        <w:rPr>
          <w:b/>
          <w:sz w:val="28"/>
        </w:rPr>
        <w:lastRenderedPageBreak/>
        <w:t xml:space="preserve">D - 05.03.23a   NAWIERZCHNIA  </w:t>
      </w:r>
      <w:r>
        <w:rPr>
          <w:b/>
          <w:sz w:val="27"/>
        </w:rPr>
        <w:t xml:space="preserve">Z  BETONOWEJ  KOSTKI       </w:t>
      </w:r>
    </w:p>
    <w:p w:rsidR="00683496" w:rsidRDefault="00683496" w:rsidP="00683496">
      <w:pPr>
        <w:rPr>
          <w:b/>
          <w:sz w:val="27"/>
        </w:rPr>
      </w:pPr>
      <w:r>
        <w:rPr>
          <w:b/>
          <w:sz w:val="27"/>
        </w:rPr>
        <w:t xml:space="preserve">                           BRUKOWEJ  DLA  DRÓG  I  ULIC ORAZ  PLACÓW</w:t>
      </w:r>
    </w:p>
    <w:p w:rsidR="00683496" w:rsidRPr="002B136E" w:rsidRDefault="00683496" w:rsidP="00683496">
      <w:pPr>
        <w:rPr>
          <w:b/>
          <w:sz w:val="28"/>
        </w:rPr>
      </w:pPr>
      <w:r>
        <w:rPr>
          <w:b/>
          <w:sz w:val="27"/>
        </w:rPr>
        <w:t xml:space="preserve">                           I  CHODNIKÓW</w:t>
      </w:r>
    </w:p>
    <w:bookmarkEnd w:id="425"/>
    <w:p w:rsidR="00683496" w:rsidRDefault="00683496" w:rsidP="00683496">
      <w:pPr>
        <w:jc w:val="both"/>
        <w:rPr>
          <w:b/>
          <w:sz w:val="28"/>
        </w:rPr>
      </w:pPr>
    </w:p>
    <w:p w:rsidR="00683496" w:rsidRDefault="00683496" w:rsidP="00683496">
      <w:pPr>
        <w:pStyle w:val="Nagwek1"/>
      </w:pPr>
      <w:bookmarkStart w:id="426" w:name="_Toc107903636"/>
      <w:r>
        <w:t>1. WSTĘP</w:t>
      </w:r>
      <w:bookmarkEnd w:id="426"/>
    </w:p>
    <w:p w:rsidR="00683496" w:rsidRDefault="00683496" w:rsidP="00683496">
      <w:pPr>
        <w:pStyle w:val="Nagwek2"/>
      </w:pPr>
      <w:r>
        <w:t>1.1. Przedmiot SST</w:t>
      </w:r>
    </w:p>
    <w:p w:rsidR="00683496" w:rsidRDefault="00683496" w:rsidP="00683496">
      <w:pPr>
        <w:pStyle w:val="Standardowytekst"/>
      </w:pPr>
      <w:r>
        <w:tab/>
        <w:t>Przedmiotem niniejszej szczegółowej specyfikacji technicznej (SST) są wymagania dotyczące wykonania i odbioru robót związanych z wykonaniem nawierzchni z betonowej kostki brukowej.</w:t>
      </w:r>
    </w:p>
    <w:p w:rsidR="00683496" w:rsidRDefault="00683496" w:rsidP="00683496">
      <w:pPr>
        <w:pStyle w:val="Nagwek2"/>
      </w:pPr>
      <w:r>
        <w:t>1.2. Zakres stosowania SST</w:t>
      </w:r>
    </w:p>
    <w:p w:rsidR="00683496" w:rsidRDefault="00683496" w:rsidP="00683496">
      <w:pPr>
        <w:pStyle w:val="Standardowytekst"/>
      </w:pPr>
      <w:r>
        <w:tab/>
        <w:t xml:space="preserve">Szczegółowa specyfikacja techniczna (SST) stanowi podstawę opracowania szczegółowej specyfikacji technicznej (SST) stosowanej jako dokument przetargowy i kontraktowy przy zlecaniu i realizacji robót na lokalnych drogach, ulicach, </w:t>
      </w:r>
      <w:proofErr w:type="spellStart"/>
      <w:r>
        <w:t>placacach</w:t>
      </w:r>
      <w:proofErr w:type="spellEnd"/>
      <w:r>
        <w:t xml:space="preserve"> i chodnikach.</w:t>
      </w:r>
    </w:p>
    <w:p w:rsidR="00683496" w:rsidRDefault="00683496" w:rsidP="00683496">
      <w:pPr>
        <w:pStyle w:val="Nagwek2"/>
      </w:pPr>
      <w:r>
        <w:t>1.3. Zakres robót objętych SST</w:t>
      </w:r>
    </w:p>
    <w:p w:rsidR="00683496" w:rsidRDefault="00683496" w:rsidP="00683496">
      <w:r>
        <w:tab/>
        <w:t>Ustalenia zawarte w niniejszej specyfikacji dotyczą zasad prowadzenia robót związanych z wykonaniem i odbiorem nawierzchni z betonowej kostki brukowej.</w:t>
      </w:r>
    </w:p>
    <w:p w:rsidR="00683496" w:rsidRDefault="00683496" w:rsidP="00683496">
      <w:r>
        <w:tab/>
        <w:t>Betonową kostkę brukową stosuje się do nawierzchni:</w:t>
      </w:r>
    </w:p>
    <w:p w:rsidR="00683496" w:rsidRDefault="00683496" w:rsidP="00683496">
      <w:pPr>
        <w:numPr>
          <w:ilvl w:val="0"/>
          <w:numId w:val="1"/>
        </w:numPr>
        <w:overflowPunct w:val="0"/>
        <w:autoSpaceDE w:val="0"/>
        <w:autoSpaceDN w:val="0"/>
        <w:adjustRightInd w:val="0"/>
        <w:jc w:val="both"/>
        <w:textAlignment w:val="baseline"/>
      </w:pPr>
      <w:r>
        <w:t xml:space="preserve">chodników, </w:t>
      </w:r>
    </w:p>
    <w:p w:rsidR="00683496" w:rsidRDefault="00683496" w:rsidP="00683496">
      <w:pPr>
        <w:overflowPunct w:val="0"/>
        <w:autoSpaceDE w:val="0"/>
        <w:autoSpaceDN w:val="0"/>
        <w:adjustRightInd w:val="0"/>
        <w:jc w:val="both"/>
        <w:textAlignment w:val="baseline"/>
      </w:pPr>
    </w:p>
    <w:p w:rsidR="00683496" w:rsidRDefault="00683496" w:rsidP="00683496">
      <w:pPr>
        <w:pStyle w:val="Nagwek2"/>
      </w:pPr>
      <w:r>
        <w:t>1.4. Określenia podstawowe</w:t>
      </w:r>
    </w:p>
    <w:p w:rsidR="00683496" w:rsidRDefault="00683496" w:rsidP="00683496">
      <w:r>
        <w:rPr>
          <w:b/>
        </w:rPr>
        <w:t xml:space="preserve">1.4.1. </w:t>
      </w:r>
      <w:r>
        <w:t xml:space="preserve">Betonowa kostka brukowa - prefabrykowany element budowlany, przeznaczony do budowy warstwy ścieralnej nawierzchni, wykonany metodą </w:t>
      </w:r>
      <w:proofErr w:type="spellStart"/>
      <w:r>
        <w:t>wibroprasowania</w:t>
      </w:r>
      <w:proofErr w:type="spellEnd"/>
      <w:r>
        <w:t xml:space="preserve"> z betonu niezbrojonego niebarwionego lub barwionego, jedno- lub dwuwarstwowego, charakteryzujący się kształtem, który umożliwia wzajemne przystawanie elementów.</w:t>
      </w:r>
    </w:p>
    <w:p w:rsidR="00683496" w:rsidRDefault="00683496" w:rsidP="00683496">
      <w:pPr>
        <w:spacing w:before="120"/>
      </w:pPr>
      <w:r>
        <w:rPr>
          <w:b/>
        </w:rPr>
        <w:t xml:space="preserve">1.4.2. </w:t>
      </w:r>
      <w:r>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t>1,0 m</w:t>
        </w:r>
      </w:smartTag>
      <w:r>
        <w:t>.</w:t>
      </w:r>
    </w:p>
    <w:p w:rsidR="00683496" w:rsidRDefault="00683496" w:rsidP="00683496">
      <w:pPr>
        <w:spacing w:before="120"/>
      </w:pPr>
      <w:r>
        <w:rPr>
          <w:b/>
        </w:rPr>
        <w:t xml:space="preserve">1.4.4. </w:t>
      </w:r>
      <w:r>
        <w:t>Obrzeże - element budowlany, oddzielający nawierzchnie chodników i ciągów pieszych od terenów nie przeznaczonych  do komunikacji.</w:t>
      </w:r>
    </w:p>
    <w:p w:rsidR="00683496" w:rsidRDefault="00683496" w:rsidP="00683496">
      <w:pPr>
        <w:spacing w:before="120"/>
      </w:pPr>
      <w:r>
        <w:rPr>
          <w:b/>
        </w:rPr>
        <w:t xml:space="preserve">1.4.5. </w:t>
      </w:r>
      <w:r>
        <w:t>Spoina - odstęp pomiędzy przylegającymi elementami (kostkami) wypełniony określonymi materiałami wypełniającymi.</w:t>
      </w:r>
    </w:p>
    <w:p w:rsidR="00683496" w:rsidRDefault="00683496" w:rsidP="00683496">
      <w:pPr>
        <w:spacing w:before="120"/>
      </w:pPr>
      <w:r>
        <w:rPr>
          <w:b/>
        </w:rPr>
        <w:t xml:space="preserve">1.4.7. </w:t>
      </w:r>
      <w:r>
        <w:t>Pozostałe określenia podstawowe są zgodne z obowiązującymi, odpowiednimi polskimi normami i z definicjami podanymi w SST D-00.00.00 „Wymagania ogólne” [9] pkt 1.4.</w:t>
      </w:r>
    </w:p>
    <w:p w:rsidR="00683496" w:rsidRDefault="00683496" w:rsidP="00683496">
      <w:pPr>
        <w:pStyle w:val="Nagwek2"/>
      </w:pPr>
      <w:r>
        <w:t xml:space="preserve">1.5. Ogólne wymagania dotyczące robót </w:t>
      </w:r>
    </w:p>
    <w:p w:rsidR="00683496" w:rsidRDefault="00683496" w:rsidP="00683496">
      <w:r>
        <w:tab/>
        <w:t>Ogólne wymagania dotyczące robót podano w SST D-00.00.00 „Wymagania ogólne” [9] pkt 1.5.</w:t>
      </w:r>
    </w:p>
    <w:p w:rsidR="00683496" w:rsidRDefault="00683496" w:rsidP="00683496">
      <w:pPr>
        <w:pStyle w:val="Nagwek1"/>
      </w:pPr>
      <w:bookmarkStart w:id="427" w:name="_Toc421686544"/>
      <w:bookmarkStart w:id="428" w:name="_Toc107903637"/>
      <w:r>
        <w:t>2. materiały</w:t>
      </w:r>
      <w:bookmarkEnd w:id="427"/>
      <w:bookmarkEnd w:id="428"/>
    </w:p>
    <w:p w:rsidR="00683496" w:rsidRDefault="00683496" w:rsidP="00683496">
      <w:pPr>
        <w:pStyle w:val="Nagwek2"/>
      </w:pPr>
      <w:r>
        <w:t>2.1. Ogólne wymagania dotyczące materiałów</w:t>
      </w:r>
    </w:p>
    <w:p w:rsidR="00683496" w:rsidRDefault="00683496" w:rsidP="00683496">
      <w:r>
        <w:tab/>
        <w:t>Ogólne wymagania dotyczące materiałów, ich pozyskiwania i składowania, podano w SST D-00.00.00 „Wymagania ogólne” [9] pkt 2.</w:t>
      </w:r>
    </w:p>
    <w:p w:rsidR="00683496" w:rsidRDefault="00683496" w:rsidP="00683496">
      <w:pPr>
        <w:pStyle w:val="Nagwek2"/>
      </w:pPr>
      <w:r>
        <w:t xml:space="preserve">2.2. Betonowa kostka brukowa  </w:t>
      </w:r>
    </w:p>
    <w:p w:rsidR="00683496" w:rsidRDefault="00683496" w:rsidP="00683496">
      <w:pPr>
        <w:spacing w:after="120"/>
      </w:pPr>
      <w:r>
        <w:rPr>
          <w:b/>
        </w:rPr>
        <w:t xml:space="preserve">2.2.1. </w:t>
      </w:r>
      <w:r>
        <w:t>Klasyfikacja betonowych kostek brukowych</w:t>
      </w:r>
    </w:p>
    <w:p w:rsidR="00683496" w:rsidRDefault="00683496" w:rsidP="00683496">
      <w:r>
        <w:tab/>
        <w:t>Betonowa kostka brukowa może mieć następujące cechy charakterystyczne, określone w katalogu producenta:</w:t>
      </w:r>
    </w:p>
    <w:p w:rsidR="00683496" w:rsidRDefault="00683496" w:rsidP="002122BD">
      <w:pPr>
        <w:numPr>
          <w:ilvl w:val="0"/>
          <w:numId w:val="59"/>
        </w:numPr>
        <w:overflowPunct w:val="0"/>
        <w:autoSpaceDE w:val="0"/>
        <w:autoSpaceDN w:val="0"/>
        <w:adjustRightInd w:val="0"/>
        <w:jc w:val="both"/>
        <w:textAlignment w:val="baseline"/>
      </w:pPr>
      <w:r>
        <w:t>odmianę:</w:t>
      </w:r>
    </w:p>
    <w:p w:rsidR="00683496" w:rsidRDefault="00683496" w:rsidP="002122BD">
      <w:pPr>
        <w:numPr>
          <w:ilvl w:val="0"/>
          <w:numId w:val="60"/>
        </w:numPr>
        <w:overflowPunct w:val="0"/>
        <w:autoSpaceDE w:val="0"/>
        <w:autoSpaceDN w:val="0"/>
        <w:adjustRightInd w:val="0"/>
        <w:jc w:val="both"/>
        <w:textAlignment w:val="baseline"/>
      </w:pPr>
      <w:r>
        <w:t>kostka jednowarstwowa (z jednego rodzaju betonu),</w:t>
      </w:r>
    </w:p>
    <w:p w:rsidR="00683496" w:rsidRDefault="00683496" w:rsidP="002122BD">
      <w:pPr>
        <w:numPr>
          <w:ilvl w:val="0"/>
          <w:numId w:val="60"/>
        </w:numPr>
        <w:overflowPunct w:val="0"/>
        <w:autoSpaceDE w:val="0"/>
        <w:autoSpaceDN w:val="0"/>
        <w:adjustRightInd w:val="0"/>
        <w:jc w:val="both"/>
        <w:textAlignment w:val="baseline"/>
      </w:pPr>
      <w:r>
        <w:t xml:space="preserve">kostka dwuwarstwowa (z betonu warstwy spodniej konstrukcyjnej i warstwy ścieralnej (górnej) zwykle barwionej grubości min. </w:t>
      </w:r>
      <w:smartTag w:uri="urn:schemas-microsoft-com:office:smarttags" w:element="metricconverter">
        <w:smartTagPr>
          <w:attr w:name="ProductID" w:val="4 mm"/>
        </w:smartTagPr>
        <w:r>
          <w:t>4 mm</w:t>
        </w:r>
      </w:smartTag>
      <w:r>
        <w:t>,</w:t>
      </w:r>
    </w:p>
    <w:p w:rsidR="00683496" w:rsidRDefault="00683496" w:rsidP="002122BD">
      <w:pPr>
        <w:numPr>
          <w:ilvl w:val="0"/>
          <w:numId w:val="59"/>
        </w:numPr>
        <w:overflowPunct w:val="0"/>
        <w:autoSpaceDE w:val="0"/>
        <w:autoSpaceDN w:val="0"/>
        <w:adjustRightInd w:val="0"/>
        <w:jc w:val="both"/>
        <w:textAlignment w:val="baseline"/>
      </w:pPr>
      <w:r>
        <w:t>barwę:</w:t>
      </w:r>
    </w:p>
    <w:p w:rsidR="00683496" w:rsidRDefault="00683496" w:rsidP="002122BD">
      <w:pPr>
        <w:numPr>
          <w:ilvl w:val="0"/>
          <w:numId w:val="61"/>
        </w:numPr>
        <w:overflowPunct w:val="0"/>
        <w:autoSpaceDE w:val="0"/>
        <w:autoSpaceDN w:val="0"/>
        <w:adjustRightInd w:val="0"/>
        <w:jc w:val="both"/>
        <w:textAlignment w:val="baseline"/>
      </w:pPr>
      <w:r>
        <w:t>kostka szara, z betonu niebarwionego,</w:t>
      </w:r>
    </w:p>
    <w:p w:rsidR="00683496" w:rsidRDefault="00683496" w:rsidP="002122BD">
      <w:pPr>
        <w:numPr>
          <w:ilvl w:val="0"/>
          <w:numId w:val="61"/>
        </w:numPr>
        <w:overflowPunct w:val="0"/>
        <w:autoSpaceDE w:val="0"/>
        <w:autoSpaceDN w:val="0"/>
        <w:adjustRightInd w:val="0"/>
        <w:jc w:val="both"/>
        <w:textAlignment w:val="baseline"/>
      </w:pPr>
      <w:r>
        <w:t>kostka kolorowa, z betonu barwionego,</w:t>
      </w:r>
    </w:p>
    <w:p w:rsidR="00683496" w:rsidRDefault="00683496" w:rsidP="002122BD">
      <w:pPr>
        <w:numPr>
          <w:ilvl w:val="0"/>
          <w:numId w:val="59"/>
        </w:numPr>
        <w:overflowPunct w:val="0"/>
        <w:autoSpaceDE w:val="0"/>
        <w:autoSpaceDN w:val="0"/>
        <w:adjustRightInd w:val="0"/>
        <w:jc w:val="both"/>
        <w:textAlignment w:val="baseline"/>
      </w:pPr>
      <w:r>
        <w:t>wzór (kształt) kostki: zgodny z kształtami określonymi przez producenta (przykłady podano w załączniku 1),</w:t>
      </w:r>
    </w:p>
    <w:p w:rsidR="00683496" w:rsidRDefault="00683496" w:rsidP="002122BD">
      <w:pPr>
        <w:numPr>
          <w:ilvl w:val="0"/>
          <w:numId w:val="59"/>
        </w:numPr>
        <w:overflowPunct w:val="0"/>
        <w:autoSpaceDE w:val="0"/>
        <w:autoSpaceDN w:val="0"/>
        <w:adjustRightInd w:val="0"/>
        <w:jc w:val="both"/>
        <w:textAlignment w:val="baseline"/>
      </w:pPr>
      <w:r>
        <w:lastRenderedPageBreak/>
        <w:t>wymiary, zgodne z wymiarami określonymi przez producenta, w zasadzie:</w:t>
      </w:r>
    </w:p>
    <w:p w:rsidR="00683496" w:rsidRDefault="00683496" w:rsidP="002122BD">
      <w:pPr>
        <w:numPr>
          <w:ilvl w:val="0"/>
          <w:numId w:val="62"/>
        </w:numPr>
        <w:overflowPunct w:val="0"/>
        <w:autoSpaceDE w:val="0"/>
        <w:autoSpaceDN w:val="0"/>
        <w:adjustRightInd w:val="0"/>
        <w:ind w:left="283" w:firstLine="1"/>
        <w:jc w:val="both"/>
        <w:textAlignment w:val="baseline"/>
      </w:pPr>
      <w:r>
        <w:t xml:space="preserve">długość: od </w:t>
      </w:r>
      <w:smartTag w:uri="urn:schemas-microsoft-com:office:smarttags" w:element="metricconverter">
        <w:smartTagPr>
          <w:attr w:name="ProductID" w:val="140 mm"/>
        </w:smartTagPr>
        <w:r>
          <w:t>140 mm</w:t>
        </w:r>
      </w:smartTag>
      <w:r>
        <w:t xml:space="preserve"> do </w:t>
      </w:r>
      <w:smartTag w:uri="urn:schemas-microsoft-com:office:smarttags" w:element="metricconverter">
        <w:smartTagPr>
          <w:attr w:name="ProductID" w:val="280 mm"/>
        </w:smartTagPr>
        <w:r>
          <w:t>280 mm</w:t>
        </w:r>
      </w:smartTag>
      <w:r>
        <w:t>,</w:t>
      </w:r>
    </w:p>
    <w:p w:rsidR="00683496" w:rsidRDefault="00683496" w:rsidP="002122BD">
      <w:pPr>
        <w:numPr>
          <w:ilvl w:val="0"/>
          <w:numId w:val="62"/>
        </w:numPr>
        <w:overflowPunct w:val="0"/>
        <w:autoSpaceDE w:val="0"/>
        <w:autoSpaceDN w:val="0"/>
        <w:adjustRightInd w:val="0"/>
        <w:ind w:left="283" w:firstLine="1"/>
        <w:jc w:val="both"/>
        <w:textAlignment w:val="baseline"/>
      </w:pPr>
      <w:r>
        <w:t xml:space="preserve">szerokość: od 0,5 do 1,0 wymiaru długości, lecz nie mniej niż </w:t>
      </w:r>
      <w:smartTag w:uri="urn:schemas-microsoft-com:office:smarttags" w:element="metricconverter">
        <w:smartTagPr>
          <w:attr w:name="ProductID" w:val="100 mm"/>
        </w:smartTagPr>
        <w:r>
          <w:t>100 mm</w:t>
        </w:r>
      </w:smartTag>
      <w:r>
        <w:t>,</w:t>
      </w:r>
    </w:p>
    <w:p w:rsidR="00683496" w:rsidRDefault="00683496" w:rsidP="002122BD">
      <w:pPr>
        <w:numPr>
          <w:ilvl w:val="0"/>
          <w:numId w:val="62"/>
        </w:numPr>
        <w:overflowPunct w:val="0"/>
        <w:autoSpaceDE w:val="0"/>
        <w:autoSpaceDN w:val="0"/>
        <w:adjustRightInd w:val="0"/>
        <w:jc w:val="both"/>
        <w:textAlignment w:val="baseline"/>
      </w:pPr>
      <w:r>
        <w:t xml:space="preserve">grubość: od </w:t>
      </w:r>
      <w:smartTag w:uri="urn:schemas-microsoft-com:office:smarttags" w:element="metricconverter">
        <w:smartTagPr>
          <w:attr w:name="ProductID" w:val="40 mm"/>
        </w:smartTagPr>
        <w:r>
          <w:t>40 mm</w:t>
        </w:r>
      </w:smartTag>
      <w:r>
        <w:t xml:space="preserve"> do </w:t>
      </w:r>
      <w:smartTag w:uri="urn:schemas-microsoft-com:office:smarttags" w:element="metricconverter">
        <w:smartTagPr>
          <w:attr w:name="ProductID" w:val="140 mm"/>
        </w:smartTagPr>
        <w:r>
          <w:t>140 mm</w:t>
        </w:r>
      </w:smartTag>
      <w:r>
        <w:t xml:space="preserve">, przy czym zalecanymi grubościami są: </w:t>
      </w:r>
      <w:smartTag w:uri="urn:schemas-microsoft-com:office:smarttags" w:element="metricconverter">
        <w:smartTagPr>
          <w:attr w:name="ProductID" w:val="60 mm"/>
        </w:smartTagPr>
        <w:r>
          <w:t>60 mm</w:t>
        </w:r>
      </w:smartTag>
      <w:r>
        <w:t xml:space="preserve">,         </w:t>
      </w:r>
      <w:smartTag w:uri="urn:schemas-microsoft-com:office:smarttags" w:element="metricconverter">
        <w:smartTagPr>
          <w:attr w:name="ProductID" w:val="80 mm"/>
        </w:smartTagPr>
        <w:r>
          <w:t>80 mm</w:t>
        </w:r>
      </w:smartTag>
      <w:r>
        <w:t xml:space="preserve"> i </w:t>
      </w:r>
      <w:smartTag w:uri="urn:schemas-microsoft-com:office:smarttags" w:element="metricconverter">
        <w:smartTagPr>
          <w:attr w:name="ProductID" w:val="100 mm"/>
        </w:smartTagPr>
        <w:r>
          <w:t>100 mm</w:t>
        </w:r>
      </w:smartTag>
      <w:r>
        <w:t xml:space="preserve"> (zalecane grubości kostek podano w załączniku 2).</w:t>
      </w:r>
    </w:p>
    <w:p w:rsidR="00683496" w:rsidRDefault="00683496" w:rsidP="00683496">
      <w:pPr>
        <w:ind w:left="284" w:hanging="284"/>
      </w:pPr>
      <w:r>
        <w:t xml:space="preserve"> </w:t>
      </w:r>
      <w:r>
        <w:tab/>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t>1,0 m</w:t>
        </w:r>
      </w:smartTag>
      <w:r>
        <w:t xml:space="preserve"> lub </w:t>
      </w:r>
      <w:smartTag w:uri="urn:schemas-microsoft-com:office:smarttags" w:element="metricconverter">
        <w:smartTagPr>
          <w:attr w:name="ProductID" w:val="1,5 m"/>
        </w:smartTagPr>
        <w:r>
          <w:t>1,5 m</w:t>
        </w:r>
      </w:smartTag>
      <w:r>
        <w:t xml:space="preserve"> bez konieczności przecinania elementów w trakcie ich wbudowywania w nawierzchnię.</w:t>
      </w:r>
    </w:p>
    <w:p w:rsidR="00683496" w:rsidRDefault="00683496" w:rsidP="00683496">
      <w:r>
        <w:tab/>
        <w:t>Kostki mogą być produkowane z wypustkami dystansowymi na powierzchniach bocznych oraz z ukosowanymi krawędziami górnymi.</w:t>
      </w:r>
    </w:p>
    <w:p w:rsidR="00683496" w:rsidRDefault="00683496" w:rsidP="00683496">
      <w:pPr>
        <w:spacing w:before="120" w:after="120"/>
      </w:pPr>
      <w:r>
        <w:rPr>
          <w:b/>
        </w:rPr>
        <w:t xml:space="preserve">2.2.2. </w:t>
      </w:r>
      <w:r>
        <w:t>Wymagania techniczne stawiane betonowym kostkom brukowym</w:t>
      </w:r>
    </w:p>
    <w:p w:rsidR="00683496" w:rsidRDefault="00683496" w:rsidP="00683496">
      <w:pPr>
        <w:tabs>
          <w:tab w:val="left" w:pos="709"/>
        </w:tabs>
        <w:spacing w:after="120"/>
      </w:pPr>
      <w:r>
        <w:tab/>
      </w:r>
      <w:r>
        <w:tab/>
        <w:t>Wymagania techniczne stawiane betonowym kostkom brukowym stosowanym na nawierzchniach dróg, ulic, chodników itp. określa PN-EN 1338 [2] w sposób przedstawiony w tablicy 1.</w:t>
      </w:r>
    </w:p>
    <w:p w:rsidR="00683496" w:rsidRDefault="00683496" w:rsidP="00683496">
      <w:pPr>
        <w:tabs>
          <w:tab w:val="left" w:pos="709"/>
        </w:tabs>
        <w:ind w:left="851" w:hanging="851"/>
      </w:pPr>
      <w:r>
        <w:t>Tablica 1. Wymagania wobec betonowej kostki brukowej, ustalone w PN-EN 1338 [2] do stosowania na zewnętrznych nawierzchniach, mających kontakt z solą odladzającą w warunkach mrozu</w:t>
      </w:r>
      <w:r>
        <w:tab/>
      </w:r>
    </w:p>
    <w:p w:rsidR="00683496" w:rsidRDefault="00683496" w:rsidP="00683496">
      <w:pPr>
        <w:ind w:left="284" w:hanging="284"/>
      </w:pPr>
    </w:p>
    <w:tbl>
      <w:tblPr>
        <w:tblW w:w="7655" w:type="dxa"/>
        <w:tblInd w:w="-34" w:type="dxa"/>
        <w:tblLayout w:type="fixed"/>
        <w:tblLook w:val="01E0" w:firstRow="1" w:lastRow="1" w:firstColumn="1" w:lastColumn="1" w:noHBand="0" w:noVBand="0"/>
      </w:tblPr>
      <w:tblGrid>
        <w:gridCol w:w="568"/>
        <w:gridCol w:w="2693"/>
        <w:gridCol w:w="850"/>
        <w:gridCol w:w="1701"/>
        <w:gridCol w:w="567"/>
        <w:gridCol w:w="1276"/>
      </w:tblGrid>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120"/>
              <w:jc w:val="center"/>
              <w:textAlignment w:val="baseline"/>
              <w:rPr>
                <w:sz w:val="16"/>
                <w:szCs w:val="16"/>
              </w:rPr>
            </w:pPr>
            <w:r w:rsidRPr="002D54D6">
              <w:rPr>
                <w:sz w:val="16"/>
                <w:szCs w:val="16"/>
              </w:rPr>
              <w:t>Lp.</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120"/>
              <w:jc w:val="center"/>
              <w:textAlignment w:val="baseline"/>
              <w:rPr>
                <w:sz w:val="16"/>
                <w:szCs w:val="16"/>
              </w:rPr>
            </w:pPr>
            <w:r w:rsidRPr="002D54D6">
              <w:rPr>
                <w:sz w:val="16"/>
                <w:szCs w:val="16"/>
              </w:rPr>
              <w:t>Cecha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Załącznik normy</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120"/>
              <w:jc w:val="center"/>
              <w:textAlignment w:val="baseline"/>
              <w:rPr>
                <w:sz w:val="16"/>
                <w:szCs w:val="16"/>
              </w:rPr>
            </w:pPr>
            <w:r w:rsidRPr="002D54D6">
              <w:rPr>
                <w:sz w:val="16"/>
                <w:szCs w:val="16"/>
              </w:rPr>
              <w:t>Wymaganie</w:t>
            </w:r>
          </w:p>
        </w:tc>
      </w:tr>
      <w:tr w:rsidR="00683496" w:rsidRPr="002D54D6" w:rsidTr="00683496">
        <w:tc>
          <w:tcPr>
            <w:tcW w:w="568" w:type="dxa"/>
            <w:tcBorders>
              <w:top w:val="single" w:sz="4" w:space="0" w:color="auto"/>
              <w:left w:val="single" w:sz="4" w:space="0" w:color="auto"/>
              <w:bottom w:val="doub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1</w:t>
            </w:r>
          </w:p>
        </w:tc>
        <w:tc>
          <w:tcPr>
            <w:tcW w:w="2693" w:type="dxa"/>
            <w:tcBorders>
              <w:top w:val="single" w:sz="4" w:space="0" w:color="auto"/>
              <w:left w:val="single" w:sz="4" w:space="0" w:color="auto"/>
              <w:bottom w:val="doub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2</w:t>
            </w:r>
          </w:p>
        </w:tc>
        <w:tc>
          <w:tcPr>
            <w:tcW w:w="850" w:type="dxa"/>
            <w:tcBorders>
              <w:top w:val="single" w:sz="4" w:space="0" w:color="auto"/>
              <w:left w:val="single" w:sz="4" w:space="0" w:color="auto"/>
              <w:bottom w:val="doub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3</w:t>
            </w:r>
          </w:p>
        </w:tc>
        <w:tc>
          <w:tcPr>
            <w:tcW w:w="3544" w:type="dxa"/>
            <w:gridSpan w:val="3"/>
            <w:tcBorders>
              <w:top w:val="single" w:sz="4" w:space="0" w:color="auto"/>
              <w:left w:val="single" w:sz="4" w:space="0" w:color="auto"/>
              <w:bottom w:val="doub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4</w:t>
            </w:r>
          </w:p>
        </w:tc>
      </w:tr>
      <w:tr w:rsidR="00683496" w:rsidRPr="002D54D6" w:rsidTr="00683496">
        <w:tc>
          <w:tcPr>
            <w:tcW w:w="568" w:type="dxa"/>
            <w:tcBorders>
              <w:top w:val="doub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center"/>
              <w:textAlignment w:val="baseline"/>
              <w:rPr>
                <w:sz w:val="16"/>
                <w:szCs w:val="16"/>
              </w:rPr>
            </w:pPr>
            <w:r w:rsidRPr="002D54D6">
              <w:rPr>
                <w:sz w:val="16"/>
                <w:szCs w:val="16"/>
              </w:rPr>
              <w:t>1</w:t>
            </w:r>
          </w:p>
        </w:tc>
        <w:tc>
          <w:tcPr>
            <w:tcW w:w="2693" w:type="dxa"/>
            <w:tcBorders>
              <w:top w:val="double" w:sz="4" w:space="0" w:color="auto"/>
              <w:left w:val="single" w:sz="4" w:space="0" w:color="auto"/>
              <w:bottom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both"/>
              <w:textAlignment w:val="baseline"/>
              <w:rPr>
                <w:sz w:val="16"/>
                <w:szCs w:val="16"/>
              </w:rPr>
            </w:pPr>
            <w:r w:rsidRPr="002D54D6">
              <w:rPr>
                <w:sz w:val="16"/>
                <w:szCs w:val="16"/>
              </w:rPr>
              <w:t>Kształt i wymiary</w:t>
            </w:r>
          </w:p>
        </w:tc>
        <w:tc>
          <w:tcPr>
            <w:tcW w:w="850" w:type="dxa"/>
            <w:tcBorders>
              <w:top w:val="double" w:sz="4" w:space="0" w:color="auto"/>
              <w:bottom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both"/>
              <w:textAlignment w:val="baseline"/>
              <w:rPr>
                <w:sz w:val="16"/>
                <w:szCs w:val="16"/>
              </w:rPr>
            </w:pPr>
          </w:p>
        </w:tc>
        <w:tc>
          <w:tcPr>
            <w:tcW w:w="3544" w:type="dxa"/>
            <w:gridSpan w:val="3"/>
            <w:tcBorders>
              <w:top w:val="double" w:sz="4" w:space="0" w:color="auto"/>
              <w:left w:val="nil"/>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both"/>
              <w:textAlignment w:val="baseline"/>
              <w:rPr>
                <w:sz w:val="16"/>
                <w:szCs w:val="16"/>
              </w:rPr>
            </w:pP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Dopuszczalne odchyłki w mm od zadeklarowanych wymiarów kostki,</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grubości                            &lt; </w:t>
            </w:r>
            <w:smartTag w:uri="urn:schemas-microsoft-com:office:smarttags" w:element="metricconverter">
              <w:smartTagPr>
                <w:attr w:name="ProductID" w:val="100 mm"/>
              </w:smartTagPr>
              <w:r w:rsidRPr="002D54D6">
                <w:rPr>
                  <w:sz w:val="16"/>
                  <w:szCs w:val="16"/>
                </w:rPr>
                <w:t>100 mm</w:t>
              </w:r>
            </w:smartTag>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 </w:t>
            </w:r>
            <w:smartTag w:uri="urn:schemas-microsoft-com:office:smarttags" w:element="metricconverter">
              <w:smartTagPr>
                <w:attr w:name="ProductID" w:val="100 mm"/>
              </w:smartTagPr>
              <w:r w:rsidRPr="002D54D6">
                <w:rPr>
                  <w:sz w:val="16"/>
                  <w:szCs w:val="16"/>
                </w:rPr>
                <w:t>100 mm</w:t>
              </w:r>
            </w:smartTag>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C</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Długość   Szerokość   Grubość</w:t>
            </w:r>
          </w:p>
          <w:p w:rsidR="00683496" w:rsidRPr="002D54D6" w:rsidRDefault="00683496" w:rsidP="00683496">
            <w:pPr>
              <w:overflowPunct w:val="0"/>
              <w:autoSpaceDE w:val="0"/>
              <w:autoSpaceDN w:val="0"/>
              <w:adjustRightInd w:val="0"/>
              <w:jc w:val="center"/>
              <w:textAlignment w:val="baseline"/>
              <w:rPr>
                <w:sz w:val="16"/>
                <w:szCs w:val="16"/>
              </w:rPr>
            </w:pP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 2            ± 2            ± 3</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 3            ± 3            ± 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textAlignment w:val="baseline"/>
              <w:rPr>
                <w:sz w:val="16"/>
                <w:szCs w:val="16"/>
              </w:rPr>
            </w:pPr>
            <w:r w:rsidRPr="002D54D6">
              <w:rPr>
                <w:sz w:val="16"/>
                <w:szCs w:val="16"/>
              </w:rPr>
              <w:t xml:space="preserve">Różnica </w:t>
            </w:r>
            <w:proofErr w:type="spellStart"/>
            <w:r w:rsidRPr="002D54D6">
              <w:rPr>
                <w:sz w:val="16"/>
                <w:szCs w:val="16"/>
              </w:rPr>
              <w:t>pomię-dzy</w:t>
            </w:r>
            <w:proofErr w:type="spellEnd"/>
            <w:r w:rsidRPr="002D54D6">
              <w:rPr>
                <w:sz w:val="16"/>
                <w:szCs w:val="16"/>
              </w:rPr>
              <w:t xml:space="preserve"> dwoma po-miarami </w:t>
            </w:r>
            <w:proofErr w:type="spellStart"/>
            <w:r w:rsidRPr="002D54D6">
              <w:rPr>
                <w:sz w:val="16"/>
                <w:szCs w:val="16"/>
              </w:rPr>
              <w:t>gru-bości</w:t>
            </w:r>
            <w:proofErr w:type="spellEnd"/>
            <w:r w:rsidRPr="002D54D6">
              <w:rPr>
                <w:sz w:val="16"/>
                <w:szCs w:val="16"/>
              </w:rPr>
              <w:t xml:space="preserve">, tej samej kostki, powinna być ≤ </w:t>
            </w:r>
            <w:smartTag w:uri="urn:schemas-microsoft-com:office:smarttags" w:element="metricconverter">
              <w:smartTagPr>
                <w:attr w:name="ProductID" w:val="3 mm"/>
              </w:smartTagPr>
              <w:r w:rsidRPr="002D54D6">
                <w:rPr>
                  <w:sz w:val="16"/>
                  <w:szCs w:val="16"/>
                </w:rPr>
                <w:t>3 mm</w:t>
              </w:r>
            </w:smartTag>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Odchyłki płaskości i pofalowania</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(jeśli maksymalne wymiary kostki</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&gt; </w:t>
            </w:r>
            <w:smartTag w:uri="urn:schemas-microsoft-com:office:smarttags" w:element="metricconverter">
              <w:smartTagPr>
                <w:attr w:name="ProductID" w:val="300 mm"/>
              </w:smartTagPr>
              <w:r w:rsidRPr="002D54D6">
                <w:rPr>
                  <w:sz w:val="16"/>
                  <w:szCs w:val="16"/>
                </w:rPr>
                <w:t>300 mm</w:t>
              </w:r>
            </w:smartTag>
            <w:r w:rsidRPr="002D54D6">
              <w:rPr>
                <w:sz w:val="16"/>
                <w:szCs w:val="16"/>
              </w:rPr>
              <w:t>), przy długości pomiarowej</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w:t>
            </w:r>
            <w:smartTag w:uri="urn:schemas-microsoft-com:office:smarttags" w:element="metricconverter">
              <w:smartTagPr>
                <w:attr w:name="ProductID" w:val="300 mm"/>
              </w:smartTagPr>
              <w:r w:rsidRPr="002D54D6">
                <w:rPr>
                  <w:sz w:val="16"/>
                  <w:szCs w:val="16"/>
                </w:rPr>
                <w:t>300 mm</w:t>
              </w:r>
            </w:smartTag>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w:t>
            </w:r>
            <w:smartTag w:uri="urn:schemas-microsoft-com:office:smarttags" w:element="metricconverter">
              <w:smartTagPr>
                <w:attr w:name="ProductID" w:val="400 mm"/>
              </w:smartTagPr>
              <w:r w:rsidRPr="002D54D6">
                <w:rPr>
                  <w:sz w:val="16"/>
                  <w:szCs w:val="16"/>
                </w:rPr>
                <w:t>400 mm</w:t>
              </w:r>
            </w:smartTag>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C</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Maksymalna (w mm)</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wypukłość                      wklęsłość</w:t>
            </w:r>
          </w:p>
          <w:p w:rsidR="00683496" w:rsidRPr="002D54D6" w:rsidRDefault="00683496" w:rsidP="00683496">
            <w:pPr>
              <w:overflowPunct w:val="0"/>
              <w:autoSpaceDE w:val="0"/>
              <w:autoSpaceDN w:val="0"/>
              <w:adjustRightInd w:val="0"/>
              <w:jc w:val="both"/>
              <w:textAlignment w:val="baseline"/>
              <w:rPr>
                <w:sz w:val="16"/>
                <w:szCs w:val="16"/>
              </w:rPr>
            </w:pP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1,5                                    1,0</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                 2,0                                    1,5</w:t>
            </w: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center"/>
              <w:textAlignment w:val="baseline"/>
              <w:rPr>
                <w:sz w:val="16"/>
                <w:szCs w:val="16"/>
              </w:rPr>
            </w:pPr>
            <w:r w:rsidRPr="002D54D6">
              <w:rPr>
                <w:sz w:val="16"/>
                <w:szCs w:val="16"/>
              </w:rPr>
              <w:t>2</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both"/>
              <w:textAlignment w:val="baseline"/>
              <w:rPr>
                <w:sz w:val="16"/>
                <w:szCs w:val="16"/>
              </w:rPr>
            </w:pPr>
            <w:r w:rsidRPr="002D54D6">
              <w:rPr>
                <w:sz w:val="16"/>
                <w:szCs w:val="16"/>
              </w:rPr>
              <w:t>Właściwości fizyczne i mechaniczne</w:t>
            </w: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Odporność na zamrażanie/rozmrażanie z udziałem soli odladzających (wg klasy 3, zał. D)</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D</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Ubytek masy po badaniu: wartość średnia ≤ 1,0 kg/m</w:t>
            </w:r>
            <w:r w:rsidRPr="002D54D6">
              <w:rPr>
                <w:sz w:val="16"/>
                <w:szCs w:val="16"/>
                <w:vertAlign w:val="superscript"/>
              </w:rPr>
              <w:t>2</w:t>
            </w:r>
            <w:r w:rsidRPr="002D54D6">
              <w:rPr>
                <w:sz w:val="16"/>
                <w:szCs w:val="16"/>
              </w:rPr>
              <w:t>, przy czym każdy pojedynczy wynik &lt; 1,5 kg/m</w:t>
            </w:r>
            <w:r w:rsidRPr="002D54D6">
              <w:rPr>
                <w:sz w:val="16"/>
                <w:szCs w:val="16"/>
                <w:vertAlign w:val="superscript"/>
              </w:rPr>
              <w:t>2</w:t>
            </w:r>
            <w:r w:rsidRPr="002D54D6">
              <w:rPr>
                <w:sz w:val="16"/>
                <w:szCs w:val="16"/>
              </w:rPr>
              <w:t xml:space="preserve"> </w:t>
            </w: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2.2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Wytrzymałość na rozciąganie przy rozłupywaniu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F</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Wytrzymałość charakterystyczna T ≥ 3,6 </w:t>
            </w:r>
            <w:proofErr w:type="spellStart"/>
            <w:r w:rsidRPr="002D54D6">
              <w:rPr>
                <w:sz w:val="16"/>
                <w:szCs w:val="16"/>
              </w:rPr>
              <w:t>MPa</w:t>
            </w:r>
            <w:proofErr w:type="spellEnd"/>
            <w:r w:rsidRPr="002D54D6">
              <w:rPr>
                <w:sz w:val="16"/>
                <w:szCs w:val="16"/>
              </w:rPr>
              <w:t xml:space="preserve">. Każdy pojedynczy wynik ≥ 2,9 </w:t>
            </w:r>
            <w:proofErr w:type="spellStart"/>
            <w:r w:rsidRPr="002D54D6">
              <w:rPr>
                <w:sz w:val="16"/>
                <w:szCs w:val="16"/>
              </w:rPr>
              <w:t>MPa</w:t>
            </w:r>
            <w:proofErr w:type="spellEnd"/>
            <w:r w:rsidRPr="002D54D6">
              <w:rPr>
                <w:sz w:val="16"/>
                <w:szCs w:val="16"/>
              </w:rPr>
              <w:t xml:space="preserve"> i nie powinien wykazywać obciążenia niszczącego mniejszego niż 250 N/mm długości rozłupania</w:t>
            </w: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2.3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textAlignment w:val="baseline"/>
              <w:rPr>
                <w:sz w:val="16"/>
                <w:szCs w:val="16"/>
              </w:rPr>
            </w:pPr>
            <w:r w:rsidRPr="002D54D6">
              <w:rPr>
                <w:sz w:val="16"/>
                <w:szCs w:val="16"/>
              </w:rPr>
              <w:t>Trwałość   (ze względu na wytrzyma-</w:t>
            </w:r>
            <w:proofErr w:type="spellStart"/>
            <w:r w:rsidRPr="002D54D6">
              <w:rPr>
                <w:sz w:val="16"/>
                <w:szCs w:val="16"/>
              </w:rPr>
              <w:t>łość</w:t>
            </w:r>
            <w:proofErr w:type="spellEnd"/>
            <w:r w:rsidRPr="002D54D6">
              <w:rPr>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F</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Kostki mają zadawalającą trwałość (wytrzymałość) jeśli spełnione są wymagania </w:t>
            </w:r>
            <w:proofErr w:type="spellStart"/>
            <w:r w:rsidRPr="002D54D6">
              <w:rPr>
                <w:sz w:val="16"/>
                <w:szCs w:val="16"/>
              </w:rPr>
              <w:t>pktu</w:t>
            </w:r>
            <w:proofErr w:type="spellEnd"/>
            <w:r w:rsidRPr="002D54D6">
              <w:rPr>
                <w:sz w:val="16"/>
                <w:szCs w:val="16"/>
              </w:rPr>
              <w:t xml:space="preserve"> 2.2 oraz istnieje normalna konserwacja</w:t>
            </w:r>
          </w:p>
        </w:tc>
      </w:tr>
      <w:tr w:rsidR="00683496" w:rsidRPr="002D54D6" w:rsidTr="00683496">
        <w:tc>
          <w:tcPr>
            <w:tcW w:w="568" w:type="dxa"/>
            <w:vMerge w:val="restart"/>
            <w:tcBorders>
              <w:top w:val="single" w:sz="4" w:space="0" w:color="auto"/>
              <w:left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2.4</w:t>
            </w:r>
          </w:p>
        </w:tc>
        <w:tc>
          <w:tcPr>
            <w:tcW w:w="2693" w:type="dxa"/>
            <w:vMerge w:val="restart"/>
            <w:tcBorders>
              <w:top w:val="single" w:sz="4" w:space="0" w:color="auto"/>
              <w:left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 xml:space="preserve">Odporność na ścieranie (wg klasy 3 </w:t>
            </w: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oznaczenia H normy)</w:t>
            </w:r>
          </w:p>
        </w:tc>
        <w:tc>
          <w:tcPr>
            <w:tcW w:w="850" w:type="dxa"/>
            <w:vMerge w:val="restart"/>
            <w:tcBorders>
              <w:top w:val="single" w:sz="4" w:space="0" w:color="auto"/>
              <w:left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G i H</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Pomiar wykonany na tarczy</w:t>
            </w:r>
          </w:p>
        </w:tc>
      </w:tr>
      <w:tr w:rsidR="00683496" w:rsidRPr="002D54D6" w:rsidTr="00683496">
        <w:tc>
          <w:tcPr>
            <w:tcW w:w="568" w:type="dxa"/>
            <w:vMerge/>
            <w:tcBorders>
              <w:left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p>
        </w:tc>
        <w:tc>
          <w:tcPr>
            <w:tcW w:w="2693" w:type="dxa"/>
            <w:vMerge/>
            <w:tcBorders>
              <w:left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p>
        </w:tc>
        <w:tc>
          <w:tcPr>
            <w:tcW w:w="850" w:type="dxa"/>
            <w:vMerge/>
            <w:tcBorders>
              <w:left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proofErr w:type="spellStart"/>
            <w:r w:rsidRPr="002D54D6">
              <w:rPr>
                <w:sz w:val="16"/>
                <w:szCs w:val="16"/>
              </w:rPr>
              <w:t>B</w:t>
            </w:r>
            <w:r w:rsidRPr="002D54D6">
              <w:rPr>
                <w:rFonts w:ascii="Arial" w:hAnsi="Arial" w:cs="Arial"/>
                <w:sz w:val="16"/>
                <w:szCs w:val="16"/>
              </w:rPr>
              <w:t>ö</w:t>
            </w:r>
            <w:r w:rsidRPr="002D54D6">
              <w:rPr>
                <w:sz w:val="16"/>
                <w:szCs w:val="16"/>
              </w:rPr>
              <w:t>hmego</w:t>
            </w:r>
            <w:proofErr w:type="spellEnd"/>
            <w:r w:rsidRPr="002D54D6">
              <w:rPr>
                <w:sz w:val="16"/>
                <w:szCs w:val="16"/>
              </w:rPr>
              <w:t>,</w:t>
            </w:r>
          </w:p>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 xml:space="preserve">wg zał. H </w:t>
            </w:r>
            <w:proofErr w:type="spellStart"/>
            <w:r w:rsidRPr="002D54D6">
              <w:rPr>
                <w:sz w:val="16"/>
                <w:szCs w:val="16"/>
              </w:rPr>
              <w:t>mormy</w:t>
            </w:r>
            <w:proofErr w:type="spellEnd"/>
            <w:r w:rsidRPr="002D54D6">
              <w:rPr>
                <w:sz w:val="16"/>
                <w:szCs w:val="16"/>
              </w:rPr>
              <w:t xml:space="preserve"> – badanie alternatywne</w:t>
            </w:r>
          </w:p>
        </w:tc>
      </w:tr>
      <w:tr w:rsidR="00683496" w:rsidRPr="002D54D6" w:rsidTr="00683496">
        <w:tc>
          <w:tcPr>
            <w:tcW w:w="568" w:type="dxa"/>
            <w:vMerge/>
            <w:tcBorders>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p>
        </w:tc>
        <w:tc>
          <w:tcPr>
            <w:tcW w:w="2693" w:type="dxa"/>
            <w:vMerge/>
            <w:tcBorders>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p>
        </w:tc>
        <w:tc>
          <w:tcPr>
            <w:tcW w:w="850" w:type="dxa"/>
            <w:vMerge/>
            <w:tcBorders>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 xml:space="preserve">≤ </w:t>
            </w:r>
            <w:smartTag w:uri="urn:schemas-microsoft-com:office:smarttags" w:element="metricconverter">
              <w:smartTagPr>
                <w:attr w:name="ProductID" w:val="23 mm"/>
              </w:smartTagPr>
              <w:r w:rsidRPr="002D54D6">
                <w:rPr>
                  <w:sz w:val="16"/>
                  <w:szCs w:val="16"/>
                </w:rPr>
                <w:t>23 mm</w:t>
              </w:r>
            </w:smartTag>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≤20 000mm</w:t>
            </w:r>
            <w:r w:rsidRPr="002D54D6">
              <w:rPr>
                <w:sz w:val="16"/>
                <w:szCs w:val="16"/>
                <w:vertAlign w:val="superscript"/>
              </w:rPr>
              <w:t>3</w:t>
            </w:r>
            <w:r w:rsidRPr="002D54D6">
              <w:rPr>
                <w:sz w:val="16"/>
                <w:szCs w:val="16"/>
              </w:rPr>
              <w:t>/5000 mm</w:t>
            </w:r>
            <w:r w:rsidRPr="002D54D6">
              <w:rPr>
                <w:sz w:val="16"/>
                <w:szCs w:val="16"/>
                <w:vertAlign w:val="superscript"/>
              </w:rPr>
              <w:t>2</w:t>
            </w:r>
            <w:r w:rsidRPr="002D54D6">
              <w:rPr>
                <w:sz w:val="16"/>
                <w:szCs w:val="16"/>
              </w:rPr>
              <w:t xml:space="preserve"> </w:t>
            </w: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2.5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Odporność na poślizg/poślizgnięcie</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I</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2122BD">
            <w:pPr>
              <w:numPr>
                <w:ilvl w:val="0"/>
                <w:numId w:val="80"/>
              </w:numPr>
              <w:tabs>
                <w:tab w:val="clear" w:pos="377"/>
                <w:tab w:val="num" w:pos="176"/>
              </w:tabs>
              <w:overflowPunct w:val="0"/>
              <w:autoSpaceDE w:val="0"/>
              <w:autoSpaceDN w:val="0"/>
              <w:adjustRightInd w:val="0"/>
              <w:ind w:left="176" w:hanging="176"/>
              <w:textAlignment w:val="baseline"/>
              <w:rPr>
                <w:sz w:val="16"/>
                <w:szCs w:val="16"/>
              </w:rPr>
            </w:pPr>
            <w:r w:rsidRPr="002D54D6">
              <w:rPr>
                <w:sz w:val="16"/>
                <w:szCs w:val="16"/>
              </w:rPr>
              <w:t>jeśli górna powierzchnia kostki nie była szlifo-</w:t>
            </w:r>
            <w:proofErr w:type="spellStart"/>
            <w:r w:rsidRPr="002D54D6">
              <w:rPr>
                <w:sz w:val="16"/>
                <w:szCs w:val="16"/>
              </w:rPr>
              <w:t>wana</w:t>
            </w:r>
            <w:proofErr w:type="spellEnd"/>
            <w:r w:rsidRPr="002D54D6">
              <w:rPr>
                <w:sz w:val="16"/>
                <w:szCs w:val="16"/>
              </w:rPr>
              <w:t xml:space="preserve"> lub polerowana – zadawalająca odporność,</w:t>
            </w:r>
          </w:p>
          <w:p w:rsidR="00683496" w:rsidRPr="002D54D6" w:rsidRDefault="00683496" w:rsidP="002122BD">
            <w:pPr>
              <w:numPr>
                <w:ilvl w:val="0"/>
                <w:numId w:val="80"/>
              </w:numPr>
              <w:tabs>
                <w:tab w:val="clear" w:pos="377"/>
                <w:tab w:val="num" w:pos="176"/>
              </w:tabs>
              <w:overflowPunct w:val="0"/>
              <w:autoSpaceDE w:val="0"/>
              <w:autoSpaceDN w:val="0"/>
              <w:adjustRightInd w:val="0"/>
              <w:ind w:left="176" w:hanging="176"/>
              <w:textAlignment w:val="baseline"/>
              <w:rPr>
                <w:sz w:val="16"/>
                <w:szCs w:val="16"/>
              </w:rPr>
            </w:pPr>
            <w:r w:rsidRPr="002D54D6">
              <w:rPr>
                <w:sz w:val="16"/>
                <w:szCs w:val="16"/>
              </w:rPr>
              <w:t>jeśli wyjątkowo wymaga się podania wartości odporności na poślizg/poślizgnięcie – należy zadeklarować minimalną jej wartość pomierzoną wg zał. I normy (wahadłowym przyrządem do badania tarcia)</w:t>
            </w:r>
          </w:p>
        </w:tc>
      </w:tr>
    </w:tbl>
    <w:p w:rsidR="00683496" w:rsidRDefault="00683496" w:rsidP="00683496"/>
    <w:p w:rsidR="00683496" w:rsidRDefault="00683496" w:rsidP="00683496">
      <w:r>
        <w:t>cd.</w:t>
      </w:r>
    </w:p>
    <w:tbl>
      <w:tblPr>
        <w:tblW w:w="7655" w:type="dxa"/>
        <w:tblInd w:w="-34" w:type="dxa"/>
        <w:tblLayout w:type="fixed"/>
        <w:tblLook w:val="01E0" w:firstRow="1" w:lastRow="1" w:firstColumn="1" w:lastColumn="1" w:noHBand="0" w:noVBand="0"/>
      </w:tblPr>
      <w:tblGrid>
        <w:gridCol w:w="568"/>
        <w:gridCol w:w="2693"/>
        <w:gridCol w:w="850"/>
        <w:gridCol w:w="3544"/>
      </w:tblGrid>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3</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4</w:t>
            </w:r>
          </w:p>
        </w:tc>
      </w:tr>
      <w:tr w:rsidR="00683496" w:rsidRPr="002D54D6" w:rsidTr="006834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center"/>
              <w:textAlignment w:val="baseline"/>
              <w:rPr>
                <w:sz w:val="16"/>
                <w:szCs w:val="16"/>
              </w:rPr>
            </w:pPr>
            <w:r w:rsidRPr="002D54D6">
              <w:rPr>
                <w:sz w:val="16"/>
                <w:szCs w:val="16"/>
              </w:rPr>
              <w:t>3</w:t>
            </w: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spacing w:before="60" w:after="60"/>
              <w:jc w:val="both"/>
              <w:textAlignment w:val="baseline"/>
              <w:rPr>
                <w:sz w:val="16"/>
                <w:szCs w:val="16"/>
              </w:rPr>
            </w:pPr>
            <w:r w:rsidRPr="002D54D6">
              <w:rPr>
                <w:sz w:val="16"/>
                <w:szCs w:val="16"/>
              </w:rPr>
              <w:t>Aspekty wizualne</w:t>
            </w: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3.1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Wygląd</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J</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2122BD">
            <w:pPr>
              <w:numPr>
                <w:ilvl w:val="0"/>
                <w:numId w:val="81"/>
              </w:numPr>
              <w:tabs>
                <w:tab w:val="clear" w:pos="536"/>
                <w:tab w:val="num" w:pos="176"/>
              </w:tabs>
              <w:overflowPunct w:val="0"/>
              <w:autoSpaceDE w:val="0"/>
              <w:autoSpaceDN w:val="0"/>
              <w:adjustRightInd w:val="0"/>
              <w:ind w:left="176" w:hanging="176"/>
              <w:jc w:val="both"/>
              <w:textAlignment w:val="baseline"/>
              <w:rPr>
                <w:sz w:val="16"/>
                <w:szCs w:val="16"/>
              </w:rPr>
            </w:pPr>
            <w:r w:rsidRPr="002D54D6">
              <w:rPr>
                <w:sz w:val="16"/>
                <w:szCs w:val="16"/>
              </w:rPr>
              <w:t>górna powierzchnia kostki nie powinna mieć rys i odprysków,</w:t>
            </w:r>
          </w:p>
          <w:p w:rsidR="00683496" w:rsidRPr="002D54D6" w:rsidRDefault="00683496" w:rsidP="002122BD">
            <w:pPr>
              <w:numPr>
                <w:ilvl w:val="0"/>
                <w:numId w:val="81"/>
              </w:numPr>
              <w:tabs>
                <w:tab w:val="clear" w:pos="536"/>
                <w:tab w:val="num" w:pos="176"/>
              </w:tabs>
              <w:overflowPunct w:val="0"/>
              <w:autoSpaceDE w:val="0"/>
              <w:autoSpaceDN w:val="0"/>
              <w:adjustRightInd w:val="0"/>
              <w:ind w:left="176" w:hanging="176"/>
              <w:jc w:val="both"/>
              <w:textAlignment w:val="baseline"/>
              <w:rPr>
                <w:sz w:val="16"/>
                <w:szCs w:val="16"/>
              </w:rPr>
            </w:pPr>
            <w:r w:rsidRPr="002D54D6">
              <w:rPr>
                <w:sz w:val="16"/>
                <w:szCs w:val="16"/>
              </w:rPr>
              <w:t>nie dopuszcza się rozwarstwień w kostkach dwuwarstwowych,</w:t>
            </w:r>
          </w:p>
          <w:p w:rsidR="00683496" w:rsidRPr="002D54D6" w:rsidRDefault="00683496" w:rsidP="002122BD">
            <w:pPr>
              <w:numPr>
                <w:ilvl w:val="0"/>
                <w:numId w:val="81"/>
              </w:numPr>
              <w:tabs>
                <w:tab w:val="clear" w:pos="536"/>
                <w:tab w:val="num" w:pos="176"/>
              </w:tabs>
              <w:overflowPunct w:val="0"/>
              <w:autoSpaceDE w:val="0"/>
              <w:autoSpaceDN w:val="0"/>
              <w:adjustRightInd w:val="0"/>
              <w:ind w:left="176" w:hanging="176"/>
              <w:jc w:val="both"/>
              <w:textAlignment w:val="baseline"/>
              <w:rPr>
                <w:sz w:val="16"/>
                <w:szCs w:val="16"/>
              </w:rPr>
            </w:pPr>
            <w:r w:rsidRPr="002D54D6">
              <w:rPr>
                <w:sz w:val="16"/>
                <w:szCs w:val="16"/>
              </w:rPr>
              <w:t>ewentualne wykwity nie są uważane za istotne</w:t>
            </w:r>
          </w:p>
        </w:tc>
      </w:tr>
      <w:tr w:rsidR="00683496" w:rsidRPr="002D54D6" w:rsidTr="00683496">
        <w:tc>
          <w:tcPr>
            <w:tcW w:w="568"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3.2</w:t>
            </w:r>
          </w:p>
          <w:p w:rsidR="00683496" w:rsidRPr="002D54D6" w:rsidRDefault="00683496" w:rsidP="00683496">
            <w:pPr>
              <w:overflowPunct w:val="0"/>
              <w:autoSpaceDE w:val="0"/>
              <w:autoSpaceDN w:val="0"/>
              <w:adjustRightInd w:val="0"/>
              <w:jc w:val="center"/>
              <w:textAlignment w:val="baseline"/>
              <w:rPr>
                <w:sz w:val="16"/>
                <w:szCs w:val="16"/>
              </w:rPr>
            </w:pPr>
          </w:p>
          <w:p w:rsidR="00683496" w:rsidRPr="002D54D6" w:rsidRDefault="00683496" w:rsidP="00683496">
            <w:pPr>
              <w:overflowPunct w:val="0"/>
              <w:autoSpaceDE w:val="0"/>
              <w:autoSpaceDN w:val="0"/>
              <w:adjustRightInd w:val="0"/>
              <w:jc w:val="center"/>
              <w:textAlignment w:val="baseline"/>
              <w:rPr>
                <w:sz w:val="16"/>
                <w:szCs w:val="16"/>
              </w:rPr>
            </w:pPr>
          </w:p>
          <w:p w:rsidR="00683496" w:rsidRPr="002D54D6" w:rsidRDefault="00683496" w:rsidP="00683496">
            <w:pPr>
              <w:overflowPunct w:val="0"/>
              <w:autoSpaceDE w:val="0"/>
              <w:autoSpaceDN w:val="0"/>
              <w:adjustRightInd w:val="0"/>
              <w:jc w:val="center"/>
              <w:textAlignment w:val="baseline"/>
              <w:rPr>
                <w:sz w:val="16"/>
                <w:szCs w:val="16"/>
              </w:rPr>
            </w:pPr>
          </w:p>
          <w:p w:rsidR="00683496" w:rsidRPr="002D54D6" w:rsidRDefault="00683496" w:rsidP="00683496">
            <w:pPr>
              <w:overflowPunct w:val="0"/>
              <w:autoSpaceDE w:val="0"/>
              <w:autoSpaceDN w:val="0"/>
              <w:adjustRightInd w:val="0"/>
              <w:jc w:val="center"/>
              <w:textAlignment w:val="baseline"/>
              <w:rPr>
                <w:sz w:val="16"/>
                <w:szCs w:val="16"/>
              </w:rPr>
            </w:pPr>
          </w:p>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t>3.3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lastRenderedPageBreak/>
              <w:t>Tekstura</w:t>
            </w:r>
          </w:p>
          <w:p w:rsidR="00683496" w:rsidRPr="002D54D6" w:rsidRDefault="00683496" w:rsidP="00683496">
            <w:pPr>
              <w:overflowPunct w:val="0"/>
              <w:autoSpaceDE w:val="0"/>
              <w:autoSpaceDN w:val="0"/>
              <w:adjustRightInd w:val="0"/>
              <w:jc w:val="both"/>
              <w:textAlignment w:val="baseline"/>
              <w:rPr>
                <w:sz w:val="16"/>
                <w:szCs w:val="16"/>
              </w:rPr>
            </w:pPr>
          </w:p>
          <w:p w:rsidR="00683496" w:rsidRPr="002D54D6" w:rsidRDefault="00683496" w:rsidP="00683496">
            <w:pPr>
              <w:overflowPunct w:val="0"/>
              <w:autoSpaceDE w:val="0"/>
              <w:autoSpaceDN w:val="0"/>
              <w:adjustRightInd w:val="0"/>
              <w:jc w:val="both"/>
              <w:textAlignment w:val="baseline"/>
              <w:rPr>
                <w:sz w:val="16"/>
                <w:szCs w:val="16"/>
              </w:rPr>
            </w:pPr>
          </w:p>
          <w:p w:rsidR="00683496" w:rsidRPr="002D54D6" w:rsidRDefault="00683496" w:rsidP="00683496">
            <w:pPr>
              <w:overflowPunct w:val="0"/>
              <w:autoSpaceDE w:val="0"/>
              <w:autoSpaceDN w:val="0"/>
              <w:adjustRightInd w:val="0"/>
              <w:jc w:val="both"/>
              <w:textAlignment w:val="baseline"/>
              <w:rPr>
                <w:sz w:val="16"/>
                <w:szCs w:val="16"/>
              </w:rPr>
            </w:pPr>
          </w:p>
          <w:p w:rsidR="00683496" w:rsidRPr="002D54D6" w:rsidRDefault="00683496" w:rsidP="00683496">
            <w:pPr>
              <w:overflowPunct w:val="0"/>
              <w:autoSpaceDE w:val="0"/>
              <w:autoSpaceDN w:val="0"/>
              <w:adjustRightInd w:val="0"/>
              <w:jc w:val="both"/>
              <w:textAlignment w:val="baseline"/>
              <w:rPr>
                <w:sz w:val="16"/>
                <w:szCs w:val="16"/>
              </w:rPr>
            </w:pPr>
          </w:p>
          <w:p w:rsidR="00683496" w:rsidRPr="002D54D6" w:rsidRDefault="00683496" w:rsidP="00683496">
            <w:pPr>
              <w:overflowPunct w:val="0"/>
              <w:autoSpaceDE w:val="0"/>
              <w:autoSpaceDN w:val="0"/>
              <w:adjustRightInd w:val="0"/>
              <w:jc w:val="both"/>
              <w:textAlignment w:val="baseline"/>
              <w:rPr>
                <w:sz w:val="16"/>
                <w:szCs w:val="16"/>
              </w:rPr>
            </w:pPr>
            <w:r w:rsidRPr="002D54D6">
              <w:rPr>
                <w:sz w:val="16"/>
                <w:szCs w:val="16"/>
              </w:rPr>
              <w:t>Zabarwienie (barwiona może być warstwa ścieralna lub cały element)</w:t>
            </w:r>
          </w:p>
          <w:p w:rsidR="00683496" w:rsidRPr="002D54D6" w:rsidRDefault="00683496" w:rsidP="00683496">
            <w:pPr>
              <w:overflowPunct w:val="0"/>
              <w:autoSpaceDE w:val="0"/>
              <w:autoSpaceDN w:val="0"/>
              <w:adjustRightInd w:val="0"/>
              <w:jc w:val="both"/>
              <w:textAlignment w:val="baseline"/>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683496">
            <w:pPr>
              <w:overflowPunct w:val="0"/>
              <w:autoSpaceDE w:val="0"/>
              <w:autoSpaceDN w:val="0"/>
              <w:adjustRightInd w:val="0"/>
              <w:jc w:val="center"/>
              <w:textAlignment w:val="baseline"/>
              <w:rPr>
                <w:sz w:val="16"/>
                <w:szCs w:val="16"/>
              </w:rPr>
            </w:pPr>
            <w:r w:rsidRPr="002D54D6">
              <w:rPr>
                <w:sz w:val="16"/>
                <w:szCs w:val="16"/>
              </w:rPr>
              <w:lastRenderedPageBreak/>
              <w:t>J</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83496" w:rsidRPr="002D54D6" w:rsidRDefault="00683496" w:rsidP="002122BD">
            <w:pPr>
              <w:numPr>
                <w:ilvl w:val="0"/>
                <w:numId w:val="82"/>
              </w:numPr>
              <w:tabs>
                <w:tab w:val="clear" w:pos="737"/>
                <w:tab w:val="num" w:pos="176"/>
              </w:tabs>
              <w:overflowPunct w:val="0"/>
              <w:autoSpaceDE w:val="0"/>
              <w:autoSpaceDN w:val="0"/>
              <w:adjustRightInd w:val="0"/>
              <w:ind w:left="176" w:hanging="176"/>
              <w:jc w:val="both"/>
              <w:textAlignment w:val="baseline"/>
              <w:rPr>
                <w:sz w:val="16"/>
                <w:szCs w:val="16"/>
              </w:rPr>
            </w:pPr>
            <w:r w:rsidRPr="002D54D6">
              <w:rPr>
                <w:sz w:val="16"/>
                <w:szCs w:val="16"/>
              </w:rPr>
              <w:t>kostki z powierzchnią o specjalnej teksturze – producent powinien opisać rodzaj tekstury,</w:t>
            </w:r>
          </w:p>
          <w:p w:rsidR="00683496" w:rsidRPr="002D54D6" w:rsidRDefault="00683496" w:rsidP="002122BD">
            <w:pPr>
              <w:numPr>
                <w:ilvl w:val="0"/>
                <w:numId w:val="82"/>
              </w:numPr>
              <w:tabs>
                <w:tab w:val="clear" w:pos="737"/>
                <w:tab w:val="num" w:pos="176"/>
              </w:tabs>
              <w:overflowPunct w:val="0"/>
              <w:autoSpaceDE w:val="0"/>
              <w:autoSpaceDN w:val="0"/>
              <w:adjustRightInd w:val="0"/>
              <w:ind w:left="176" w:hanging="176"/>
              <w:jc w:val="both"/>
              <w:textAlignment w:val="baseline"/>
              <w:rPr>
                <w:sz w:val="16"/>
                <w:szCs w:val="16"/>
              </w:rPr>
            </w:pPr>
            <w:r w:rsidRPr="002D54D6">
              <w:rPr>
                <w:sz w:val="16"/>
                <w:szCs w:val="16"/>
              </w:rPr>
              <w:lastRenderedPageBreak/>
              <w:t>tekstura lub zabarwienie kostki powinny być porównane z próbką producenta, zatwierdzoną przez odbiorcę,</w:t>
            </w:r>
          </w:p>
          <w:p w:rsidR="00683496" w:rsidRPr="002D54D6" w:rsidRDefault="00683496" w:rsidP="002122BD">
            <w:pPr>
              <w:numPr>
                <w:ilvl w:val="0"/>
                <w:numId w:val="82"/>
              </w:numPr>
              <w:tabs>
                <w:tab w:val="clear" w:pos="737"/>
                <w:tab w:val="num" w:pos="176"/>
              </w:tabs>
              <w:overflowPunct w:val="0"/>
              <w:autoSpaceDE w:val="0"/>
              <w:autoSpaceDN w:val="0"/>
              <w:adjustRightInd w:val="0"/>
              <w:ind w:left="176" w:hanging="176"/>
              <w:jc w:val="both"/>
              <w:textAlignment w:val="baseline"/>
              <w:rPr>
                <w:sz w:val="16"/>
                <w:szCs w:val="16"/>
              </w:rPr>
            </w:pPr>
            <w:r w:rsidRPr="002D54D6">
              <w:rPr>
                <w:sz w:val="16"/>
                <w:szCs w:val="16"/>
              </w:rPr>
              <w:t>ewentualne różnice w jednolitości tekstury lub zabarwienia, spowodowane nieuniknionymi zmianami we właściwościach surowców i zmianach warunków twardnienia nie są uważane za istotne</w:t>
            </w:r>
          </w:p>
        </w:tc>
      </w:tr>
    </w:tbl>
    <w:p w:rsidR="00683496" w:rsidRDefault="00683496" w:rsidP="00683496">
      <w:pPr>
        <w:ind w:left="284" w:hanging="284"/>
      </w:pPr>
    </w:p>
    <w:p w:rsidR="00683496" w:rsidRDefault="00683496" w:rsidP="00683496">
      <w:r>
        <w:tab/>
        <w:t>W przypadku zastosowań kostki na powierzchniach innych niż przewidziano w tablicy 1 (np. na nawierzchniach wewnętrznych nie narażonych na kontakt z solą odladzającą), wymagania wobec kostki należy odpowiednio dostosować do ustaleń PN-EN-1338 [2].</w:t>
      </w:r>
    </w:p>
    <w:p w:rsidR="00683496" w:rsidRDefault="00683496" w:rsidP="00683496">
      <w:r>
        <w:tab/>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683496" w:rsidRDefault="00683496" w:rsidP="00683496">
      <w: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683496" w:rsidRDefault="00683496" w:rsidP="00683496">
      <w:pPr>
        <w:spacing w:before="120"/>
      </w:pPr>
      <w:r>
        <w:rPr>
          <w:b/>
        </w:rPr>
        <w:t xml:space="preserve">2.2.3. </w:t>
      </w:r>
      <w:r>
        <w:t>Składowanie kostek</w:t>
      </w:r>
    </w:p>
    <w:p w:rsidR="00683496" w:rsidRDefault="00683496" w:rsidP="00683496">
      <w:pPr>
        <w:spacing w:before="120"/>
      </w:pPr>
      <w:r>
        <w:t xml:space="preserve"> </w:t>
      </w:r>
      <w:r>
        <w:tab/>
        <w:t>Kostkę zaleca się pakować na paletach. Palety z kostką mogą być składowane na otwartej przestrzeni, przy czym podłoże powinno być wyrównane i odwodnione.</w:t>
      </w:r>
    </w:p>
    <w:p w:rsidR="00683496" w:rsidRDefault="00683496" w:rsidP="00683496">
      <w:pPr>
        <w:pStyle w:val="Nagwek2"/>
      </w:pPr>
      <w:r>
        <w:rPr>
          <w:b w:val="0"/>
        </w:rPr>
        <w:t xml:space="preserve"> </w:t>
      </w:r>
      <w:r>
        <w:t>2.3. Materiały na podsypkę i do wypełnienia spoin oraz szczelin w nawierzchni</w:t>
      </w:r>
    </w:p>
    <w:p w:rsidR="00683496" w:rsidRDefault="00683496" w:rsidP="00683496">
      <w:pPr>
        <w:pStyle w:val="tekstost"/>
      </w:pPr>
      <w:r>
        <w:tab/>
        <w:t>Jeśli dokumentacja projektowa lub SST nie ustala inaczej, to należy stosować następujące materiały:</w:t>
      </w:r>
    </w:p>
    <w:p w:rsidR="00683496" w:rsidRDefault="00683496" w:rsidP="002122BD">
      <w:pPr>
        <w:pStyle w:val="tekstost"/>
        <w:numPr>
          <w:ilvl w:val="0"/>
          <w:numId w:val="64"/>
        </w:numPr>
        <w:overflowPunct w:val="0"/>
        <w:autoSpaceDE w:val="0"/>
        <w:autoSpaceDN w:val="0"/>
        <w:adjustRightInd w:val="0"/>
        <w:textAlignment w:val="baseline"/>
      </w:pPr>
      <w:r>
        <w:t>na podsypkę cementowo-piaskową pod nawierzchnię</w:t>
      </w:r>
    </w:p>
    <w:p w:rsidR="00683496" w:rsidRDefault="00683496" w:rsidP="002122BD">
      <w:pPr>
        <w:pStyle w:val="tekstost"/>
        <w:numPr>
          <w:ilvl w:val="0"/>
          <w:numId w:val="63"/>
        </w:numPr>
        <w:overflowPunct w:val="0"/>
        <w:autoSpaceDE w:val="0"/>
        <w:autoSpaceDN w:val="0"/>
        <w:adjustRightInd w:val="0"/>
        <w:ind w:left="571"/>
        <w:textAlignment w:val="baseline"/>
      </w:pPr>
      <w:r>
        <w:t>mieszankę cementu i piasku w stosunku 1:4 z piasku naturalnego spełniającego wymagania dla gatunku 1 wg PN-B-11113 [4], cementu powszechnego użytku spełniającego wymagania PN-EN 197-1 [1] i wody odmiany 1 odpowiadającej wymaganiom  PN-88/B-32250 [5],</w:t>
      </w:r>
    </w:p>
    <w:p w:rsidR="00683496" w:rsidRDefault="00683496" w:rsidP="00683496">
      <w:pPr>
        <w:pStyle w:val="tekstost"/>
      </w:pPr>
      <w: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683496" w:rsidRDefault="00683496" w:rsidP="00683496">
      <w:pPr>
        <w:pStyle w:val="tekstost"/>
      </w:pPr>
      <w:r>
        <w:tab/>
        <w:t>Przechowywanie cementu powinno być zgodne z BN-88/6731-08 [6].</w:t>
      </w:r>
    </w:p>
    <w:p w:rsidR="00683496" w:rsidRDefault="00683496" w:rsidP="00683496">
      <w:pPr>
        <w:pStyle w:val="Nagwek2"/>
      </w:pPr>
      <w:r>
        <w:t>2.4. Krawężniki, obrzeża i ścieki</w:t>
      </w:r>
    </w:p>
    <w:p w:rsidR="00683496" w:rsidRDefault="00683496" w:rsidP="00683496">
      <w:r>
        <w:tab/>
        <w:t>Jeśli dokumentacja projektowa, SST lub Inżynier nie ustalą inaczej, to do obramowania nawierzchni z kostek należy stosować:</w:t>
      </w:r>
    </w:p>
    <w:p w:rsidR="00683496" w:rsidRDefault="00683496" w:rsidP="002122BD">
      <w:pPr>
        <w:numPr>
          <w:ilvl w:val="0"/>
          <w:numId w:val="65"/>
        </w:numPr>
        <w:overflowPunct w:val="0"/>
        <w:autoSpaceDE w:val="0"/>
        <w:autoSpaceDN w:val="0"/>
        <w:adjustRightInd w:val="0"/>
        <w:jc w:val="both"/>
        <w:textAlignment w:val="baseline"/>
      </w:pPr>
      <w:r>
        <w:t>krawężniki betonowe wg OST D-08.01.01a [17],</w:t>
      </w:r>
    </w:p>
    <w:p w:rsidR="00683496" w:rsidRDefault="00683496" w:rsidP="002122BD">
      <w:pPr>
        <w:numPr>
          <w:ilvl w:val="0"/>
          <w:numId w:val="65"/>
        </w:numPr>
        <w:overflowPunct w:val="0"/>
        <w:autoSpaceDE w:val="0"/>
        <w:autoSpaceDN w:val="0"/>
        <w:adjustRightInd w:val="0"/>
        <w:jc w:val="both"/>
        <w:textAlignment w:val="baseline"/>
      </w:pPr>
      <w:r>
        <w:t>obrzeża betonowe wg OST D-08.03.01 [19],</w:t>
      </w:r>
    </w:p>
    <w:p w:rsidR="00683496" w:rsidRDefault="00683496" w:rsidP="002122BD">
      <w:pPr>
        <w:numPr>
          <w:ilvl w:val="0"/>
          <w:numId w:val="65"/>
        </w:numPr>
        <w:overflowPunct w:val="0"/>
        <w:autoSpaceDE w:val="0"/>
        <w:autoSpaceDN w:val="0"/>
        <w:adjustRightInd w:val="0"/>
        <w:jc w:val="both"/>
        <w:textAlignment w:val="baseline"/>
      </w:pPr>
      <w:r>
        <w:t>krawężniki kamienne wg OST D-08.01.02a [18].</w:t>
      </w:r>
    </w:p>
    <w:p w:rsidR="00683496" w:rsidRDefault="00683496" w:rsidP="00683496">
      <w:r>
        <w:tab/>
        <w:t>Przy krawężnikach mogą występować ścieki wg OST D-08.05.00 [20].</w:t>
      </w:r>
    </w:p>
    <w:p w:rsidR="00683496" w:rsidRDefault="00683496" w:rsidP="00683496">
      <w:r>
        <w:tab/>
        <w:t>Krawężniki, obrzeża i ścieki mogą być ustawiane na:</w:t>
      </w:r>
    </w:p>
    <w:p w:rsidR="00683496" w:rsidRDefault="00683496" w:rsidP="002122BD">
      <w:pPr>
        <w:numPr>
          <w:ilvl w:val="0"/>
          <w:numId w:val="66"/>
        </w:numPr>
        <w:overflowPunct w:val="0"/>
        <w:autoSpaceDE w:val="0"/>
        <w:autoSpaceDN w:val="0"/>
        <w:adjustRightInd w:val="0"/>
        <w:jc w:val="both"/>
        <w:textAlignment w:val="baseline"/>
      </w:pPr>
      <w:r>
        <w:t xml:space="preserve">podsypce piaskowej lub cementowo-piaskowej, spełniających wymagania wg </w:t>
      </w:r>
      <w:smartTag w:uri="urn:schemas-microsoft-com:office:smarttags" w:element="metricconverter">
        <w:smartTagPr>
          <w:attr w:name="ProductID" w:val="2.3 a"/>
        </w:smartTagPr>
        <w:r>
          <w:t>2.3 a</w:t>
        </w:r>
      </w:smartTag>
      <w:r>
        <w:t xml:space="preserve">             i   2.3 b,</w:t>
      </w:r>
    </w:p>
    <w:p w:rsidR="00683496" w:rsidRDefault="00683496" w:rsidP="002122BD">
      <w:pPr>
        <w:numPr>
          <w:ilvl w:val="0"/>
          <w:numId w:val="66"/>
        </w:numPr>
        <w:overflowPunct w:val="0"/>
        <w:autoSpaceDE w:val="0"/>
        <w:autoSpaceDN w:val="0"/>
        <w:adjustRightInd w:val="0"/>
        <w:jc w:val="both"/>
        <w:textAlignment w:val="baseline"/>
      </w:pPr>
      <w:r>
        <w:t>ławach żwirowych, tłuczniowych lub betonowych, spełniających wymagania wg OST     D-08.01.01a [17], 08.01.02a [18],  D-08.03.01  [19] i D-08.05.00 [20].</w:t>
      </w:r>
    </w:p>
    <w:p w:rsidR="00683496" w:rsidRDefault="00683496" w:rsidP="00683496">
      <w:r>
        <w:tab/>
        <w:t>Krawężniki i obrzeża mogą być przechowywane na składowiskach otwartych, posegregowane według typów, rodzajów, odmian i wielkości. Należy układać je z zastosowaniem podkładek i przekładek drewnianych.</w:t>
      </w:r>
    </w:p>
    <w:p w:rsidR="00683496" w:rsidRDefault="00683496" w:rsidP="00683496">
      <w:r>
        <w:tab/>
        <w:t xml:space="preserve">Kruszywo i cement powinny być składowane i przechowywane wg 2.3. </w:t>
      </w:r>
    </w:p>
    <w:p w:rsidR="00683496" w:rsidRDefault="00683496" w:rsidP="00683496">
      <w:r>
        <w:t>2.5.</w:t>
      </w:r>
      <w:r>
        <w:tab/>
        <w:t>Materiały do podbudowy ułożonej pod nawierzchnią z betonowej kostki brukowej</w:t>
      </w:r>
    </w:p>
    <w:p w:rsidR="00683496" w:rsidRDefault="00683496" w:rsidP="00683496">
      <w:r>
        <w:tab/>
        <w:t>Materiały do podbudowy, ustalonej w dokumentacji projektowej, powinny odpowiadać wymaganiom właściwej SST lub innym dokumentom zaakceptowanym przez Inżyniera.</w:t>
      </w:r>
    </w:p>
    <w:p w:rsidR="00683496" w:rsidRDefault="00683496" w:rsidP="00683496">
      <w:pPr>
        <w:pStyle w:val="Nagwek1"/>
      </w:pPr>
      <w:bookmarkStart w:id="429" w:name="_Toc107903638"/>
      <w:r>
        <w:t>3. sprzęt</w:t>
      </w:r>
      <w:bookmarkEnd w:id="429"/>
    </w:p>
    <w:p w:rsidR="00683496" w:rsidRDefault="00683496" w:rsidP="00683496">
      <w:pPr>
        <w:pStyle w:val="Nagwek2"/>
      </w:pPr>
      <w:r>
        <w:t>3.1. Ogólne wymagania dotyczące sprzętu</w:t>
      </w:r>
    </w:p>
    <w:p w:rsidR="00683496" w:rsidRDefault="00683496" w:rsidP="00683496">
      <w:r>
        <w:tab/>
        <w:t>Ogólne wymagania dotyczące sprzętu podano w SST D-00.00.00 „Wymagania ogólne” [9] pkt 3.</w:t>
      </w:r>
    </w:p>
    <w:p w:rsidR="00683496" w:rsidRDefault="00683496" w:rsidP="00683496">
      <w:pPr>
        <w:pStyle w:val="Nagwek2"/>
      </w:pPr>
      <w:r>
        <w:t xml:space="preserve">3.2. Sprzęt do wykonania nawierzchni  </w:t>
      </w:r>
    </w:p>
    <w:p w:rsidR="00683496" w:rsidRDefault="00683496" w:rsidP="00683496">
      <w:pPr>
        <w:tabs>
          <w:tab w:val="left" w:pos="709"/>
        </w:tabs>
      </w:pPr>
      <w:r>
        <w:tab/>
        <w:t xml:space="preserve"> Układanie betonowej kostki brukowej może odbywać się:</w:t>
      </w:r>
    </w:p>
    <w:p w:rsidR="00683496" w:rsidRDefault="00683496" w:rsidP="002122BD">
      <w:pPr>
        <w:numPr>
          <w:ilvl w:val="0"/>
          <w:numId w:val="67"/>
        </w:numPr>
        <w:overflowPunct w:val="0"/>
        <w:autoSpaceDE w:val="0"/>
        <w:autoSpaceDN w:val="0"/>
        <w:adjustRightInd w:val="0"/>
        <w:jc w:val="both"/>
        <w:textAlignment w:val="baseline"/>
      </w:pPr>
      <w:r>
        <w:t>ręcznie, zwłaszcza na małych powierzchniach,</w:t>
      </w:r>
    </w:p>
    <w:p w:rsidR="00683496" w:rsidRDefault="00683496" w:rsidP="00683496">
      <w:r>
        <w:tab/>
        <w:t>Do przycinania kostek można stosować specjalne narzędzia tnące (np. przycinarki, szlifierki z tarczą).</w:t>
      </w:r>
    </w:p>
    <w:p w:rsidR="00683496" w:rsidRDefault="00683496" w:rsidP="00683496">
      <w:r>
        <w:lastRenderedPageBreak/>
        <w:tab/>
        <w:t>Do zagęszczania nawierzchni z kostki należy stosować zagęszczarki wibracyjne (płytowe) z wykładziną elastomerową, chroniące kostki przed ścieraniem i wykruszaniem naroży.</w:t>
      </w:r>
    </w:p>
    <w:p w:rsidR="00683496" w:rsidRDefault="00683496" w:rsidP="00683496">
      <w:r>
        <w:tab/>
        <w:t xml:space="preserve">Sprzęt do wykonania koryta, podbudowy i podsypki powinien odpowiadać wymaganiom właściwych SST, wymienionych w </w:t>
      </w:r>
      <w:proofErr w:type="spellStart"/>
      <w:r>
        <w:t>pkcie</w:t>
      </w:r>
      <w:proofErr w:type="spellEnd"/>
      <w:r>
        <w:t xml:space="preserve"> 5.4 lub innym dokumentom (normom PB i BN, wytycznym </w:t>
      </w:r>
      <w:proofErr w:type="spellStart"/>
      <w:r>
        <w:t>IBDiM</w:t>
      </w:r>
      <w:proofErr w:type="spellEnd"/>
      <w:r>
        <w:t>) względnie opracowanym SST zaakceptowanym przez Inżyniera.</w:t>
      </w:r>
    </w:p>
    <w:p w:rsidR="00683496" w:rsidRDefault="00683496" w:rsidP="00683496">
      <w:r>
        <w:tab/>
        <w:t>Do wytwarzania podsypki cementowo-piaskowej i zapraw należy stosować betoniarki.</w:t>
      </w:r>
    </w:p>
    <w:p w:rsidR="00683496" w:rsidRDefault="00683496" w:rsidP="00683496">
      <w:r>
        <w:tab/>
      </w:r>
    </w:p>
    <w:p w:rsidR="00683496" w:rsidRDefault="00683496" w:rsidP="00683496">
      <w:pPr>
        <w:pStyle w:val="Nagwek1"/>
      </w:pPr>
      <w:bookmarkStart w:id="430" w:name="_Toc107903639"/>
      <w:r>
        <w:t>4. transport</w:t>
      </w:r>
      <w:bookmarkEnd w:id="430"/>
    </w:p>
    <w:p w:rsidR="00683496" w:rsidRDefault="00683496" w:rsidP="00683496">
      <w:pPr>
        <w:pStyle w:val="Nagwek2"/>
      </w:pPr>
      <w:r>
        <w:t>4.1. Ogólne wymagania dotyczące transportu</w:t>
      </w:r>
    </w:p>
    <w:p w:rsidR="00683496" w:rsidRDefault="00683496" w:rsidP="00683496">
      <w:r>
        <w:tab/>
        <w:t>Ogólne wymagania dotyczące transportu podano w SST D-00.00.00 „Wymagania ogólne” [9] pkt 4.</w:t>
      </w:r>
    </w:p>
    <w:p w:rsidR="00683496" w:rsidRDefault="00683496" w:rsidP="00683496">
      <w:pPr>
        <w:pStyle w:val="Nagwek2"/>
      </w:pPr>
      <w:r>
        <w:t>4.2. Transport materiałów do wykonania nawierzchni</w:t>
      </w:r>
    </w:p>
    <w:p w:rsidR="00683496" w:rsidRDefault="00683496" w:rsidP="00683496">
      <w:r>
        <w:tab/>
        <w:t xml:space="preserve">Betonowe kostki brukowe mogą być przewożone na paletach - dowolnymi środkami transportowymi po osiągnięciu przez beton wytrzymałości na ściskanie co najmniej 15 </w:t>
      </w:r>
      <w:proofErr w:type="spellStart"/>
      <w:r>
        <w:t>MPa</w:t>
      </w:r>
      <w:proofErr w:type="spellEnd"/>
      <w:r>
        <w:t>. Kostki w trakcie transportu powinny być zabezpieczone przed przemieszczaniem się i uszkodzeniem.</w:t>
      </w:r>
    </w:p>
    <w:p w:rsidR="00683496" w:rsidRDefault="00683496" w:rsidP="00683496">
      <w:r>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683496" w:rsidRDefault="00683496" w:rsidP="00683496">
      <w:r>
        <w:tab/>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t>1200 kg</w:t>
        </w:r>
      </w:smartTag>
      <w:r>
        <w:t xml:space="preserve"> do </w:t>
      </w:r>
      <w:smartTag w:uri="urn:schemas-microsoft-com:office:smarttags" w:element="metricconverter">
        <w:smartTagPr>
          <w:attr w:name="ProductID" w:val="1700 kg"/>
        </w:smartTagPr>
        <w:r>
          <w:t>1700 kg</w:t>
        </w:r>
      </w:smartTag>
      <w:r>
        <w:t>. Pożądane jest, aby palety z kostkami były wysyłane do odbiorcy środkiem transportu samochodowego wyposażonym w dźwig do za- i rozładunku.</w:t>
      </w:r>
    </w:p>
    <w:p w:rsidR="00683496" w:rsidRDefault="00683496" w:rsidP="00683496">
      <w:r>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rsidR="00683496" w:rsidRDefault="00683496" w:rsidP="00683496">
      <w: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683496" w:rsidRDefault="00683496" w:rsidP="00683496">
      <w:r>
        <w:tab/>
        <w:t>Cement powinien być przewożony w warunkach zgodnych z BN-88/6731-08 [6].</w:t>
      </w:r>
    </w:p>
    <w:p w:rsidR="00683496" w:rsidRDefault="00683496" w:rsidP="00683496">
      <w:r>
        <w:tab/>
        <w:t>Zalewę lub masy uszczelniające do szczelin dylatacyjnych można transportować dowolnymi środkami transportu w fabrycznie zamkniętych pojemnikach lub opakowaniach, chroniących je przed zanieczyszczeniem.</w:t>
      </w:r>
    </w:p>
    <w:p w:rsidR="00683496" w:rsidRDefault="00683496" w:rsidP="00683496">
      <w:r>
        <w:tab/>
        <w:t>Materiały do podbudowy powinny być przewożone w sposób odpowiadający wymaganiom właściwej OST.</w:t>
      </w:r>
    </w:p>
    <w:p w:rsidR="00683496" w:rsidRDefault="00683496" w:rsidP="00683496">
      <w:pPr>
        <w:pStyle w:val="Nagwek1"/>
      </w:pPr>
      <w:bookmarkStart w:id="431" w:name="_Toc107903640"/>
      <w:r>
        <w:t>5. wykonanie robót</w:t>
      </w:r>
      <w:bookmarkEnd w:id="431"/>
    </w:p>
    <w:p w:rsidR="00683496" w:rsidRDefault="00683496" w:rsidP="00683496">
      <w:pPr>
        <w:pStyle w:val="Nagwek2"/>
      </w:pPr>
      <w:r>
        <w:t>5.1. Ogólne zasady wykonania robót</w:t>
      </w:r>
    </w:p>
    <w:p w:rsidR="00683496" w:rsidRDefault="00683496" w:rsidP="00683496">
      <w:r>
        <w:tab/>
        <w:t>Ogólne zasady wykonania robót podano w SST D-00.00.00 „Wymagania ogólne” [9] pkt 5.</w:t>
      </w:r>
    </w:p>
    <w:p w:rsidR="00683496" w:rsidRDefault="00683496" w:rsidP="00683496">
      <w:pPr>
        <w:pStyle w:val="Nagwek2"/>
      </w:pPr>
      <w:r>
        <w:t>5.2. Podłoże i koryto</w:t>
      </w:r>
    </w:p>
    <w:p w:rsidR="00683496" w:rsidRDefault="00683496" w:rsidP="00683496">
      <w:r>
        <w:tab/>
        <w:t xml:space="preserve">Grunty podłoża powinny być </w:t>
      </w:r>
      <w:proofErr w:type="spellStart"/>
      <w:r>
        <w:t>niewysadzinowe</w:t>
      </w:r>
      <w:proofErr w:type="spellEnd"/>
      <w:r>
        <w:t>, jednorodne i nośne oraz zabezpieczone przed nadmiernym zawilgoceniem i ujemnymi skutkami przemarzania, zgodnie z dokumentacją projektową.</w:t>
      </w:r>
    </w:p>
    <w:p w:rsidR="00683496" w:rsidRDefault="00683496" w:rsidP="00683496">
      <w:r>
        <w:tab/>
        <w:t xml:space="preserve">Koryto pod podbudowę lub nawierzchnię powinno być wyprofilowane zgodnie z projektowanymi spadkami oraz przygotowane zgodnie z wymaganiami SST D-04.01.01 [10].  </w:t>
      </w:r>
    </w:p>
    <w:p w:rsidR="00683496" w:rsidRDefault="00683496" w:rsidP="00683496">
      <w:r>
        <w:tab/>
        <w:t>Koryto musi mieć skuteczne odwodnienie, zgodne z dokumentacją projektową</w:t>
      </w:r>
    </w:p>
    <w:p w:rsidR="00683496" w:rsidRDefault="00683496" w:rsidP="00683496">
      <w:pPr>
        <w:pStyle w:val="Nagwek2"/>
      </w:pPr>
      <w:r>
        <w:t>5.3. Konstrukcja nawierzchni</w:t>
      </w:r>
    </w:p>
    <w:p w:rsidR="00683496" w:rsidRDefault="00683496" w:rsidP="00683496">
      <w:r>
        <w:tab/>
        <w:t>Konstrukcja nawierzchni powinna być zgodna z dokumentacją projektową lub SST (przykłady konstrukcji nawierzchni podają załączniki 3 i 4).</w:t>
      </w:r>
    </w:p>
    <w:p w:rsidR="00683496" w:rsidRDefault="00683496" w:rsidP="00683496">
      <w:r>
        <w:tab/>
        <w:t>Konstrukcja nawierzchni może obejmować ułożenie warstwy ścieralnej z betonowej kostki brukowej na:</w:t>
      </w:r>
    </w:p>
    <w:p w:rsidR="00683496" w:rsidRDefault="00683496" w:rsidP="002122BD">
      <w:pPr>
        <w:numPr>
          <w:ilvl w:val="0"/>
          <w:numId w:val="68"/>
        </w:numPr>
        <w:overflowPunct w:val="0"/>
        <w:autoSpaceDE w:val="0"/>
        <w:autoSpaceDN w:val="0"/>
        <w:adjustRightInd w:val="0"/>
        <w:jc w:val="both"/>
        <w:textAlignment w:val="baseline"/>
      </w:pPr>
      <w:r>
        <w:t>podsypce piaskowej lub cementowo-piaskowej oraz podbudowie,</w:t>
      </w:r>
    </w:p>
    <w:p w:rsidR="00683496" w:rsidRDefault="00683496" w:rsidP="002122BD">
      <w:pPr>
        <w:numPr>
          <w:ilvl w:val="0"/>
          <w:numId w:val="68"/>
        </w:numPr>
        <w:overflowPunct w:val="0"/>
        <w:autoSpaceDE w:val="0"/>
        <w:autoSpaceDN w:val="0"/>
        <w:adjustRightInd w:val="0"/>
        <w:jc w:val="both"/>
        <w:textAlignment w:val="baseline"/>
      </w:pPr>
      <w:r>
        <w:t xml:space="preserve">podsypce piaskowej rozścielonej bezpośrednio na podłożu z gruntu piaszczystego o wskaźniku piaskowym WP </w:t>
      </w:r>
      <w:r>
        <w:sym w:font="Symbol" w:char="F0B3"/>
      </w:r>
      <w:r>
        <w:t xml:space="preserve"> 35 wg [7].</w:t>
      </w:r>
    </w:p>
    <w:p w:rsidR="00683496" w:rsidRDefault="00683496" w:rsidP="00683496">
      <w:r>
        <w:tab/>
        <w:t>Podstawowe czynności przy wykonywaniu nawierzchni, z występowaniem podbudowy, podsypki cementowo-piaskowej i wypełnieniem spoin zaprawą cementowo-piaskową, obejmują:</w:t>
      </w:r>
    </w:p>
    <w:p w:rsidR="00683496" w:rsidRDefault="00683496" w:rsidP="002122BD">
      <w:pPr>
        <w:numPr>
          <w:ilvl w:val="0"/>
          <w:numId w:val="69"/>
        </w:numPr>
        <w:overflowPunct w:val="0"/>
        <w:autoSpaceDE w:val="0"/>
        <w:autoSpaceDN w:val="0"/>
        <w:adjustRightInd w:val="0"/>
        <w:jc w:val="both"/>
        <w:textAlignment w:val="baseline"/>
      </w:pPr>
      <w:r>
        <w:t>wykonanie podbudowy,</w:t>
      </w:r>
    </w:p>
    <w:p w:rsidR="00683496" w:rsidRDefault="00683496" w:rsidP="002122BD">
      <w:pPr>
        <w:numPr>
          <w:ilvl w:val="0"/>
          <w:numId w:val="69"/>
        </w:numPr>
        <w:overflowPunct w:val="0"/>
        <w:autoSpaceDE w:val="0"/>
        <w:autoSpaceDN w:val="0"/>
        <w:adjustRightInd w:val="0"/>
        <w:jc w:val="both"/>
        <w:textAlignment w:val="baseline"/>
      </w:pPr>
      <w:r>
        <w:t>wykonanie obramowania nawierzchni (z krawężników, obrzeży i ew. ścieków),</w:t>
      </w:r>
    </w:p>
    <w:p w:rsidR="00683496" w:rsidRDefault="00683496" w:rsidP="002122BD">
      <w:pPr>
        <w:numPr>
          <w:ilvl w:val="0"/>
          <w:numId w:val="69"/>
        </w:numPr>
        <w:overflowPunct w:val="0"/>
        <w:autoSpaceDE w:val="0"/>
        <w:autoSpaceDN w:val="0"/>
        <w:adjustRightInd w:val="0"/>
        <w:jc w:val="both"/>
        <w:textAlignment w:val="baseline"/>
      </w:pPr>
      <w:r>
        <w:t>przygotowanie i rozścielenie podsypki cementowo-piaskowej,</w:t>
      </w:r>
    </w:p>
    <w:p w:rsidR="00683496" w:rsidRDefault="00683496" w:rsidP="002122BD">
      <w:pPr>
        <w:numPr>
          <w:ilvl w:val="0"/>
          <w:numId w:val="69"/>
        </w:numPr>
        <w:overflowPunct w:val="0"/>
        <w:autoSpaceDE w:val="0"/>
        <w:autoSpaceDN w:val="0"/>
        <w:adjustRightInd w:val="0"/>
        <w:jc w:val="both"/>
        <w:textAlignment w:val="baseline"/>
      </w:pPr>
      <w:r>
        <w:lastRenderedPageBreak/>
        <w:t>ułożenie kostek z ubiciem,</w:t>
      </w:r>
    </w:p>
    <w:p w:rsidR="00683496" w:rsidRDefault="00683496" w:rsidP="002122BD">
      <w:pPr>
        <w:numPr>
          <w:ilvl w:val="0"/>
          <w:numId w:val="69"/>
        </w:numPr>
        <w:overflowPunct w:val="0"/>
        <w:autoSpaceDE w:val="0"/>
        <w:autoSpaceDN w:val="0"/>
        <w:adjustRightInd w:val="0"/>
        <w:jc w:val="both"/>
        <w:textAlignment w:val="baseline"/>
      </w:pPr>
      <w:r>
        <w:t>przygotowanie zaprawy cementowo-piaskowej i wypełnienie nią szczelin,</w:t>
      </w:r>
    </w:p>
    <w:p w:rsidR="00683496" w:rsidRDefault="00683496" w:rsidP="002122BD">
      <w:pPr>
        <w:numPr>
          <w:ilvl w:val="0"/>
          <w:numId w:val="69"/>
        </w:numPr>
        <w:overflowPunct w:val="0"/>
        <w:autoSpaceDE w:val="0"/>
        <w:autoSpaceDN w:val="0"/>
        <w:adjustRightInd w:val="0"/>
        <w:jc w:val="both"/>
        <w:textAlignment w:val="baseline"/>
      </w:pPr>
      <w:r>
        <w:t>wypełnienie szczelin dylatacyjnych,</w:t>
      </w:r>
    </w:p>
    <w:p w:rsidR="00683496" w:rsidRDefault="00683496" w:rsidP="002122BD">
      <w:pPr>
        <w:numPr>
          <w:ilvl w:val="0"/>
          <w:numId w:val="69"/>
        </w:numPr>
        <w:overflowPunct w:val="0"/>
        <w:autoSpaceDE w:val="0"/>
        <w:autoSpaceDN w:val="0"/>
        <w:adjustRightInd w:val="0"/>
        <w:jc w:val="both"/>
        <w:textAlignment w:val="baseline"/>
      </w:pPr>
      <w:r>
        <w:t>pielęgnację nawierzchni i oddanie jej do ruchu.</w:t>
      </w:r>
    </w:p>
    <w:p w:rsidR="00683496" w:rsidRDefault="00683496" w:rsidP="00683496">
      <w:r>
        <w:tab/>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t>7, a</w:t>
        </w:r>
      </w:smartTag>
      <w:r>
        <w:t xml:space="preserve"> poz. 3 dotyczy podsypki piaskowej, zaś poz. 5 - wypełnienia szczelin piaskiem.</w:t>
      </w:r>
    </w:p>
    <w:p w:rsidR="00683496" w:rsidRDefault="00683496" w:rsidP="00683496">
      <w:pPr>
        <w:pStyle w:val="Nagwek2"/>
      </w:pPr>
      <w:r>
        <w:t>5.4. Podbudowa</w:t>
      </w:r>
    </w:p>
    <w:p w:rsidR="00683496" w:rsidRDefault="00683496" w:rsidP="00683496">
      <w:r>
        <w:tab/>
        <w:t>Rodzaj podbudowy przewidzianej do wykonania pod warstwą betonowej kostki brukowej powinien być zgodny z dokumentacją projektową.</w:t>
      </w:r>
    </w:p>
    <w:p w:rsidR="00683496" w:rsidRDefault="00683496" w:rsidP="00683496">
      <w:r>
        <w:tab/>
        <w:t>Wykonanie podbudowy powinno odpowiadać wymaganiom właściwej OST, np.:</w:t>
      </w:r>
    </w:p>
    <w:p w:rsidR="00683496" w:rsidRDefault="00683496" w:rsidP="002122BD">
      <w:pPr>
        <w:numPr>
          <w:ilvl w:val="0"/>
          <w:numId w:val="70"/>
        </w:numPr>
        <w:overflowPunct w:val="0"/>
        <w:autoSpaceDE w:val="0"/>
        <w:autoSpaceDN w:val="0"/>
        <w:adjustRightInd w:val="0"/>
        <w:jc w:val="both"/>
        <w:textAlignment w:val="baseline"/>
      </w:pPr>
      <w:r>
        <w:t>D-04.01.01 „Dolne warstwy podbudów oraz oczyszczenie i skropienie” [10],</w:t>
      </w:r>
    </w:p>
    <w:p w:rsidR="00683496" w:rsidRDefault="00683496" w:rsidP="002122BD">
      <w:pPr>
        <w:numPr>
          <w:ilvl w:val="0"/>
          <w:numId w:val="70"/>
        </w:numPr>
        <w:overflowPunct w:val="0"/>
        <w:autoSpaceDE w:val="0"/>
        <w:autoSpaceDN w:val="0"/>
        <w:adjustRightInd w:val="0"/>
        <w:jc w:val="both"/>
        <w:textAlignment w:val="baseline"/>
      </w:pPr>
      <w:r>
        <w:t>D-04.04.00</w:t>
      </w:r>
      <w:r>
        <w:sym w:font="Symbol" w:char="F0B8"/>
      </w:r>
      <w:r>
        <w:t>04.04.03 „Podbudowy z kruszywa stabilizowanego mechanicznie” (z kruszywa naturalnego lub łamanego) [11],</w:t>
      </w:r>
    </w:p>
    <w:p w:rsidR="00683496" w:rsidRDefault="00683496" w:rsidP="002122BD">
      <w:pPr>
        <w:numPr>
          <w:ilvl w:val="0"/>
          <w:numId w:val="70"/>
        </w:numPr>
        <w:overflowPunct w:val="0"/>
        <w:autoSpaceDE w:val="0"/>
        <w:autoSpaceDN w:val="0"/>
        <w:adjustRightInd w:val="0"/>
        <w:jc w:val="both"/>
        <w:textAlignment w:val="baseline"/>
      </w:pPr>
      <w:r>
        <w:t>D-04.06.01 „Podbudowa z chudego betonu” [14],</w:t>
      </w:r>
    </w:p>
    <w:p w:rsidR="00683496" w:rsidRDefault="00683496" w:rsidP="00683496">
      <w:r>
        <w:tab/>
        <w:t xml:space="preserve">Inne rodzaje podbudów powinny odpowiadać wymaganiom norm, wytycznych </w:t>
      </w:r>
      <w:proofErr w:type="spellStart"/>
      <w:r>
        <w:t>IBDiM</w:t>
      </w:r>
      <w:proofErr w:type="spellEnd"/>
      <w:r>
        <w:t xml:space="preserve"> lub indywidualnie opracowanym SST zaakceptowanym przez Inżyniera.</w:t>
      </w:r>
    </w:p>
    <w:p w:rsidR="00683496" w:rsidRDefault="00683496" w:rsidP="00683496">
      <w:pPr>
        <w:pStyle w:val="Nagwek2"/>
      </w:pPr>
      <w:r>
        <w:t>5.5. Obramowanie nawierzchni</w:t>
      </w:r>
    </w:p>
    <w:p w:rsidR="00683496" w:rsidRDefault="00683496" w:rsidP="00683496">
      <w:pPr>
        <w:pStyle w:val="tekstost"/>
      </w:pPr>
      <w:r>
        <w:tab/>
        <w:t>Rodzaj obramowania nawierzchni powinien być zgodny z dokumentacją projektową lub SST.</w:t>
      </w:r>
    </w:p>
    <w:p w:rsidR="00683496" w:rsidRDefault="00683496" w:rsidP="00683496">
      <w:pPr>
        <w:pStyle w:val="tekstost"/>
      </w:pPr>
      <w:r>
        <w:tab/>
        <w:t xml:space="preserve">Jeśli dokumentacja projektowa lub SST nie ustala inaczej, to materiały do wykonania obramowań powinny odpowiadać wymaganiom określonym w </w:t>
      </w:r>
      <w:proofErr w:type="spellStart"/>
      <w:r>
        <w:t>pkcie</w:t>
      </w:r>
      <w:proofErr w:type="spellEnd"/>
      <w:r>
        <w:t xml:space="preserve"> 2.4.</w:t>
      </w:r>
    </w:p>
    <w:p w:rsidR="00683496" w:rsidRDefault="00683496" w:rsidP="00683496">
      <w:pPr>
        <w:pStyle w:val="tekstost"/>
      </w:pPr>
      <w:r>
        <w:tab/>
        <w:t xml:space="preserve">Ustawianie krawężników, obrzeży i ew. wykonanie ścieków </w:t>
      </w:r>
      <w:proofErr w:type="spellStart"/>
      <w:r>
        <w:t>przykrawężnikowych</w:t>
      </w:r>
      <w:proofErr w:type="spellEnd"/>
      <w:r>
        <w:t xml:space="preserve"> powinno być zgodne z wymaganiami zawartymi w SST D-08.01.01</w:t>
      </w:r>
    </w:p>
    <w:p w:rsidR="00683496" w:rsidRDefault="00683496" w:rsidP="00683496">
      <w:pPr>
        <w:pStyle w:val="tekstost"/>
      </w:pPr>
      <w: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683496" w:rsidRDefault="00683496" w:rsidP="00683496">
      <w:pPr>
        <w:pStyle w:val="Nagwek2"/>
      </w:pPr>
      <w:r>
        <w:t>5.6. Podsypka</w:t>
      </w:r>
    </w:p>
    <w:p w:rsidR="00683496" w:rsidRDefault="00683496" w:rsidP="00683496">
      <w:pPr>
        <w:pStyle w:val="tekstost"/>
      </w:pPr>
      <w:r>
        <w:tab/>
        <w:t>Rodzaj podsypki i jej grubość powinny być zgodne z dokumentacją projektową lub SST.</w:t>
      </w:r>
    </w:p>
    <w:p w:rsidR="00683496" w:rsidRDefault="00683496" w:rsidP="00683496">
      <w:pPr>
        <w:pStyle w:val="tekstost"/>
      </w:pPr>
      <w:r>
        <w:tab/>
        <w:t>Jeśli dokumentacja projektowa lub SST nie ustala inaczej to grubość podsypki powinna wynosić po zagęszczeniu 3</w:t>
      </w:r>
      <w:r>
        <w:sym w:font="Symbol" w:char="F0B8"/>
      </w:r>
      <w:r>
        <w:t xml:space="preserve">5 cm, a wymagania dla materiałów na podsypkę powinny być zgodne z </w:t>
      </w:r>
      <w:proofErr w:type="spellStart"/>
      <w:r>
        <w:t>pktem</w:t>
      </w:r>
      <w:proofErr w:type="spellEnd"/>
      <w:r>
        <w:t xml:space="preserve"> 2.3. Dopuszczalne odchyłki od zaprojektowanej grubości podsypki nie powinny przekraczać </w:t>
      </w:r>
      <w:r>
        <w:sym w:font="Symbol" w:char="F0B1"/>
      </w:r>
      <w:r>
        <w:t xml:space="preserve"> </w:t>
      </w:r>
      <w:smartTag w:uri="urn:schemas-microsoft-com:office:smarttags" w:element="metricconverter">
        <w:smartTagPr>
          <w:attr w:name="ProductID" w:val="1 cm"/>
        </w:smartTagPr>
        <w:r>
          <w:t>1 cm</w:t>
        </w:r>
      </w:smartTag>
      <w:r>
        <w:t>.</w:t>
      </w:r>
    </w:p>
    <w:p w:rsidR="00683496" w:rsidRDefault="00683496" w:rsidP="00683496">
      <w:pPr>
        <w:pStyle w:val="tekstost"/>
      </w:pPr>
      <w:r>
        <w:tab/>
        <w:t>Podsypkę piaskową należy zwilżyć wodą, równomiernie rozścielić i zagęścić lekkimi walcami (np. ręcznymi) lub zagęszczarkami wibracyjnymi w stanie wilgotności optymalnej.</w:t>
      </w:r>
    </w:p>
    <w:p w:rsidR="00683496" w:rsidRDefault="00683496" w:rsidP="00683496">
      <w:pPr>
        <w:pStyle w:val="tekstost"/>
      </w:pPr>
      <w:r>
        <w:tab/>
        <w:t>Podsypkę cementowo-piaskową stosuje się z zasady przy występowaniu podbudowy pod nawierzchnią z kostki. Podsypkę cementowo-piaskową przygotowuje się w betoniarkach, a następnie rozściela się na uprzednio zwilżonej podbudowie, przy zachowaniu:</w:t>
      </w:r>
    </w:p>
    <w:p w:rsidR="00683496" w:rsidRDefault="00683496" w:rsidP="002122BD">
      <w:pPr>
        <w:pStyle w:val="tekstost"/>
        <w:numPr>
          <w:ilvl w:val="0"/>
          <w:numId w:val="63"/>
        </w:numPr>
        <w:overflowPunct w:val="0"/>
        <w:autoSpaceDE w:val="0"/>
        <w:autoSpaceDN w:val="0"/>
        <w:adjustRightInd w:val="0"/>
        <w:ind w:left="283"/>
        <w:textAlignment w:val="baseline"/>
      </w:pPr>
      <w:r>
        <w:t>współczynnika wodnocementowego od 0,25 do 0,35,</w:t>
      </w:r>
    </w:p>
    <w:p w:rsidR="00683496" w:rsidRDefault="00683496" w:rsidP="002122BD">
      <w:pPr>
        <w:pStyle w:val="tekstost"/>
        <w:numPr>
          <w:ilvl w:val="0"/>
          <w:numId w:val="63"/>
        </w:numPr>
        <w:overflowPunct w:val="0"/>
        <w:autoSpaceDE w:val="0"/>
        <w:autoSpaceDN w:val="0"/>
        <w:adjustRightInd w:val="0"/>
        <w:ind w:left="283"/>
        <w:textAlignment w:val="baseline"/>
      </w:pPr>
      <w:r>
        <w:t>wytrzymałości na ściskanie nie mniejszej niż R</w:t>
      </w:r>
      <w:r>
        <w:rPr>
          <w:vertAlign w:val="subscript"/>
        </w:rPr>
        <w:t>7</w:t>
      </w:r>
      <w:r>
        <w:t xml:space="preserve"> = 10 </w:t>
      </w:r>
      <w:proofErr w:type="spellStart"/>
      <w:r>
        <w:t>MPa</w:t>
      </w:r>
      <w:proofErr w:type="spellEnd"/>
      <w:r>
        <w:t>, R</w:t>
      </w:r>
      <w:r>
        <w:rPr>
          <w:vertAlign w:val="subscript"/>
        </w:rPr>
        <w:t>28</w:t>
      </w:r>
      <w:r>
        <w:t xml:space="preserve"> = 14 </w:t>
      </w:r>
      <w:proofErr w:type="spellStart"/>
      <w:r>
        <w:t>MPa</w:t>
      </w:r>
      <w:proofErr w:type="spellEnd"/>
      <w:r>
        <w:t>.</w:t>
      </w:r>
    </w:p>
    <w:p w:rsidR="00683496" w:rsidRDefault="00683496" w:rsidP="00683496">
      <w:pPr>
        <w:pStyle w:val="tekstost"/>
      </w:pPr>
      <w:r>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t>4 m</w:t>
        </w:r>
      </w:smartTag>
      <w:r>
        <w:t>. Rozścielona podsypka powinna być wyprofilowana i zagęszczona w stanie wilgotnym, lekkimi walcami (np. ręcznymi) lub zagęszczarkami wibracyjnymi.</w:t>
      </w:r>
    </w:p>
    <w:p w:rsidR="00683496" w:rsidRDefault="00683496" w:rsidP="00683496">
      <w:pPr>
        <w:pStyle w:val="tekstost"/>
      </w:pPr>
      <w:r>
        <w:tab/>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t>20 m</w:t>
        </w:r>
      </w:smartTag>
      <w:r>
        <w:t>.</w:t>
      </w:r>
    </w:p>
    <w:p w:rsidR="00683496" w:rsidRDefault="00683496" w:rsidP="00683496">
      <w:pPr>
        <w:pStyle w:val="tekstost"/>
      </w:pPr>
      <w:r>
        <w:tab/>
        <w:t>Całkowite ubicie nawierzchni i wypełnienie spoin zaprawą musi być zakończone przed rozpoczęciem wiązania cementu w podsypce.</w:t>
      </w:r>
    </w:p>
    <w:p w:rsidR="00683496" w:rsidRDefault="00683496" w:rsidP="00683496">
      <w:pPr>
        <w:pStyle w:val="Nagwek2"/>
      </w:pPr>
      <w:r>
        <w:t>5.7. Układanie nawierzchni z betonowych kostek brukowych</w:t>
      </w:r>
    </w:p>
    <w:p w:rsidR="00683496" w:rsidRDefault="00683496" w:rsidP="002122BD">
      <w:pPr>
        <w:numPr>
          <w:ilvl w:val="0"/>
          <w:numId w:val="71"/>
        </w:numPr>
        <w:overflowPunct w:val="0"/>
        <w:autoSpaceDE w:val="0"/>
        <w:autoSpaceDN w:val="0"/>
        <w:adjustRightInd w:val="0"/>
        <w:spacing w:after="120"/>
        <w:ind w:left="284" w:hanging="284"/>
        <w:jc w:val="both"/>
        <w:textAlignment w:val="baseline"/>
      </w:pPr>
      <w:r>
        <w:t>Ustalenie kształtu, wymiaru i koloru kostek oraz desenia ich układania</w:t>
      </w:r>
    </w:p>
    <w:p w:rsidR="00683496" w:rsidRDefault="00683496" w:rsidP="00683496">
      <w:r>
        <w:tab/>
        <w:t xml:space="preserve">Kształt, wymiary, barwę i inne cechy charakterystyczne kostek wg </w:t>
      </w:r>
      <w:proofErr w:type="spellStart"/>
      <w:r>
        <w:t>pktu</w:t>
      </w:r>
      <w:proofErr w:type="spellEnd"/>
      <w:r>
        <w:t xml:space="preserve"> 2.2.1 oraz deseń ich układania (przykłady podano w zał. 5) powinny być zgodne z dokumentacją projektową lub SST,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t>1 m</w:t>
        </w:r>
        <w:r>
          <w:rPr>
            <w:vertAlign w:val="superscript"/>
          </w:rPr>
          <w:t>2</w:t>
        </w:r>
      </w:smartTag>
      <w:r>
        <w:t xml:space="preserve"> wstępnie wybranych kostek, wyłącznie na podsypce piaskowej.</w:t>
      </w:r>
    </w:p>
    <w:p w:rsidR="00683496" w:rsidRDefault="00683496" w:rsidP="002122BD">
      <w:pPr>
        <w:numPr>
          <w:ilvl w:val="0"/>
          <w:numId w:val="72"/>
        </w:numPr>
        <w:overflowPunct w:val="0"/>
        <w:autoSpaceDE w:val="0"/>
        <w:autoSpaceDN w:val="0"/>
        <w:adjustRightInd w:val="0"/>
        <w:spacing w:before="120" w:after="120"/>
        <w:ind w:left="284" w:hanging="284"/>
        <w:jc w:val="both"/>
        <w:textAlignment w:val="baseline"/>
      </w:pPr>
      <w:r>
        <w:t>Warunki atmosferyczne</w:t>
      </w:r>
    </w:p>
    <w:p w:rsidR="00683496" w:rsidRDefault="00683496" w:rsidP="00683496">
      <w:r>
        <w:lastRenderedPageBreak/>
        <w:tab/>
        <w:t>Ułożenie nawierzchni z kostki na podsypce cementowo-piaskowej zaleca się wykonywać przy temperaturze otoczenia nie niższej niż +5</w:t>
      </w:r>
      <w:r>
        <w:rPr>
          <w:vertAlign w:val="superscript"/>
        </w:rPr>
        <w:t>o</w:t>
      </w:r>
      <w:r>
        <w:t>C. Dopuszcza się wykonanie nawierzchni jeśli w ciągu dnia temperatura utrzymuje się w granicach od 0</w:t>
      </w:r>
      <w:r>
        <w:rPr>
          <w:vertAlign w:val="superscript"/>
        </w:rPr>
        <w:t>o</w:t>
      </w:r>
      <w:r>
        <w:t>C do +5</w:t>
      </w:r>
      <w:r>
        <w:rPr>
          <w:vertAlign w:val="superscript"/>
        </w:rPr>
        <w:t>o</w:t>
      </w:r>
      <w:r>
        <w:t>C, przy czym jeśli w nocy spodziewane są przymrozki kostkę należy zabezpieczyć materiałami o złym przewodnictwie ciepła (np. matami ze słomy, papą itp.).</w:t>
      </w:r>
    </w:p>
    <w:p w:rsidR="00683496" w:rsidRDefault="00683496" w:rsidP="00683496">
      <w:r>
        <w:tab/>
        <w:t>Nawierzchnię na podsypce piaskowej zaleca się wykonywać w dodatnich temperaturach otoczenia.</w:t>
      </w:r>
    </w:p>
    <w:p w:rsidR="00683496" w:rsidRDefault="00683496" w:rsidP="002122BD">
      <w:pPr>
        <w:numPr>
          <w:ilvl w:val="0"/>
          <w:numId w:val="73"/>
        </w:numPr>
        <w:overflowPunct w:val="0"/>
        <w:autoSpaceDE w:val="0"/>
        <w:autoSpaceDN w:val="0"/>
        <w:adjustRightInd w:val="0"/>
        <w:spacing w:before="120" w:after="120"/>
        <w:ind w:left="284" w:hanging="284"/>
        <w:jc w:val="both"/>
        <w:textAlignment w:val="baseline"/>
      </w:pPr>
      <w:r>
        <w:t>Ułożenie nawierzchni z kostek</w:t>
      </w:r>
    </w:p>
    <w:p w:rsidR="00683496" w:rsidRDefault="00683496" w:rsidP="00683496">
      <w:r>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683496" w:rsidRDefault="00683496" w:rsidP="00683496">
      <w:r>
        <w:tab/>
        <w:t>Układanie kostki można wykonywać ręcznie lub mechanicznie.</w:t>
      </w:r>
    </w:p>
    <w:p w:rsidR="00683496" w:rsidRDefault="00683496" w:rsidP="00683496">
      <w:r>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683496" w:rsidRDefault="00683496" w:rsidP="00683496">
      <w:r>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683496" w:rsidRDefault="00683496" w:rsidP="00683496">
      <w:r>
        <w:tab/>
        <w:t xml:space="preserve">Kostkę układa się około </w:t>
      </w:r>
      <w:smartTag w:uri="urn:schemas-microsoft-com:office:smarttags" w:element="metricconverter">
        <w:smartTagPr>
          <w:attr w:name="ProductID" w:val="1,5 cm"/>
        </w:smartTagPr>
        <w:r>
          <w:t>1,5 cm</w:t>
        </w:r>
      </w:smartTag>
      <w:r>
        <w:t xml:space="preserve"> wyżej od projektowanej niwelety, ponieważ po procesie ubijania podsypka zagęszcza się.</w:t>
      </w:r>
    </w:p>
    <w:p w:rsidR="00683496" w:rsidRDefault="00683496" w:rsidP="00683496">
      <w:r>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t>3 mm</w:t>
        </w:r>
      </w:smartTag>
      <w:r>
        <w:t xml:space="preserve"> do </w:t>
      </w:r>
      <w:smartTag w:uri="urn:schemas-microsoft-com:office:smarttags" w:element="metricconverter">
        <w:smartTagPr>
          <w:attr w:name="ProductID" w:val="5 mm"/>
        </w:smartTagPr>
        <w:r>
          <w:t>5 mm</w:t>
        </w:r>
      </w:smartTag>
      <w:r>
        <w:t xml:space="preserve"> powyżej powierzchni tych urządzeń oraz od </w:t>
      </w:r>
      <w:smartTag w:uri="urn:schemas-microsoft-com:office:smarttags" w:element="metricconverter">
        <w:smartTagPr>
          <w:attr w:name="ProductID" w:val="3 mm"/>
        </w:smartTagPr>
        <w:r>
          <w:t>3 mm</w:t>
        </w:r>
      </w:smartTag>
      <w:r>
        <w:t xml:space="preserve"> do </w:t>
      </w:r>
      <w:smartTag w:uri="urn:schemas-microsoft-com:office:smarttags" w:element="metricconverter">
        <w:smartTagPr>
          <w:attr w:name="ProductID" w:val="10 mm"/>
        </w:smartTagPr>
        <w:r>
          <w:t>10 mm</w:t>
        </w:r>
      </w:smartTag>
      <w:r>
        <w:t xml:space="preserve"> powyżej korytek ściekowych (ścieków).</w:t>
      </w:r>
    </w:p>
    <w:p w:rsidR="00683496" w:rsidRDefault="00683496" w:rsidP="00683496">
      <w:r>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683496" w:rsidRDefault="00683496" w:rsidP="00683496">
      <w:r>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683496" w:rsidRDefault="00683496" w:rsidP="002122BD">
      <w:pPr>
        <w:numPr>
          <w:ilvl w:val="0"/>
          <w:numId w:val="74"/>
        </w:numPr>
        <w:overflowPunct w:val="0"/>
        <w:autoSpaceDE w:val="0"/>
        <w:autoSpaceDN w:val="0"/>
        <w:adjustRightInd w:val="0"/>
        <w:spacing w:before="120" w:after="120"/>
        <w:ind w:left="284" w:hanging="284"/>
        <w:jc w:val="both"/>
        <w:textAlignment w:val="baseline"/>
      </w:pPr>
      <w:r>
        <w:t>Ubicie nawierzchni z kostek</w:t>
      </w:r>
    </w:p>
    <w:p w:rsidR="00683496" w:rsidRDefault="00683496" w:rsidP="00683496">
      <w:r>
        <w:tab/>
        <w:t>Ubicie nawierzchni należy przeprowadzić za pomocą zagęszczarki wibracyjnej (płytowej) z osłoną z tworzywa sztucznego. Do ubicia nawierzchni nie wolno używać walca.</w:t>
      </w:r>
    </w:p>
    <w:p w:rsidR="00683496" w:rsidRDefault="00683496" w:rsidP="00683496">
      <w:r>
        <w:tab/>
        <w:t>Ubijanie nawierzchni należy prowadzić od krawędzi powierzchni w kierunku jej środka i jednocześnie w kierunku poprzecznym kształtek. Ewentualne nierówności powierzchniowe mogą być zlikwidowane przez ubijanie w kierunku wzdłużnym kostki.</w:t>
      </w:r>
    </w:p>
    <w:p w:rsidR="00683496" w:rsidRDefault="00683496" w:rsidP="00683496">
      <w:r>
        <w:tab/>
        <w:t>Po ubiciu nawierzchni wszystkie kostki uszkodzone (np. pęknięte) należy wymienić na kostki całe.</w:t>
      </w:r>
    </w:p>
    <w:p w:rsidR="00683496" w:rsidRDefault="00683496" w:rsidP="002122BD">
      <w:pPr>
        <w:numPr>
          <w:ilvl w:val="0"/>
          <w:numId w:val="75"/>
        </w:numPr>
        <w:overflowPunct w:val="0"/>
        <w:autoSpaceDE w:val="0"/>
        <w:autoSpaceDN w:val="0"/>
        <w:adjustRightInd w:val="0"/>
        <w:spacing w:before="120" w:after="120"/>
        <w:ind w:left="284" w:hanging="284"/>
        <w:jc w:val="both"/>
        <w:textAlignment w:val="baseline"/>
      </w:pPr>
      <w:r>
        <w:t>Spoiny i szczeliny dylatacyjne</w:t>
      </w:r>
    </w:p>
    <w:p w:rsidR="00683496" w:rsidRDefault="00683496" w:rsidP="002122BD">
      <w:pPr>
        <w:numPr>
          <w:ilvl w:val="0"/>
          <w:numId w:val="76"/>
        </w:numPr>
        <w:overflowPunct w:val="0"/>
        <w:autoSpaceDE w:val="0"/>
        <w:autoSpaceDN w:val="0"/>
        <w:adjustRightInd w:val="0"/>
        <w:spacing w:after="120"/>
        <w:ind w:left="284" w:hanging="284"/>
        <w:jc w:val="both"/>
        <w:textAlignment w:val="baseline"/>
      </w:pPr>
      <w:r>
        <w:t>Spoiny</w:t>
      </w:r>
    </w:p>
    <w:p w:rsidR="00683496" w:rsidRDefault="00683496" w:rsidP="00683496">
      <w:r>
        <w:tab/>
        <w:t xml:space="preserve">Szerokość spoin pomiędzy betonowymi kostkami brukowymi powinna wynosić od </w:t>
      </w:r>
      <w:smartTag w:uri="urn:schemas-microsoft-com:office:smarttags" w:element="metricconverter">
        <w:smartTagPr>
          <w:attr w:name="ProductID" w:val="3 mm"/>
        </w:smartTagPr>
        <w:r>
          <w:t>3 mm</w:t>
        </w:r>
      </w:smartTag>
      <w:r>
        <w:t xml:space="preserve"> do </w:t>
      </w:r>
      <w:smartTag w:uri="urn:schemas-microsoft-com:office:smarttags" w:element="metricconverter">
        <w:smartTagPr>
          <w:attr w:name="ProductID" w:val="5 mm"/>
        </w:smartTagPr>
        <w:r>
          <w:t>5 mm</w:t>
        </w:r>
      </w:smartTag>
      <w:r>
        <w:t>.</w:t>
      </w:r>
    </w:p>
    <w:p w:rsidR="00683496" w:rsidRDefault="00683496" w:rsidP="00683496">
      <w:r>
        <w:tab/>
        <w:t>W przypadku stosowania prostopadłościennych kostek brukowych zaleca się aby osie spoin pomiędzy dłuższymi bokami tych kostek tworzyły z osią drogi kąt 45</w:t>
      </w:r>
      <w:r>
        <w:rPr>
          <w:vertAlign w:val="superscript"/>
        </w:rPr>
        <w:t>o</w:t>
      </w:r>
      <w:r>
        <w:t>, a wierzchołek utworzonego kąta prostego pomiędzy spoinami miał kierunek odwrotny do kierunku spadku podłużnego nawierzchni.</w:t>
      </w:r>
    </w:p>
    <w:p w:rsidR="00683496" w:rsidRDefault="00683496" w:rsidP="00683496">
      <w:r>
        <w:tab/>
        <w:t>Po ułożeniu kostek, spoiny należy wypełnić:</w:t>
      </w:r>
    </w:p>
    <w:p w:rsidR="00683496" w:rsidRDefault="00683496" w:rsidP="002122BD">
      <w:pPr>
        <w:numPr>
          <w:ilvl w:val="0"/>
          <w:numId w:val="77"/>
        </w:numPr>
        <w:overflowPunct w:val="0"/>
        <w:autoSpaceDE w:val="0"/>
        <w:autoSpaceDN w:val="0"/>
        <w:adjustRightInd w:val="0"/>
        <w:jc w:val="both"/>
        <w:textAlignment w:val="baseline"/>
      </w:pPr>
      <w:r>
        <w:t>piaskiem,</w:t>
      </w:r>
    </w:p>
    <w:p w:rsidR="00683496" w:rsidRDefault="00683496" w:rsidP="002122BD">
      <w:pPr>
        <w:numPr>
          <w:ilvl w:val="0"/>
          <w:numId w:val="77"/>
        </w:numPr>
        <w:overflowPunct w:val="0"/>
        <w:autoSpaceDE w:val="0"/>
        <w:autoSpaceDN w:val="0"/>
        <w:adjustRightInd w:val="0"/>
        <w:jc w:val="both"/>
        <w:textAlignment w:val="baseline"/>
      </w:pPr>
      <w:r>
        <w:tab/>
        <w:t xml:space="preserve">Wypełnienie spoin piaskiem polega na rozsypaniu warstwy piasku i wmieceniu go w spoiny na sucho lub, po obfitym polaniu wodą - wmieceniu papki piaskowej szczotkami względnie </w:t>
      </w:r>
      <w:proofErr w:type="spellStart"/>
      <w:r>
        <w:t>rozgarniaczkami</w:t>
      </w:r>
      <w:proofErr w:type="spellEnd"/>
      <w:r>
        <w:t xml:space="preserve"> z piórami gumowymi.</w:t>
      </w:r>
    </w:p>
    <w:p w:rsidR="00683496" w:rsidRDefault="00683496" w:rsidP="00683496">
      <w:r>
        <w:tab/>
      </w:r>
    </w:p>
    <w:p w:rsidR="00683496" w:rsidRDefault="00683496" w:rsidP="00683496">
      <w:pPr>
        <w:pStyle w:val="Nagwek2"/>
      </w:pPr>
      <w:r>
        <w:t>5.8. Pielęgnacja nawierzchni i oddanie jej dla ruchu</w:t>
      </w:r>
    </w:p>
    <w:p w:rsidR="00683496" w:rsidRDefault="00683496" w:rsidP="00683496">
      <w:r>
        <w:tab/>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t>4,0 cm</w:t>
        </w:r>
      </w:smartTag>
      <w:r>
        <w:t xml:space="preserve"> i utrzymywać </w:t>
      </w:r>
      <w:r>
        <w:lastRenderedPageBreak/>
        <w:t>ją w stanie wilgotnym przez 7 do 10 dni. Po upływie od 2 tygodni (przy temperaturze średniej otoczenia nie niższej niż 15</w:t>
      </w:r>
      <w:r>
        <w:rPr>
          <w:vertAlign w:val="superscript"/>
        </w:rPr>
        <w:t>o</w:t>
      </w:r>
      <w:r>
        <w:t>C) do 3 tygodni (w porze chłodniejszej) nawierzchnię należy oczyścić z piasku i można oddać do użytku.</w:t>
      </w:r>
    </w:p>
    <w:p w:rsidR="00683496" w:rsidRDefault="00683496" w:rsidP="00683496">
      <w:pPr>
        <w:pStyle w:val="Nagwek1"/>
      </w:pPr>
      <w:r>
        <w:t xml:space="preserve"> </w:t>
      </w:r>
      <w:bookmarkStart w:id="432" w:name="_Toc107903641"/>
      <w:r>
        <w:t>6. kontrola jakości robót</w:t>
      </w:r>
      <w:bookmarkEnd w:id="432"/>
    </w:p>
    <w:p w:rsidR="00683496" w:rsidRDefault="00683496" w:rsidP="00683496">
      <w:pPr>
        <w:pStyle w:val="Nagwek2"/>
      </w:pPr>
      <w:r>
        <w:t>6.1. Ogólne zasady kontroli jakości robót</w:t>
      </w:r>
    </w:p>
    <w:p w:rsidR="00683496" w:rsidRDefault="00683496" w:rsidP="00683496">
      <w:r>
        <w:tab/>
        <w:t>Ogólne zasady kontroli jakości robót podano w SST D-00.00.00 „Wymagania ogólne” [9] pkt 6.</w:t>
      </w:r>
    </w:p>
    <w:p w:rsidR="00683496" w:rsidRDefault="00683496" w:rsidP="00683496">
      <w:pPr>
        <w:pStyle w:val="Nagwek2"/>
      </w:pPr>
      <w:r>
        <w:t>6.2. Badania przed przystąpieniem do robót</w:t>
      </w:r>
    </w:p>
    <w:p w:rsidR="00683496" w:rsidRDefault="00683496" w:rsidP="00683496">
      <w:r>
        <w:tab/>
        <w:t>Przed przystąpieniem do robót Wykonawca powinien uzyskać:</w:t>
      </w:r>
    </w:p>
    <w:p w:rsidR="00683496" w:rsidRDefault="00683496" w:rsidP="002122BD">
      <w:pPr>
        <w:numPr>
          <w:ilvl w:val="0"/>
          <w:numId w:val="78"/>
        </w:numPr>
        <w:overflowPunct w:val="0"/>
        <w:autoSpaceDE w:val="0"/>
        <w:autoSpaceDN w:val="0"/>
        <w:adjustRightInd w:val="0"/>
        <w:jc w:val="both"/>
        <w:textAlignment w:val="baseline"/>
      </w:pPr>
      <w:r>
        <w:t>w zakresie betonowej kostki brukowej</w:t>
      </w:r>
    </w:p>
    <w:p w:rsidR="00683496" w:rsidRDefault="00683496" w:rsidP="002122BD">
      <w:pPr>
        <w:numPr>
          <w:ilvl w:val="0"/>
          <w:numId w:val="63"/>
        </w:numPr>
        <w:overflowPunct w:val="0"/>
        <w:autoSpaceDE w:val="0"/>
        <w:autoSpaceDN w:val="0"/>
        <w:adjustRightInd w:val="0"/>
        <w:ind w:left="567"/>
        <w:jc w:val="both"/>
        <w:textAlignment w:val="baseline"/>
      </w:pPr>
      <w:r>
        <w:t>certyfikat zgodności lub deklarację zgodności dostawcy oraz ewentualne wyniki badań cech charakterystycznych kostek, w przypadku żądania ich przez Inżyniera,</w:t>
      </w:r>
    </w:p>
    <w:p w:rsidR="00683496" w:rsidRDefault="00683496" w:rsidP="002122BD">
      <w:pPr>
        <w:numPr>
          <w:ilvl w:val="0"/>
          <w:numId w:val="63"/>
        </w:numPr>
        <w:overflowPunct w:val="0"/>
        <w:autoSpaceDE w:val="0"/>
        <w:autoSpaceDN w:val="0"/>
        <w:adjustRightInd w:val="0"/>
        <w:ind w:left="567"/>
        <w:jc w:val="both"/>
        <w:textAlignment w:val="baseline"/>
      </w:pPr>
      <w:r>
        <w:t xml:space="preserve">wyniki sprawdzenia przez Wykonawcę cech zewnętrznych kostek wg </w:t>
      </w:r>
      <w:proofErr w:type="spellStart"/>
      <w:r>
        <w:t>pktu</w:t>
      </w:r>
      <w:proofErr w:type="spellEnd"/>
      <w:r>
        <w:t xml:space="preserve"> 2.2.2.),</w:t>
      </w:r>
    </w:p>
    <w:p w:rsidR="00683496" w:rsidRDefault="00683496" w:rsidP="002122BD">
      <w:pPr>
        <w:numPr>
          <w:ilvl w:val="0"/>
          <w:numId w:val="78"/>
        </w:numPr>
        <w:overflowPunct w:val="0"/>
        <w:autoSpaceDE w:val="0"/>
        <w:autoSpaceDN w:val="0"/>
        <w:adjustRightInd w:val="0"/>
        <w:jc w:val="both"/>
        <w:textAlignment w:val="baseline"/>
      </w:pPr>
      <w:r>
        <w:t>w zakresie innych materiałów</w:t>
      </w:r>
    </w:p>
    <w:p w:rsidR="00683496" w:rsidRDefault="00683496" w:rsidP="002122BD">
      <w:pPr>
        <w:numPr>
          <w:ilvl w:val="0"/>
          <w:numId w:val="63"/>
        </w:numPr>
        <w:overflowPunct w:val="0"/>
        <w:autoSpaceDE w:val="0"/>
        <w:autoSpaceDN w:val="0"/>
        <w:adjustRightInd w:val="0"/>
        <w:ind w:left="571"/>
        <w:jc w:val="both"/>
        <w:textAlignment w:val="baseline"/>
      </w:pPr>
      <w:r>
        <w:t>sprawdzenie przez Wykonawcę cech zewnętrznych materiałów prefabrykowanych (krawężników, obrzeży),</w:t>
      </w:r>
    </w:p>
    <w:p w:rsidR="00683496" w:rsidRDefault="00683496" w:rsidP="002122BD">
      <w:pPr>
        <w:numPr>
          <w:ilvl w:val="0"/>
          <w:numId w:val="63"/>
        </w:numPr>
        <w:overflowPunct w:val="0"/>
        <w:autoSpaceDE w:val="0"/>
        <w:autoSpaceDN w:val="0"/>
        <w:adjustRightInd w:val="0"/>
        <w:ind w:left="571"/>
        <w:jc w:val="both"/>
        <w:textAlignment w:val="baseline"/>
      </w:pPr>
      <w:r>
        <w:t>ew. badania właściwości kruszyw, piasku, cementu, wody itp. określone w normach, które budzą wątpliwości Inżyniera.</w:t>
      </w:r>
    </w:p>
    <w:p w:rsidR="00683496" w:rsidRDefault="00683496" w:rsidP="00683496">
      <w:r>
        <w:tab/>
        <w:t>Wszystkie dokumenty oraz wyniki badań Wykonawca przedstawia Inżynierowi do akceptacji.</w:t>
      </w:r>
    </w:p>
    <w:p w:rsidR="00683496" w:rsidRDefault="00683496" w:rsidP="00683496">
      <w:pPr>
        <w:pStyle w:val="Nagwek2"/>
      </w:pPr>
      <w:r>
        <w:t>6.3. Badania w czasie robót</w:t>
      </w:r>
    </w:p>
    <w:p w:rsidR="00683496" w:rsidRDefault="00683496" w:rsidP="00683496">
      <w:r>
        <w:tab/>
        <w:t>Częstotliwość oraz zakres badań i pomiarów w czasie robót nawierzchniowych z kostki podaje tablica 2.</w:t>
      </w:r>
    </w:p>
    <w:p w:rsidR="00683496" w:rsidRDefault="00683496" w:rsidP="00683496">
      <w:pPr>
        <w:spacing w:after="120"/>
      </w:pPr>
      <w:r>
        <w:br w:type="page"/>
      </w:r>
      <w:r>
        <w:lastRenderedPageBreak/>
        <w:t>Tablica 2. Częstotliwość oraz zakres badań i pomiarów w czasie robót</w:t>
      </w:r>
    </w:p>
    <w:tbl>
      <w:tblPr>
        <w:tblW w:w="7725" w:type="dxa"/>
        <w:tblLayout w:type="fixed"/>
        <w:tblCellMar>
          <w:left w:w="70" w:type="dxa"/>
          <w:right w:w="70" w:type="dxa"/>
        </w:tblCellMar>
        <w:tblLook w:val="0000" w:firstRow="0" w:lastRow="0" w:firstColumn="0" w:lastColumn="0" w:noHBand="0" w:noVBand="0"/>
      </w:tblPr>
      <w:tblGrid>
        <w:gridCol w:w="496"/>
        <w:gridCol w:w="3056"/>
        <w:gridCol w:w="2614"/>
        <w:gridCol w:w="1559"/>
      </w:tblGrid>
      <w:tr w:rsidR="00683496" w:rsidTr="00683496">
        <w:tc>
          <w:tcPr>
            <w:tcW w:w="496" w:type="dxa"/>
            <w:tcBorders>
              <w:top w:val="single" w:sz="6" w:space="0" w:color="auto"/>
              <w:left w:val="single" w:sz="6" w:space="0" w:color="auto"/>
              <w:right w:val="single" w:sz="6" w:space="0" w:color="auto"/>
            </w:tcBorders>
          </w:tcPr>
          <w:p w:rsidR="00683496" w:rsidRDefault="00683496" w:rsidP="00683496">
            <w:pPr>
              <w:spacing w:before="180"/>
              <w:jc w:val="center"/>
              <w:rPr>
                <w:sz w:val="18"/>
              </w:rPr>
            </w:pPr>
            <w:r>
              <w:rPr>
                <w:sz w:val="18"/>
              </w:rPr>
              <w:t>Lp.</w:t>
            </w:r>
          </w:p>
        </w:tc>
        <w:tc>
          <w:tcPr>
            <w:tcW w:w="3056" w:type="dxa"/>
            <w:tcBorders>
              <w:top w:val="single" w:sz="6" w:space="0" w:color="auto"/>
              <w:left w:val="single" w:sz="6" w:space="0" w:color="auto"/>
              <w:right w:val="single" w:sz="6" w:space="0" w:color="auto"/>
            </w:tcBorders>
          </w:tcPr>
          <w:p w:rsidR="00683496" w:rsidRDefault="00683496" w:rsidP="00683496">
            <w:pPr>
              <w:spacing w:before="60"/>
              <w:jc w:val="center"/>
              <w:rPr>
                <w:sz w:val="18"/>
              </w:rPr>
            </w:pPr>
            <w:r>
              <w:rPr>
                <w:sz w:val="18"/>
              </w:rPr>
              <w:t>Wyszczególnienie</w:t>
            </w:r>
          </w:p>
          <w:p w:rsidR="00683496" w:rsidRDefault="00683496" w:rsidP="00683496">
            <w:pPr>
              <w:spacing w:after="60"/>
              <w:jc w:val="center"/>
              <w:rPr>
                <w:sz w:val="18"/>
              </w:rPr>
            </w:pPr>
            <w:r>
              <w:rPr>
                <w:sz w:val="18"/>
              </w:rPr>
              <w:t>badań i pomiarów</w:t>
            </w:r>
          </w:p>
        </w:tc>
        <w:tc>
          <w:tcPr>
            <w:tcW w:w="2614" w:type="dxa"/>
            <w:tcBorders>
              <w:top w:val="single" w:sz="6" w:space="0" w:color="auto"/>
              <w:left w:val="single" w:sz="6" w:space="0" w:color="auto"/>
              <w:right w:val="single" w:sz="6" w:space="0" w:color="auto"/>
            </w:tcBorders>
          </w:tcPr>
          <w:p w:rsidR="00683496" w:rsidRDefault="00683496" w:rsidP="00683496">
            <w:pPr>
              <w:spacing w:before="180"/>
              <w:jc w:val="center"/>
              <w:rPr>
                <w:sz w:val="18"/>
              </w:rPr>
            </w:pPr>
            <w:r>
              <w:rPr>
                <w:sz w:val="18"/>
              </w:rPr>
              <w:t>Częstotliwość badań</w:t>
            </w:r>
          </w:p>
        </w:tc>
        <w:tc>
          <w:tcPr>
            <w:tcW w:w="1559" w:type="dxa"/>
            <w:tcBorders>
              <w:top w:val="single" w:sz="6" w:space="0" w:color="auto"/>
              <w:left w:val="single" w:sz="6" w:space="0" w:color="auto"/>
              <w:right w:val="single" w:sz="6" w:space="0" w:color="auto"/>
            </w:tcBorders>
          </w:tcPr>
          <w:p w:rsidR="00683496" w:rsidRDefault="00683496" w:rsidP="00683496">
            <w:pPr>
              <w:spacing w:before="60"/>
              <w:jc w:val="center"/>
              <w:rPr>
                <w:sz w:val="18"/>
              </w:rPr>
            </w:pPr>
            <w:r>
              <w:rPr>
                <w:sz w:val="18"/>
              </w:rPr>
              <w:t>Wartości dopuszczalne</w:t>
            </w:r>
          </w:p>
        </w:tc>
      </w:tr>
      <w:tr w:rsidR="00683496" w:rsidTr="00683496">
        <w:tc>
          <w:tcPr>
            <w:tcW w:w="496" w:type="dxa"/>
            <w:tcBorders>
              <w:top w:val="double" w:sz="6" w:space="0" w:color="auto"/>
              <w:left w:val="single" w:sz="6" w:space="0" w:color="auto"/>
            </w:tcBorders>
          </w:tcPr>
          <w:p w:rsidR="00683496" w:rsidRDefault="00683496" w:rsidP="00683496">
            <w:pPr>
              <w:jc w:val="center"/>
              <w:rPr>
                <w:sz w:val="18"/>
              </w:rPr>
            </w:pPr>
            <w:r>
              <w:rPr>
                <w:sz w:val="18"/>
              </w:rPr>
              <w:t>1</w:t>
            </w:r>
          </w:p>
        </w:tc>
        <w:tc>
          <w:tcPr>
            <w:tcW w:w="3056" w:type="dxa"/>
            <w:tcBorders>
              <w:top w:val="double" w:sz="6" w:space="0" w:color="auto"/>
              <w:left w:val="single" w:sz="6" w:space="0" w:color="auto"/>
            </w:tcBorders>
          </w:tcPr>
          <w:p w:rsidR="00683496" w:rsidRDefault="00683496" w:rsidP="00683496">
            <w:pPr>
              <w:rPr>
                <w:sz w:val="18"/>
              </w:rPr>
            </w:pPr>
            <w:r>
              <w:rPr>
                <w:sz w:val="18"/>
              </w:rPr>
              <w:t>Sprawdzenie podłoża i koryta</w:t>
            </w:r>
          </w:p>
        </w:tc>
        <w:tc>
          <w:tcPr>
            <w:tcW w:w="2614" w:type="dxa"/>
            <w:tcBorders>
              <w:top w:val="double" w:sz="6" w:space="0" w:color="auto"/>
              <w:left w:val="single" w:sz="6" w:space="0" w:color="auto"/>
            </w:tcBorders>
          </w:tcPr>
          <w:p w:rsidR="00683496" w:rsidRDefault="00683496" w:rsidP="00683496">
            <w:pPr>
              <w:rPr>
                <w:sz w:val="18"/>
                <w:lang w:val="de-DE"/>
              </w:rPr>
            </w:pPr>
            <w:proofErr w:type="spellStart"/>
            <w:r>
              <w:rPr>
                <w:sz w:val="18"/>
                <w:lang w:val="de-DE"/>
              </w:rPr>
              <w:t>Wg</w:t>
            </w:r>
            <w:proofErr w:type="spellEnd"/>
            <w:r>
              <w:rPr>
                <w:sz w:val="18"/>
                <w:lang w:val="de-DE"/>
              </w:rPr>
              <w:t xml:space="preserve"> SST D-04.01.01 [10]</w:t>
            </w:r>
          </w:p>
        </w:tc>
        <w:tc>
          <w:tcPr>
            <w:tcW w:w="1559" w:type="dxa"/>
            <w:tcBorders>
              <w:top w:val="double" w:sz="6" w:space="0" w:color="auto"/>
              <w:right w:val="single" w:sz="6" w:space="0" w:color="auto"/>
            </w:tcBorders>
          </w:tcPr>
          <w:p w:rsidR="00683496" w:rsidRDefault="00683496" w:rsidP="00683496">
            <w:pPr>
              <w:rPr>
                <w:sz w:val="18"/>
                <w:lang w:val="de-DE"/>
              </w:rPr>
            </w:pPr>
          </w:p>
        </w:tc>
      </w:tr>
      <w:tr w:rsidR="00683496" w:rsidTr="00683496">
        <w:tc>
          <w:tcPr>
            <w:tcW w:w="496" w:type="dxa"/>
            <w:tcBorders>
              <w:top w:val="single" w:sz="6" w:space="0" w:color="auto"/>
              <w:left w:val="single" w:sz="6" w:space="0" w:color="auto"/>
              <w:right w:val="single" w:sz="6" w:space="0" w:color="auto"/>
            </w:tcBorders>
          </w:tcPr>
          <w:p w:rsidR="00683496" w:rsidRDefault="00683496" w:rsidP="00683496">
            <w:pPr>
              <w:jc w:val="center"/>
              <w:rPr>
                <w:sz w:val="18"/>
              </w:rPr>
            </w:pPr>
            <w:r>
              <w:rPr>
                <w:sz w:val="18"/>
              </w:rPr>
              <w:t>2</w:t>
            </w:r>
          </w:p>
        </w:tc>
        <w:tc>
          <w:tcPr>
            <w:tcW w:w="3056" w:type="dxa"/>
            <w:tcBorders>
              <w:top w:val="single" w:sz="6" w:space="0" w:color="auto"/>
            </w:tcBorders>
          </w:tcPr>
          <w:p w:rsidR="00683496" w:rsidRDefault="00683496" w:rsidP="00683496">
            <w:pPr>
              <w:rPr>
                <w:sz w:val="18"/>
              </w:rPr>
            </w:pPr>
            <w:r>
              <w:rPr>
                <w:sz w:val="18"/>
              </w:rPr>
              <w:t>Sprawdzenie ew. podbudowy</w:t>
            </w:r>
          </w:p>
        </w:tc>
        <w:tc>
          <w:tcPr>
            <w:tcW w:w="4173" w:type="dxa"/>
            <w:gridSpan w:val="2"/>
            <w:tcBorders>
              <w:top w:val="single" w:sz="6" w:space="0" w:color="auto"/>
              <w:left w:val="single" w:sz="6" w:space="0" w:color="auto"/>
              <w:right w:val="single" w:sz="6" w:space="0" w:color="auto"/>
            </w:tcBorders>
          </w:tcPr>
          <w:p w:rsidR="00683496" w:rsidRDefault="00683496" w:rsidP="00683496">
            <w:pPr>
              <w:rPr>
                <w:sz w:val="18"/>
              </w:rPr>
            </w:pPr>
            <w:r>
              <w:rPr>
                <w:sz w:val="18"/>
              </w:rPr>
              <w:t xml:space="preserve">Wg SST, norm, wytycznych, wymienionych w </w:t>
            </w:r>
            <w:proofErr w:type="spellStart"/>
            <w:r>
              <w:rPr>
                <w:sz w:val="18"/>
              </w:rPr>
              <w:t>pkcie</w:t>
            </w:r>
            <w:proofErr w:type="spellEnd"/>
            <w:r>
              <w:rPr>
                <w:sz w:val="18"/>
              </w:rPr>
              <w:t xml:space="preserve"> 5.4</w:t>
            </w:r>
          </w:p>
        </w:tc>
      </w:tr>
      <w:tr w:rsidR="00683496" w:rsidTr="00683496">
        <w:tc>
          <w:tcPr>
            <w:tcW w:w="496" w:type="dxa"/>
            <w:tcBorders>
              <w:top w:val="single" w:sz="6" w:space="0" w:color="auto"/>
              <w:left w:val="single" w:sz="6" w:space="0" w:color="auto"/>
              <w:right w:val="single" w:sz="6" w:space="0" w:color="auto"/>
            </w:tcBorders>
          </w:tcPr>
          <w:p w:rsidR="00683496" w:rsidRDefault="00683496" w:rsidP="00683496">
            <w:pPr>
              <w:jc w:val="center"/>
              <w:rPr>
                <w:sz w:val="18"/>
              </w:rPr>
            </w:pPr>
            <w:r>
              <w:rPr>
                <w:sz w:val="18"/>
              </w:rPr>
              <w:t>3</w:t>
            </w:r>
          </w:p>
        </w:tc>
        <w:tc>
          <w:tcPr>
            <w:tcW w:w="3056" w:type="dxa"/>
            <w:tcBorders>
              <w:top w:val="single" w:sz="6" w:space="0" w:color="auto"/>
            </w:tcBorders>
          </w:tcPr>
          <w:p w:rsidR="00683496" w:rsidRDefault="00683496" w:rsidP="00683496">
            <w:pPr>
              <w:rPr>
                <w:sz w:val="18"/>
              </w:rPr>
            </w:pPr>
            <w:r>
              <w:rPr>
                <w:sz w:val="18"/>
              </w:rPr>
              <w:t>Sprawdzenie obramowania nawierzchni</w:t>
            </w:r>
          </w:p>
        </w:tc>
        <w:tc>
          <w:tcPr>
            <w:tcW w:w="4173" w:type="dxa"/>
            <w:gridSpan w:val="2"/>
            <w:tcBorders>
              <w:top w:val="single" w:sz="6" w:space="0" w:color="auto"/>
              <w:left w:val="single" w:sz="6" w:space="0" w:color="auto"/>
              <w:right w:val="single" w:sz="6" w:space="0" w:color="auto"/>
            </w:tcBorders>
          </w:tcPr>
          <w:p w:rsidR="00683496" w:rsidRDefault="00683496" w:rsidP="00683496">
            <w:pPr>
              <w:rPr>
                <w:sz w:val="18"/>
                <w:lang w:val="de-DE"/>
              </w:rPr>
            </w:pPr>
            <w:proofErr w:type="spellStart"/>
            <w:r>
              <w:rPr>
                <w:sz w:val="18"/>
                <w:lang w:val="de-DE"/>
              </w:rPr>
              <w:t>wg</w:t>
            </w:r>
            <w:proofErr w:type="spellEnd"/>
            <w:r>
              <w:rPr>
                <w:sz w:val="18"/>
                <w:lang w:val="de-DE"/>
              </w:rPr>
              <w:t xml:space="preserve"> SST D-08.01.01</w:t>
            </w:r>
          </w:p>
          <w:p w:rsidR="00683496" w:rsidRDefault="00683496" w:rsidP="00683496">
            <w:pPr>
              <w:rPr>
                <w:sz w:val="18"/>
                <w:lang w:val="de-DE"/>
              </w:rPr>
            </w:pPr>
          </w:p>
        </w:tc>
      </w:tr>
      <w:tr w:rsidR="00683496" w:rsidTr="00683496">
        <w:tc>
          <w:tcPr>
            <w:tcW w:w="496" w:type="dxa"/>
            <w:tcBorders>
              <w:top w:val="single" w:sz="6" w:space="0" w:color="auto"/>
              <w:left w:val="single" w:sz="6" w:space="0" w:color="auto"/>
              <w:right w:val="single" w:sz="6" w:space="0" w:color="auto"/>
            </w:tcBorders>
          </w:tcPr>
          <w:p w:rsidR="00683496" w:rsidRDefault="00683496" w:rsidP="00683496">
            <w:pPr>
              <w:jc w:val="center"/>
              <w:rPr>
                <w:sz w:val="18"/>
              </w:rPr>
            </w:pPr>
            <w:r>
              <w:rPr>
                <w:sz w:val="18"/>
              </w:rPr>
              <w:t>4</w:t>
            </w:r>
          </w:p>
        </w:tc>
        <w:tc>
          <w:tcPr>
            <w:tcW w:w="3056" w:type="dxa"/>
            <w:tcBorders>
              <w:top w:val="single" w:sz="6" w:space="0" w:color="auto"/>
              <w:left w:val="single" w:sz="6" w:space="0" w:color="auto"/>
              <w:right w:val="single" w:sz="6" w:space="0" w:color="auto"/>
            </w:tcBorders>
          </w:tcPr>
          <w:p w:rsidR="00683496" w:rsidRDefault="00683496" w:rsidP="00683496">
            <w:pPr>
              <w:rPr>
                <w:sz w:val="18"/>
              </w:rPr>
            </w:pPr>
            <w:r>
              <w:rPr>
                <w:sz w:val="18"/>
              </w:rPr>
              <w:t>Sprawdzenie podsypki (przymiarem liniowym lub metodą niwelacji)</w:t>
            </w:r>
          </w:p>
        </w:tc>
        <w:tc>
          <w:tcPr>
            <w:tcW w:w="2614" w:type="dxa"/>
            <w:tcBorders>
              <w:top w:val="single" w:sz="6" w:space="0" w:color="auto"/>
              <w:left w:val="single" w:sz="6" w:space="0" w:color="auto"/>
              <w:right w:val="single" w:sz="6" w:space="0" w:color="auto"/>
            </w:tcBorders>
          </w:tcPr>
          <w:p w:rsidR="00683496" w:rsidRDefault="00683496" w:rsidP="00683496">
            <w:pPr>
              <w:rPr>
                <w:sz w:val="18"/>
              </w:rPr>
            </w:pPr>
            <w:r>
              <w:rPr>
                <w:sz w:val="18"/>
              </w:rPr>
              <w:t>Bieżąca kontrola w 10 punktach dziennej działki roboczej: grubości, spadków i cech konstrukcyjnych w porównaniu z dokumentacją projektową i specyfikacją</w:t>
            </w:r>
          </w:p>
        </w:tc>
        <w:tc>
          <w:tcPr>
            <w:tcW w:w="1559" w:type="dxa"/>
            <w:tcBorders>
              <w:top w:val="single" w:sz="6" w:space="0" w:color="auto"/>
              <w:left w:val="single" w:sz="6" w:space="0" w:color="auto"/>
              <w:right w:val="single" w:sz="6" w:space="0" w:color="auto"/>
            </w:tcBorders>
          </w:tcPr>
          <w:p w:rsidR="00683496" w:rsidRDefault="00683496" w:rsidP="00683496">
            <w:pPr>
              <w:rPr>
                <w:sz w:val="18"/>
              </w:rPr>
            </w:pPr>
            <w:r>
              <w:rPr>
                <w:sz w:val="18"/>
              </w:rPr>
              <w:t xml:space="preserve">Wg </w:t>
            </w:r>
            <w:proofErr w:type="spellStart"/>
            <w:r>
              <w:rPr>
                <w:sz w:val="18"/>
              </w:rPr>
              <w:t>pktu</w:t>
            </w:r>
            <w:proofErr w:type="spellEnd"/>
            <w:r>
              <w:rPr>
                <w:sz w:val="18"/>
              </w:rPr>
              <w:t xml:space="preserve"> 5.6; odchyłki od projektowanej grubości </w:t>
            </w:r>
            <w:r>
              <w:rPr>
                <w:sz w:val="18"/>
              </w:rPr>
              <w:sym w:font="Symbol" w:char="F0B1"/>
            </w:r>
            <w:r>
              <w:rPr>
                <w:sz w:val="18"/>
              </w:rPr>
              <w:t>1 cm</w:t>
            </w:r>
          </w:p>
        </w:tc>
      </w:tr>
      <w:tr w:rsidR="00683496" w:rsidTr="00683496">
        <w:tc>
          <w:tcPr>
            <w:tcW w:w="496" w:type="dxa"/>
            <w:tcBorders>
              <w:top w:val="single" w:sz="6" w:space="0" w:color="auto"/>
              <w:left w:val="single" w:sz="6" w:space="0" w:color="auto"/>
              <w:right w:val="single" w:sz="6" w:space="0" w:color="auto"/>
            </w:tcBorders>
          </w:tcPr>
          <w:p w:rsidR="00683496" w:rsidRDefault="00683496" w:rsidP="00683496">
            <w:pPr>
              <w:jc w:val="center"/>
              <w:rPr>
                <w:sz w:val="18"/>
              </w:rPr>
            </w:pPr>
            <w:r>
              <w:rPr>
                <w:sz w:val="18"/>
              </w:rPr>
              <w:t>5</w:t>
            </w:r>
          </w:p>
        </w:tc>
        <w:tc>
          <w:tcPr>
            <w:tcW w:w="3056" w:type="dxa"/>
            <w:tcBorders>
              <w:top w:val="single" w:sz="6" w:space="0" w:color="auto"/>
            </w:tcBorders>
          </w:tcPr>
          <w:p w:rsidR="00683496" w:rsidRDefault="00683496" w:rsidP="00683496">
            <w:pPr>
              <w:rPr>
                <w:sz w:val="18"/>
              </w:rPr>
            </w:pPr>
            <w:r>
              <w:rPr>
                <w:sz w:val="18"/>
              </w:rPr>
              <w:t>Badania  wykonywania  nawierzchni  z</w:t>
            </w:r>
          </w:p>
        </w:tc>
        <w:tc>
          <w:tcPr>
            <w:tcW w:w="2614" w:type="dxa"/>
            <w:tcBorders>
              <w:top w:val="single" w:sz="6" w:space="0" w:color="auto"/>
            </w:tcBorders>
          </w:tcPr>
          <w:p w:rsidR="00683496" w:rsidRDefault="00683496" w:rsidP="00683496">
            <w:pPr>
              <w:rPr>
                <w:sz w:val="18"/>
              </w:rPr>
            </w:pPr>
            <w:r>
              <w:rPr>
                <w:sz w:val="18"/>
              </w:rPr>
              <w:t>kostki</w:t>
            </w:r>
          </w:p>
        </w:tc>
        <w:tc>
          <w:tcPr>
            <w:tcW w:w="1559" w:type="dxa"/>
            <w:tcBorders>
              <w:top w:val="single" w:sz="6" w:space="0" w:color="auto"/>
              <w:right w:val="single" w:sz="6" w:space="0" w:color="auto"/>
            </w:tcBorders>
          </w:tcPr>
          <w:p w:rsidR="00683496" w:rsidRDefault="00683496" w:rsidP="00683496">
            <w:pPr>
              <w:rPr>
                <w:sz w:val="18"/>
              </w:rPr>
            </w:pPr>
          </w:p>
        </w:tc>
      </w:tr>
      <w:tr w:rsidR="00683496" w:rsidTr="00683496">
        <w:tc>
          <w:tcPr>
            <w:tcW w:w="496" w:type="dxa"/>
            <w:tcBorders>
              <w:left w:val="single" w:sz="6" w:space="0" w:color="auto"/>
            </w:tcBorders>
          </w:tcPr>
          <w:p w:rsidR="00683496" w:rsidRDefault="00683496" w:rsidP="00683496">
            <w:p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textAlignment w:val="baseline"/>
              <w:rPr>
                <w:sz w:val="18"/>
              </w:rPr>
            </w:pPr>
            <w:r>
              <w:rPr>
                <w:sz w:val="18"/>
              </w:rPr>
              <w:t>zgodność z dokumentacją projektową</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Sukcesywnie na każdej działce roboczej</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jc w:val="center"/>
              <w:rPr>
                <w:sz w:val="18"/>
              </w:rPr>
            </w:pPr>
            <w:r>
              <w:rPr>
                <w:sz w:val="18"/>
              </w:rPr>
              <w:t>-</w:t>
            </w:r>
          </w:p>
        </w:tc>
      </w:tr>
      <w:tr w:rsidR="00683496" w:rsidTr="00683496">
        <w:tc>
          <w:tcPr>
            <w:tcW w:w="496" w:type="dxa"/>
            <w:tcBorders>
              <w:left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jc w:val="both"/>
              <w:textAlignment w:val="baseline"/>
              <w:rPr>
                <w:sz w:val="18"/>
              </w:rPr>
            </w:pPr>
            <w:r>
              <w:rPr>
                <w:sz w:val="18"/>
              </w:rPr>
              <w:t>położenie osi w planie (sprawdzone geodezyjnie)</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we wszystkich punktach charakterystycznych</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 xml:space="preserve">Przesunięcie od osi projektowanej do </w:t>
            </w:r>
            <w:smartTag w:uri="urn:schemas-microsoft-com:office:smarttags" w:element="metricconverter">
              <w:smartTagPr>
                <w:attr w:name="ProductID" w:val="2ﾠcm"/>
              </w:smartTagPr>
              <w:r>
                <w:rPr>
                  <w:sz w:val="18"/>
                </w:rPr>
                <w:t>2 cm</w:t>
              </w:r>
            </w:smartTag>
          </w:p>
        </w:tc>
      </w:tr>
      <w:tr w:rsidR="00683496" w:rsidTr="00683496">
        <w:tc>
          <w:tcPr>
            <w:tcW w:w="496" w:type="dxa"/>
            <w:tcBorders>
              <w:left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jc w:val="both"/>
              <w:textAlignment w:val="baseline"/>
              <w:rPr>
                <w:sz w:val="18"/>
              </w:rPr>
            </w:pPr>
            <w:r>
              <w:rPr>
                <w:sz w:val="18"/>
              </w:rPr>
              <w:t>rzędne wysokościowe (pomierzone instrumentem pomiarowym)</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 xml:space="preserve">Co </w:t>
            </w:r>
            <w:smartTag w:uri="urn:schemas-microsoft-com:office:smarttags" w:element="metricconverter">
              <w:smartTagPr>
                <w:attr w:name="ProductID" w:val="25 m"/>
              </w:smartTagPr>
              <w:r>
                <w:rPr>
                  <w:sz w:val="18"/>
                </w:rPr>
                <w:t>25 m</w:t>
              </w:r>
            </w:smartTag>
            <w:r>
              <w:rPr>
                <w:sz w:val="18"/>
              </w:rPr>
              <w:t xml:space="preserve"> w osi i przy krawędziach oraz we wszystkich punktach charakterystycznych</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Odchylenia:</w:t>
            </w:r>
          </w:p>
          <w:p w:rsidR="00683496" w:rsidRDefault="00683496" w:rsidP="00683496">
            <w:pPr>
              <w:numPr>
                <w:ilvl w:val="12"/>
                <w:numId w:val="0"/>
              </w:numPr>
              <w:rPr>
                <w:sz w:val="18"/>
              </w:rPr>
            </w:pPr>
            <w:r>
              <w:rPr>
                <w:sz w:val="18"/>
              </w:rPr>
              <w:t>+</w:t>
            </w:r>
            <w:smartTag w:uri="urn:schemas-microsoft-com:office:smarttags" w:element="metricconverter">
              <w:smartTagPr>
                <w:attr w:name="ProductID" w:val="1 cm"/>
              </w:smartTagPr>
              <w:r>
                <w:rPr>
                  <w:sz w:val="18"/>
                </w:rPr>
                <w:t>1 cm</w:t>
              </w:r>
            </w:smartTag>
            <w:r>
              <w:rPr>
                <w:sz w:val="18"/>
              </w:rPr>
              <w:t xml:space="preserve">; </w:t>
            </w:r>
            <w:smartTag w:uri="urn:schemas-microsoft-com:office:smarttags" w:element="metricconverter">
              <w:smartTagPr>
                <w:attr w:name="ProductID" w:val="-2 cm"/>
              </w:smartTagPr>
              <w:r>
                <w:rPr>
                  <w:sz w:val="18"/>
                </w:rPr>
                <w:t>-2 cm</w:t>
              </w:r>
            </w:smartTag>
          </w:p>
        </w:tc>
      </w:tr>
      <w:tr w:rsidR="00683496" w:rsidTr="00683496">
        <w:tc>
          <w:tcPr>
            <w:tcW w:w="496" w:type="dxa"/>
            <w:tcBorders>
              <w:left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jc w:val="both"/>
              <w:textAlignment w:val="baseline"/>
              <w:rPr>
                <w:sz w:val="18"/>
              </w:rPr>
            </w:pPr>
            <w:r>
              <w:rPr>
                <w:sz w:val="18"/>
              </w:rPr>
              <w:t xml:space="preserve">równość w profilu podłużnym (wg BN-68/8931-04 [8] łatą </w:t>
            </w:r>
            <w:proofErr w:type="spellStart"/>
            <w:r>
              <w:rPr>
                <w:sz w:val="18"/>
              </w:rPr>
              <w:t>czteromet-rową</w:t>
            </w:r>
            <w:proofErr w:type="spellEnd"/>
            <w:r>
              <w:rPr>
                <w:sz w:val="18"/>
              </w:rPr>
              <w:t>)</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Jw.</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 xml:space="preserve">Nierówności do </w:t>
            </w:r>
            <w:smartTag w:uri="urn:schemas-microsoft-com:office:smarttags" w:element="metricconverter">
              <w:smartTagPr>
                <w:attr w:name="ProductID" w:val="8ﾠmm"/>
              </w:smartTagPr>
              <w:r>
                <w:rPr>
                  <w:sz w:val="18"/>
                </w:rPr>
                <w:t>8 mm</w:t>
              </w:r>
            </w:smartTag>
          </w:p>
        </w:tc>
      </w:tr>
      <w:tr w:rsidR="00683496" w:rsidTr="00683496">
        <w:tc>
          <w:tcPr>
            <w:tcW w:w="496" w:type="dxa"/>
            <w:tcBorders>
              <w:left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textAlignment w:val="baseline"/>
              <w:rPr>
                <w:sz w:val="18"/>
              </w:rPr>
            </w:pPr>
            <w:r>
              <w:rPr>
                <w:sz w:val="18"/>
              </w:rPr>
              <w:t>równość w przekroju poprzecznym (sprawdzona łatą profilową z po-</w:t>
            </w:r>
            <w:proofErr w:type="spellStart"/>
            <w:r>
              <w:rPr>
                <w:sz w:val="18"/>
              </w:rPr>
              <w:t>ziomnicą</w:t>
            </w:r>
            <w:proofErr w:type="spellEnd"/>
            <w:r>
              <w:rPr>
                <w:sz w:val="18"/>
              </w:rPr>
              <w:t xml:space="preserve"> i pomiarze prześwitu </w:t>
            </w:r>
            <w:proofErr w:type="spellStart"/>
            <w:r>
              <w:rPr>
                <w:sz w:val="18"/>
              </w:rPr>
              <w:t>kli-nem</w:t>
            </w:r>
            <w:proofErr w:type="spellEnd"/>
            <w:r>
              <w:rPr>
                <w:sz w:val="18"/>
              </w:rPr>
              <w:t xml:space="preserve"> cechowanym oraz przymiarem liniowym względnie metodą niwelacji)</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Jw.</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 xml:space="preserve">Prześwity między łatą a po-     wierzchnią do         </w:t>
            </w:r>
            <w:smartTag w:uri="urn:schemas-microsoft-com:office:smarttags" w:element="metricconverter">
              <w:smartTagPr>
                <w:attr w:name="ProductID" w:val="8 mm"/>
              </w:smartTagPr>
              <w:r>
                <w:rPr>
                  <w:sz w:val="18"/>
                </w:rPr>
                <w:t>8 mm</w:t>
              </w:r>
            </w:smartTag>
          </w:p>
        </w:tc>
      </w:tr>
      <w:tr w:rsidR="00683496" w:rsidTr="00683496">
        <w:tc>
          <w:tcPr>
            <w:tcW w:w="496" w:type="dxa"/>
            <w:tcBorders>
              <w:left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jc w:val="both"/>
              <w:textAlignment w:val="baseline"/>
              <w:rPr>
                <w:sz w:val="18"/>
              </w:rPr>
            </w:pPr>
            <w:r>
              <w:rPr>
                <w:sz w:val="18"/>
              </w:rPr>
              <w:t>spadki poprzeczne (sprawdzone metodą niwelacji)</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Jw.</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Odchyłki od do-</w:t>
            </w:r>
            <w:proofErr w:type="spellStart"/>
            <w:r>
              <w:rPr>
                <w:sz w:val="18"/>
              </w:rPr>
              <w:t>kumentacji</w:t>
            </w:r>
            <w:proofErr w:type="spellEnd"/>
            <w:r>
              <w:rPr>
                <w:sz w:val="18"/>
              </w:rPr>
              <w:t xml:space="preserve"> pro-</w:t>
            </w:r>
            <w:proofErr w:type="spellStart"/>
            <w:r>
              <w:rPr>
                <w:sz w:val="18"/>
              </w:rPr>
              <w:t>jektowej</w:t>
            </w:r>
            <w:proofErr w:type="spellEnd"/>
            <w:r>
              <w:rPr>
                <w:sz w:val="18"/>
              </w:rPr>
              <w:t xml:space="preserve"> do 0,3%</w:t>
            </w:r>
          </w:p>
        </w:tc>
      </w:tr>
      <w:tr w:rsidR="00683496" w:rsidTr="00683496">
        <w:tc>
          <w:tcPr>
            <w:tcW w:w="496" w:type="dxa"/>
            <w:tcBorders>
              <w:left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jc w:val="both"/>
              <w:textAlignment w:val="baseline"/>
              <w:rPr>
                <w:sz w:val="18"/>
              </w:rPr>
            </w:pPr>
            <w:r>
              <w:rPr>
                <w:sz w:val="18"/>
              </w:rPr>
              <w:t>szerokość nawierzchni (sprawdzona przymiarem liniowym)</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Jw.</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 xml:space="preserve">Odchyłki od </w:t>
            </w:r>
            <w:proofErr w:type="spellStart"/>
            <w:r>
              <w:rPr>
                <w:sz w:val="18"/>
              </w:rPr>
              <w:t>sze-rokości</w:t>
            </w:r>
            <w:proofErr w:type="spellEnd"/>
            <w:r>
              <w:rPr>
                <w:sz w:val="18"/>
              </w:rPr>
              <w:t xml:space="preserve"> </w:t>
            </w:r>
            <w:proofErr w:type="spellStart"/>
            <w:r>
              <w:rPr>
                <w:sz w:val="18"/>
              </w:rPr>
              <w:t>projekto-wanej</w:t>
            </w:r>
            <w:proofErr w:type="spellEnd"/>
            <w:r>
              <w:rPr>
                <w:sz w:val="18"/>
              </w:rPr>
              <w:t xml:space="preserve"> do  </w:t>
            </w:r>
            <w:r>
              <w:rPr>
                <w:sz w:val="18"/>
              </w:rPr>
              <w:sym w:font="Symbol" w:char="F0B1"/>
            </w:r>
            <w:r>
              <w:rPr>
                <w:sz w:val="18"/>
              </w:rPr>
              <w:t>5 cm</w:t>
            </w:r>
          </w:p>
        </w:tc>
      </w:tr>
      <w:tr w:rsidR="00683496" w:rsidTr="00683496">
        <w:tc>
          <w:tcPr>
            <w:tcW w:w="496" w:type="dxa"/>
            <w:tcBorders>
              <w:left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textAlignment w:val="baseline"/>
              <w:rPr>
                <w:sz w:val="18"/>
              </w:rPr>
            </w:pPr>
            <w:r>
              <w:rPr>
                <w:sz w:val="18"/>
              </w:rPr>
              <w:t xml:space="preserve">szerokość i głębokość wypełnienia spoin i szczelin (oględziny i pomiar przymiarem liniowym po wykruszeniu dług. </w:t>
            </w:r>
            <w:smartTag w:uri="urn:schemas-microsoft-com:office:smarttags" w:element="metricconverter">
              <w:smartTagPr>
                <w:attr w:name="ProductID" w:val="10 cm"/>
              </w:smartTagPr>
              <w:r>
                <w:rPr>
                  <w:sz w:val="18"/>
                </w:rPr>
                <w:t>10 cm</w:t>
              </w:r>
            </w:smartTag>
            <w:r>
              <w:rPr>
                <w:sz w:val="18"/>
              </w:rPr>
              <w:t>)</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W 20 punktach charakterystycznych dziennej działki roboczej</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numPr>
                <w:ilvl w:val="12"/>
                <w:numId w:val="0"/>
              </w:numPr>
              <w:rPr>
                <w:sz w:val="18"/>
              </w:rPr>
            </w:pPr>
            <w:r>
              <w:rPr>
                <w:sz w:val="18"/>
              </w:rPr>
              <w:t xml:space="preserve">Wg </w:t>
            </w:r>
            <w:proofErr w:type="spellStart"/>
            <w:r>
              <w:rPr>
                <w:sz w:val="18"/>
              </w:rPr>
              <w:t>pktu</w:t>
            </w:r>
            <w:proofErr w:type="spellEnd"/>
            <w:r>
              <w:rPr>
                <w:sz w:val="18"/>
              </w:rPr>
              <w:t xml:space="preserve"> 5.7.5</w:t>
            </w:r>
          </w:p>
        </w:tc>
      </w:tr>
      <w:tr w:rsidR="00683496" w:rsidTr="00683496">
        <w:tc>
          <w:tcPr>
            <w:tcW w:w="496" w:type="dxa"/>
            <w:tcBorders>
              <w:left w:val="single" w:sz="6" w:space="0" w:color="auto"/>
              <w:bottom w:val="single" w:sz="6" w:space="0" w:color="auto"/>
            </w:tcBorders>
          </w:tcPr>
          <w:p w:rsidR="00683496" w:rsidRDefault="00683496" w:rsidP="00683496">
            <w:pPr>
              <w:numPr>
                <w:ilvl w:val="12"/>
                <w:numId w:val="0"/>
              </w:numPr>
              <w:jc w:val="center"/>
              <w:rPr>
                <w:sz w:val="18"/>
              </w:rPr>
            </w:pPr>
          </w:p>
        </w:tc>
        <w:tc>
          <w:tcPr>
            <w:tcW w:w="3056" w:type="dxa"/>
            <w:tcBorders>
              <w:top w:val="single" w:sz="6" w:space="0" w:color="auto"/>
              <w:left w:val="single" w:sz="6" w:space="0" w:color="auto"/>
              <w:bottom w:val="single" w:sz="6" w:space="0" w:color="auto"/>
              <w:right w:val="single" w:sz="6" w:space="0" w:color="auto"/>
            </w:tcBorders>
          </w:tcPr>
          <w:p w:rsidR="00683496" w:rsidRDefault="00683496" w:rsidP="002122BD">
            <w:pPr>
              <w:numPr>
                <w:ilvl w:val="0"/>
                <w:numId w:val="79"/>
              </w:numPr>
              <w:overflowPunct w:val="0"/>
              <w:autoSpaceDE w:val="0"/>
              <w:autoSpaceDN w:val="0"/>
              <w:adjustRightInd w:val="0"/>
              <w:textAlignment w:val="baseline"/>
              <w:rPr>
                <w:sz w:val="18"/>
              </w:rPr>
            </w:pPr>
            <w:r>
              <w:rPr>
                <w:sz w:val="18"/>
              </w:rPr>
              <w:t>sprawdzenie koloru kostek i desenia ich ułożenia</w:t>
            </w:r>
          </w:p>
        </w:tc>
        <w:tc>
          <w:tcPr>
            <w:tcW w:w="2614" w:type="dxa"/>
            <w:tcBorders>
              <w:top w:val="single" w:sz="6" w:space="0" w:color="auto"/>
              <w:left w:val="single" w:sz="6" w:space="0" w:color="auto"/>
              <w:bottom w:val="single" w:sz="6" w:space="0" w:color="auto"/>
              <w:right w:val="single" w:sz="6" w:space="0" w:color="auto"/>
            </w:tcBorders>
          </w:tcPr>
          <w:p w:rsidR="00683496" w:rsidRDefault="00683496" w:rsidP="00683496">
            <w:pPr>
              <w:rPr>
                <w:sz w:val="18"/>
              </w:rPr>
            </w:pPr>
            <w:r>
              <w:rPr>
                <w:sz w:val="18"/>
              </w:rPr>
              <w:t>Kontrola bieżąca</w:t>
            </w:r>
          </w:p>
        </w:tc>
        <w:tc>
          <w:tcPr>
            <w:tcW w:w="1559" w:type="dxa"/>
            <w:tcBorders>
              <w:top w:val="single" w:sz="6" w:space="0" w:color="auto"/>
              <w:left w:val="single" w:sz="6" w:space="0" w:color="auto"/>
              <w:bottom w:val="single" w:sz="6" w:space="0" w:color="auto"/>
              <w:right w:val="single" w:sz="6" w:space="0" w:color="auto"/>
            </w:tcBorders>
          </w:tcPr>
          <w:p w:rsidR="00683496" w:rsidRDefault="00683496" w:rsidP="00683496">
            <w:pPr>
              <w:rPr>
                <w:sz w:val="18"/>
              </w:rPr>
            </w:pPr>
            <w:r>
              <w:rPr>
                <w:sz w:val="18"/>
              </w:rPr>
              <w:t>Wg dokumentacji projektowej lub decyzji Inżyniera</w:t>
            </w:r>
          </w:p>
        </w:tc>
      </w:tr>
    </w:tbl>
    <w:p w:rsidR="00683496" w:rsidRDefault="00683496" w:rsidP="00683496">
      <w:pPr>
        <w:pStyle w:val="Nagwek2"/>
      </w:pPr>
      <w:r>
        <w:t>6.4. Badania wykonanych robót</w:t>
      </w:r>
    </w:p>
    <w:p w:rsidR="00683496" w:rsidRDefault="00683496" w:rsidP="00683496">
      <w:r>
        <w:tab/>
        <w:t>Zakres badań i pomiarów wykonanej nawierzchni z betonowej kostki brukowej podano w tablicy 3.</w:t>
      </w:r>
    </w:p>
    <w:p w:rsidR="00683496" w:rsidRDefault="00683496" w:rsidP="00683496">
      <w:pPr>
        <w:spacing w:before="120" w:after="120"/>
      </w:pPr>
      <w:r>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683496" w:rsidTr="00683496">
        <w:tc>
          <w:tcPr>
            <w:tcW w:w="496" w:type="dxa"/>
            <w:tcBorders>
              <w:bottom w:val="double" w:sz="6" w:space="0" w:color="auto"/>
            </w:tcBorders>
          </w:tcPr>
          <w:p w:rsidR="00683496" w:rsidRDefault="00683496" w:rsidP="00683496">
            <w:pPr>
              <w:spacing w:before="60" w:after="60"/>
              <w:jc w:val="center"/>
            </w:pPr>
            <w:r>
              <w:t>Lp.</w:t>
            </w:r>
          </w:p>
        </w:tc>
        <w:tc>
          <w:tcPr>
            <w:tcW w:w="3507" w:type="dxa"/>
            <w:tcBorders>
              <w:bottom w:val="double" w:sz="6" w:space="0" w:color="auto"/>
            </w:tcBorders>
          </w:tcPr>
          <w:p w:rsidR="00683496" w:rsidRDefault="00683496" w:rsidP="00683496">
            <w:pPr>
              <w:spacing w:before="60" w:after="60"/>
              <w:jc w:val="center"/>
            </w:pPr>
            <w:r>
              <w:t>Wyszczególnienie badań i pomiarów</w:t>
            </w:r>
          </w:p>
        </w:tc>
        <w:tc>
          <w:tcPr>
            <w:tcW w:w="3507" w:type="dxa"/>
            <w:tcBorders>
              <w:bottom w:val="double" w:sz="6" w:space="0" w:color="auto"/>
            </w:tcBorders>
          </w:tcPr>
          <w:p w:rsidR="00683496" w:rsidRDefault="00683496" w:rsidP="00683496">
            <w:pPr>
              <w:spacing w:before="60" w:after="60"/>
              <w:jc w:val="center"/>
            </w:pPr>
            <w:r>
              <w:t>Sposób sprawdzenia</w:t>
            </w:r>
          </w:p>
        </w:tc>
      </w:tr>
      <w:tr w:rsidR="00683496" w:rsidTr="00683496">
        <w:tc>
          <w:tcPr>
            <w:tcW w:w="496" w:type="dxa"/>
            <w:tcBorders>
              <w:top w:val="nil"/>
            </w:tcBorders>
          </w:tcPr>
          <w:p w:rsidR="00683496" w:rsidRDefault="00683496" w:rsidP="00683496">
            <w:pPr>
              <w:jc w:val="center"/>
            </w:pPr>
            <w:r>
              <w:t>1</w:t>
            </w:r>
          </w:p>
        </w:tc>
        <w:tc>
          <w:tcPr>
            <w:tcW w:w="3507" w:type="dxa"/>
            <w:tcBorders>
              <w:top w:val="nil"/>
            </w:tcBorders>
          </w:tcPr>
          <w:p w:rsidR="00683496" w:rsidRDefault="00683496" w:rsidP="00683496">
            <w:r>
              <w:t>Sprawdzenie wyglądu zewnętrznego nawierzchni, krawężników, obrzeży, ścieków</w:t>
            </w:r>
          </w:p>
        </w:tc>
        <w:tc>
          <w:tcPr>
            <w:tcW w:w="3507" w:type="dxa"/>
            <w:tcBorders>
              <w:top w:val="nil"/>
            </w:tcBorders>
          </w:tcPr>
          <w:p w:rsidR="00683496" w:rsidRDefault="00683496" w:rsidP="00683496">
            <w:r>
              <w:t xml:space="preserve">Wizualne sprawdzenie jednorodności wyglądu, prawidłowości desenia, kolorów kostek, spękań, plam, deformacji, </w:t>
            </w:r>
            <w:proofErr w:type="spellStart"/>
            <w:r>
              <w:t>wykruszeń</w:t>
            </w:r>
            <w:proofErr w:type="spellEnd"/>
            <w:r>
              <w:t>, spoin i szczelin</w:t>
            </w:r>
          </w:p>
        </w:tc>
      </w:tr>
      <w:tr w:rsidR="00683496" w:rsidTr="00683496">
        <w:tc>
          <w:tcPr>
            <w:tcW w:w="496" w:type="dxa"/>
          </w:tcPr>
          <w:p w:rsidR="00683496" w:rsidRDefault="00683496" w:rsidP="00683496">
            <w:pPr>
              <w:jc w:val="center"/>
            </w:pPr>
            <w:r>
              <w:t>2</w:t>
            </w:r>
          </w:p>
        </w:tc>
        <w:tc>
          <w:tcPr>
            <w:tcW w:w="3507" w:type="dxa"/>
          </w:tcPr>
          <w:p w:rsidR="00683496" w:rsidRDefault="00683496" w:rsidP="00683496">
            <w:r>
              <w:t>Badanie położenia osi nawierzchni w planie</w:t>
            </w:r>
          </w:p>
        </w:tc>
        <w:tc>
          <w:tcPr>
            <w:tcW w:w="3507" w:type="dxa"/>
          </w:tcPr>
          <w:p w:rsidR="00683496" w:rsidRDefault="00683496" w:rsidP="00683496">
            <w:r>
              <w:t xml:space="preserve">Geodezyjne sprawdzenie położenia osi co </w:t>
            </w:r>
            <w:smartTag w:uri="urn:schemas-microsoft-com:office:smarttags" w:element="metricconverter">
              <w:smartTagPr>
                <w:attr w:name="ProductID" w:val="25 m"/>
              </w:smartTagPr>
              <w:r>
                <w:t>25 m</w:t>
              </w:r>
            </w:smartTag>
            <w:r>
              <w:t xml:space="preserve"> i w punktach charakterystycznych (dopuszczalne przesunięcia wg tab. 2, lp. 5b)</w:t>
            </w:r>
          </w:p>
        </w:tc>
      </w:tr>
      <w:tr w:rsidR="00683496" w:rsidTr="00683496">
        <w:tc>
          <w:tcPr>
            <w:tcW w:w="496" w:type="dxa"/>
          </w:tcPr>
          <w:p w:rsidR="00683496" w:rsidRDefault="00683496" w:rsidP="00683496">
            <w:pPr>
              <w:jc w:val="center"/>
            </w:pPr>
            <w:r>
              <w:t>3</w:t>
            </w:r>
          </w:p>
        </w:tc>
        <w:tc>
          <w:tcPr>
            <w:tcW w:w="3507" w:type="dxa"/>
          </w:tcPr>
          <w:p w:rsidR="00683496" w:rsidRDefault="00683496" w:rsidP="00683496">
            <w:r>
              <w:t>Rzędne wysokościowe, równość podłużna i poprzeczna, spadki poprzeczne i szerokość</w:t>
            </w:r>
          </w:p>
        </w:tc>
        <w:tc>
          <w:tcPr>
            <w:tcW w:w="3507" w:type="dxa"/>
          </w:tcPr>
          <w:p w:rsidR="00683496" w:rsidRDefault="00683496" w:rsidP="00683496">
            <w:r>
              <w:t xml:space="preserve">Co </w:t>
            </w:r>
            <w:smartTag w:uri="urn:schemas-microsoft-com:office:smarttags" w:element="metricconverter">
              <w:smartTagPr>
                <w:attr w:name="ProductID" w:val="25 m"/>
              </w:smartTagPr>
              <w:r>
                <w:t>25 m</w:t>
              </w:r>
            </w:smartTag>
            <w:r>
              <w:t xml:space="preserve"> i we wszystkich  punktach charakterystycznych (wg metod i do-</w:t>
            </w:r>
            <w:proofErr w:type="spellStart"/>
            <w:r>
              <w:lastRenderedPageBreak/>
              <w:t>puszczalnych</w:t>
            </w:r>
            <w:proofErr w:type="spellEnd"/>
            <w:r>
              <w:t xml:space="preserve"> wartości podanych w tab. 2, lp. od 5c do 5g)</w:t>
            </w:r>
          </w:p>
        </w:tc>
      </w:tr>
      <w:tr w:rsidR="00683496" w:rsidTr="00683496">
        <w:tc>
          <w:tcPr>
            <w:tcW w:w="496" w:type="dxa"/>
          </w:tcPr>
          <w:p w:rsidR="00683496" w:rsidRDefault="00683496" w:rsidP="00683496">
            <w:pPr>
              <w:jc w:val="center"/>
            </w:pPr>
            <w:r>
              <w:lastRenderedPageBreak/>
              <w:t>4</w:t>
            </w:r>
          </w:p>
        </w:tc>
        <w:tc>
          <w:tcPr>
            <w:tcW w:w="3507" w:type="dxa"/>
          </w:tcPr>
          <w:p w:rsidR="00683496" w:rsidRDefault="00683496" w:rsidP="00683496">
            <w:r>
              <w:t>Rozmieszczenie i szerokość spoin i szczelin w nawierzchni, pomiędzy krawężnikami, obrzeżami, ściekami oraz wypełnienie spoin i szczelin</w:t>
            </w:r>
          </w:p>
        </w:tc>
        <w:tc>
          <w:tcPr>
            <w:tcW w:w="3507" w:type="dxa"/>
          </w:tcPr>
          <w:p w:rsidR="00683496" w:rsidRDefault="00683496" w:rsidP="00683496">
            <w:r>
              <w:t xml:space="preserve">Wg </w:t>
            </w:r>
            <w:proofErr w:type="spellStart"/>
            <w:r>
              <w:t>pktu</w:t>
            </w:r>
            <w:proofErr w:type="spellEnd"/>
            <w:r>
              <w:t xml:space="preserve"> 5.5 i 5.7.5</w:t>
            </w:r>
          </w:p>
        </w:tc>
      </w:tr>
    </w:tbl>
    <w:p w:rsidR="00683496" w:rsidRDefault="00683496" w:rsidP="00683496"/>
    <w:p w:rsidR="00683496" w:rsidRDefault="00683496" w:rsidP="00683496">
      <w:pPr>
        <w:pStyle w:val="Nagwek1"/>
      </w:pPr>
      <w:bookmarkStart w:id="433" w:name="_Toc107903642"/>
      <w:r>
        <w:t>7. obmiar robót</w:t>
      </w:r>
      <w:bookmarkEnd w:id="433"/>
    </w:p>
    <w:p w:rsidR="00683496" w:rsidRDefault="00683496" w:rsidP="00683496">
      <w:pPr>
        <w:pStyle w:val="Nagwek2"/>
      </w:pPr>
      <w:r>
        <w:t>7.1. Ogólne zasady obmiaru robót</w:t>
      </w:r>
    </w:p>
    <w:p w:rsidR="00683496" w:rsidRDefault="00683496" w:rsidP="00683496">
      <w:r>
        <w:tab/>
        <w:t>Ogólne zasady obmiaru robót podano w SST D-00.00.00 „Wymagania ogólne” [9] pkt 7.</w:t>
      </w:r>
    </w:p>
    <w:p w:rsidR="00683496" w:rsidRDefault="00683496" w:rsidP="00683496">
      <w:pPr>
        <w:pStyle w:val="Nagwek2"/>
      </w:pPr>
      <w:r>
        <w:t>7.2. Jednostka obmiarowa</w:t>
      </w:r>
    </w:p>
    <w:p w:rsidR="00683496" w:rsidRDefault="00683496" w:rsidP="00683496">
      <w:r>
        <w:tab/>
        <w:t>Jednostką obmiarową jest m</w:t>
      </w:r>
      <w:r>
        <w:rPr>
          <w:vertAlign w:val="superscript"/>
        </w:rPr>
        <w:t>2</w:t>
      </w:r>
      <w:r>
        <w:t xml:space="preserve"> (metr kwadratowy) wykonanej nawierzchni z betonowej kostki brukowej.</w:t>
      </w:r>
    </w:p>
    <w:p w:rsidR="00683496" w:rsidRDefault="00683496" w:rsidP="00683496">
      <w:r>
        <w:tab/>
        <w:t xml:space="preserve">Jednostki obmiarowe robót towarzyszących budowie nawierzchni z betonowej kostki brukowej (podbudowa, obramowanie itp.) są ustalone w odpowiednich SST wymienionych w </w:t>
      </w:r>
      <w:proofErr w:type="spellStart"/>
      <w:r>
        <w:t>pktach</w:t>
      </w:r>
      <w:proofErr w:type="spellEnd"/>
      <w:r>
        <w:t xml:space="preserve"> 5.4 i 5.5.</w:t>
      </w:r>
    </w:p>
    <w:p w:rsidR="00683496" w:rsidRDefault="00683496" w:rsidP="00683496">
      <w:pPr>
        <w:pStyle w:val="Nagwek1"/>
      </w:pPr>
      <w:bookmarkStart w:id="434" w:name="_Toc107903643"/>
      <w:r>
        <w:t>8. odbiór robót</w:t>
      </w:r>
      <w:bookmarkEnd w:id="434"/>
    </w:p>
    <w:p w:rsidR="00683496" w:rsidRDefault="00683496" w:rsidP="00683496">
      <w:pPr>
        <w:pStyle w:val="Nagwek2"/>
      </w:pPr>
      <w:r>
        <w:t>8.1. Ogólne zasady odbioru robót</w:t>
      </w:r>
    </w:p>
    <w:p w:rsidR="00683496" w:rsidRDefault="00683496" w:rsidP="00683496">
      <w:r>
        <w:tab/>
        <w:t>Ogólne zasady odbioru robót podano w SST D-00.00.00 „Wymagania ogólne” [9] pkt 8.</w:t>
      </w:r>
    </w:p>
    <w:p w:rsidR="00683496" w:rsidRDefault="00683496" w:rsidP="00683496">
      <w:r>
        <w:tab/>
        <w:t xml:space="preserve">Roboty uznaje się za wykonane zgodnie z dokumentacją projektową, SST i wymaganiami Inżyniera, jeżeli wszystkie pomiary i badania z zachowaniem tolerancji według </w:t>
      </w:r>
      <w:proofErr w:type="spellStart"/>
      <w:r>
        <w:t>pktu</w:t>
      </w:r>
      <w:proofErr w:type="spellEnd"/>
      <w:r>
        <w:t xml:space="preserve"> 6 dały wyniki pozytywne.</w:t>
      </w:r>
    </w:p>
    <w:p w:rsidR="00683496" w:rsidRDefault="00683496" w:rsidP="00683496">
      <w:pPr>
        <w:pStyle w:val="Nagwek2"/>
      </w:pPr>
      <w:r>
        <w:t>8.2. Odbiór robót zanikających i ulegających  zakryciu</w:t>
      </w:r>
    </w:p>
    <w:p w:rsidR="00683496" w:rsidRDefault="00683496" w:rsidP="00683496">
      <w:r>
        <w:tab/>
        <w:t>Odbiorowi robót zanikających i ulegających zakryciu podlegają:</w:t>
      </w:r>
    </w:p>
    <w:p w:rsidR="00683496" w:rsidRDefault="00683496" w:rsidP="00683496">
      <w:pPr>
        <w:numPr>
          <w:ilvl w:val="0"/>
          <w:numId w:val="1"/>
        </w:numPr>
        <w:overflowPunct w:val="0"/>
        <w:autoSpaceDE w:val="0"/>
        <w:autoSpaceDN w:val="0"/>
        <w:adjustRightInd w:val="0"/>
        <w:jc w:val="both"/>
        <w:textAlignment w:val="baseline"/>
      </w:pPr>
      <w:r>
        <w:t>przygotowanie podłoża i wykonanie  koryta,</w:t>
      </w:r>
    </w:p>
    <w:p w:rsidR="00683496" w:rsidRDefault="00683496" w:rsidP="00683496">
      <w:pPr>
        <w:numPr>
          <w:ilvl w:val="0"/>
          <w:numId w:val="1"/>
        </w:numPr>
        <w:overflowPunct w:val="0"/>
        <w:autoSpaceDE w:val="0"/>
        <w:autoSpaceDN w:val="0"/>
        <w:adjustRightInd w:val="0"/>
        <w:jc w:val="both"/>
        <w:textAlignment w:val="baseline"/>
      </w:pPr>
      <w:r>
        <w:t>ewentualnie wykonanie podbudowy,</w:t>
      </w:r>
    </w:p>
    <w:p w:rsidR="00683496" w:rsidRDefault="00683496" w:rsidP="00683496">
      <w:pPr>
        <w:numPr>
          <w:ilvl w:val="0"/>
          <w:numId w:val="1"/>
        </w:numPr>
        <w:overflowPunct w:val="0"/>
        <w:autoSpaceDE w:val="0"/>
        <w:autoSpaceDN w:val="0"/>
        <w:adjustRightInd w:val="0"/>
        <w:jc w:val="both"/>
        <w:textAlignment w:val="baseline"/>
      </w:pPr>
      <w:r>
        <w:t>ewentualnie wykonanie ław (podsypek) pod krawężniki, obrzeża, ścieki,</w:t>
      </w:r>
    </w:p>
    <w:p w:rsidR="00683496" w:rsidRDefault="00683496" w:rsidP="00683496">
      <w:pPr>
        <w:numPr>
          <w:ilvl w:val="0"/>
          <w:numId w:val="1"/>
        </w:numPr>
        <w:overflowPunct w:val="0"/>
        <w:autoSpaceDE w:val="0"/>
        <w:autoSpaceDN w:val="0"/>
        <w:adjustRightInd w:val="0"/>
        <w:jc w:val="both"/>
        <w:textAlignment w:val="baseline"/>
      </w:pPr>
      <w:r>
        <w:t>wykonanie podsypki pod nawierzchnię,</w:t>
      </w:r>
    </w:p>
    <w:p w:rsidR="00683496" w:rsidRDefault="00683496" w:rsidP="00683496">
      <w:pPr>
        <w:numPr>
          <w:ilvl w:val="0"/>
          <w:numId w:val="1"/>
        </w:numPr>
        <w:overflowPunct w:val="0"/>
        <w:autoSpaceDE w:val="0"/>
        <w:autoSpaceDN w:val="0"/>
        <w:adjustRightInd w:val="0"/>
        <w:jc w:val="both"/>
        <w:textAlignment w:val="baseline"/>
      </w:pPr>
      <w:r>
        <w:t>ewentualnie wypełnienie dolnej części szczelin dylatacyjnych.</w:t>
      </w:r>
    </w:p>
    <w:p w:rsidR="00683496" w:rsidRDefault="00683496" w:rsidP="00683496">
      <w:pPr>
        <w:numPr>
          <w:ilvl w:val="12"/>
          <w:numId w:val="0"/>
        </w:numPr>
      </w:pPr>
      <w:r>
        <w:tab/>
        <w:t xml:space="preserve">Odbiór tych robót powinien  być zgodny z wymaganiami </w:t>
      </w:r>
      <w:proofErr w:type="spellStart"/>
      <w:r>
        <w:t>pktu</w:t>
      </w:r>
      <w:proofErr w:type="spellEnd"/>
      <w:r>
        <w:t xml:space="preserve"> 8.2 D-00.00.00 „Wymagania ogólne” [9] oraz niniejszej SST.</w:t>
      </w:r>
    </w:p>
    <w:p w:rsidR="00683496" w:rsidRDefault="00683496" w:rsidP="00683496">
      <w:pPr>
        <w:pStyle w:val="Nagwek1"/>
        <w:numPr>
          <w:ilvl w:val="12"/>
          <w:numId w:val="0"/>
        </w:numPr>
      </w:pPr>
      <w:bookmarkStart w:id="435" w:name="_Toc107903644"/>
      <w:r>
        <w:t>9. podstawa płatności</w:t>
      </w:r>
      <w:bookmarkEnd w:id="435"/>
    </w:p>
    <w:p w:rsidR="00683496" w:rsidRDefault="00683496" w:rsidP="00683496">
      <w:pPr>
        <w:pStyle w:val="Nagwek2"/>
        <w:numPr>
          <w:ilvl w:val="12"/>
          <w:numId w:val="0"/>
        </w:numPr>
      </w:pPr>
      <w:r>
        <w:t>9.1. Ogólne ustalenia dotyczące podstawy płatności</w:t>
      </w:r>
    </w:p>
    <w:p w:rsidR="00683496" w:rsidRDefault="00683496" w:rsidP="00683496">
      <w:pPr>
        <w:numPr>
          <w:ilvl w:val="12"/>
          <w:numId w:val="0"/>
        </w:numPr>
      </w:pPr>
      <w:r>
        <w:tab/>
        <w:t>Ogólne ustalenia dotyczące podstawy płatności podano w SST D-M-00.00.00 „Wymagania ogólne” [9] pkt 9.</w:t>
      </w:r>
    </w:p>
    <w:p w:rsidR="00683496" w:rsidRDefault="00683496" w:rsidP="00683496">
      <w:pPr>
        <w:pStyle w:val="Nagwek2"/>
        <w:numPr>
          <w:ilvl w:val="12"/>
          <w:numId w:val="0"/>
        </w:numPr>
      </w:pPr>
      <w:r>
        <w:t>9.2. Cena jednostki obmiarowej</w:t>
      </w:r>
    </w:p>
    <w:p w:rsidR="00683496" w:rsidRDefault="00683496" w:rsidP="00683496">
      <w:pPr>
        <w:numPr>
          <w:ilvl w:val="12"/>
          <w:numId w:val="0"/>
        </w:numPr>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nawierzchni z betonowej kostki brukowej obejmuje:</w:t>
      </w:r>
    </w:p>
    <w:p w:rsidR="00683496" w:rsidRDefault="00683496" w:rsidP="00683496">
      <w:pPr>
        <w:numPr>
          <w:ilvl w:val="0"/>
          <w:numId w:val="1"/>
        </w:numPr>
        <w:overflowPunct w:val="0"/>
        <w:autoSpaceDE w:val="0"/>
        <w:autoSpaceDN w:val="0"/>
        <w:adjustRightInd w:val="0"/>
        <w:jc w:val="both"/>
        <w:textAlignment w:val="baseline"/>
      </w:pPr>
      <w:r>
        <w:t>prace pomiarowe i roboty przygotowawcze,</w:t>
      </w:r>
    </w:p>
    <w:p w:rsidR="00683496" w:rsidRDefault="00683496" w:rsidP="00683496">
      <w:pPr>
        <w:numPr>
          <w:ilvl w:val="0"/>
          <w:numId w:val="1"/>
        </w:numPr>
        <w:overflowPunct w:val="0"/>
        <w:autoSpaceDE w:val="0"/>
        <w:autoSpaceDN w:val="0"/>
        <w:adjustRightInd w:val="0"/>
        <w:jc w:val="both"/>
        <w:textAlignment w:val="baseline"/>
      </w:pPr>
      <w:r>
        <w:t>oznakowanie robót,</w:t>
      </w:r>
    </w:p>
    <w:p w:rsidR="00683496" w:rsidRDefault="00683496" w:rsidP="00683496">
      <w:pPr>
        <w:numPr>
          <w:ilvl w:val="0"/>
          <w:numId w:val="1"/>
        </w:numPr>
        <w:overflowPunct w:val="0"/>
        <w:autoSpaceDE w:val="0"/>
        <w:autoSpaceDN w:val="0"/>
        <w:adjustRightInd w:val="0"/>
        <w:jc w:val="both"/>
        <w:textAlignment w:val="baseline"/>
      </w:pPr>
      <w:r>
        <w:t>przygotowanie podłoża i wykonanie koryta,</w:t>
      </w:r>
    </w:p>
    <w:p w:rsidR="00683496" w:rsidRDefault="00683496" w:rsidP="00683496">
      <w:pPr>
        <w:numPr>
          <w:ilvl w:val="0"/>
          <w:numId w:val="1"/>
        </w:numPr>
        <w:overflowPunct w:val="0"/>
        <w:autoSpaceDE w:val="0"/>
        <w:autoSpaceDN w:val="0"/>
        <w:adjustRightInd w:val="0"/>
        <w:jc w:val="both"/>
        <w:textAlignment w:val="baseline"/>
      </w:pPr>
      <w:r>
        <w:t>dostarczenie materiałów i sprzętu,</w:t>
      </w:r>
    </w:p>
    <w:p w:rsidR="00683496" w:rsidRDefault="00683496" w:rsidP="00683496">
      <w:pPr>
        <w:numPr>
          <w:ilvl w:val="0"/>
          <w:numId w:val="1"/>
        </w:numPr>
        <w:overflowPunct w:val="0"/>
        <w:autoSpaceDE w:val="0"/>
        <w:autoSpaceDN w:val="0"/>
        <w:adjustRightInd w:val="0"/>
        <w:jc w:val="both"/>
        <w:textAlignment w:val="baseline"/>
      </w:pPr>
      <w:r>
        <w:t>wykonanie podsypki,</w:t>
      </w:r>
    </w:p>
    <w:p w:rsidR="00683496" w:rsidRDefault="00683496" w:rsidP="00683496">
      <w:pPr>
        <w:numPr>
          <w:ilvl w:val="0"/>
          <w:numId w:val="1"/>
        </w:numPr>
        <w:overflowPunct w:val="0"/>
        <w:autoSpaceDE w:val="0"/>
        <w:autoSpaceDN w:val="0"/>
        <w:adjustRightInd w:val="0"/>
        <w:jc w:val="both"/>
        <w:textAlignment w:val="baseline"/>
      </w:pPr>
      <w:r>
        <w:t>ustalenie kształtu, koloru i desenia kostek,</w:t>
      </w:r>
    </w:p>
    <w:p w:rsidR="00683496" w:rsidRDefault="00683496" w:rsidP="00683496">
      <w:pPr>
        <w:numPr>
          <w:ilvl w:val="0"/>
          <w:numId w:val="1"/>
        </w:numPr>
        <w:overflowPunct w:val="0"/>
        <w:autoSpaceDE w:val="0"/>
        <w:autoSpaceDN w:val="0"/>
        <w:adjustRightInd w:val="0"/>
        <w:jc w:val="both"/>
        <w:textAlignment w:val="baseline"/>
      </w:pPr>
      <w:r>
        <w:t>ułożenie i ubicie kostek,</w:t>
      </w:r>
    </w:p>
    <w:p w:rsidR="00683496" w:rsidRDefault="00683496" w:rsidP="00683496">
      <w:pPr>
        <w:numPr>
          <w:ilvl w:val="0"/>
          <w:numId w:val="1"/>
        </w:numPr>
        <w:overflowPunct w:val="0"/>
        <w:autoSpaceDE w:val="0"/>
        <w:autoSpaceDN w:val="0"/>
        <w:adjustRightInd w:val="0"/>
        <w:jc w:val="both"/>
        <w:textAlignment w:val="baseline"/>
      </w:pPr>
      <w:r>
        <w:t>wypełnienie spoin i ew. szczelin dylatacyjnych w nawierzchni,</w:t>
      </w:r>
    </w:p>
    <w:p w:rsidR="00683496" w:rsidRDefault="00683496" w:rsidP="00683496">
      <w:pPr>
        <w:numPr>
          <w:ilvl w:val="0"/>
          <w:numId w:val="1"/>
        </w:numPr>
        <w:overflowPunct w:val="0"/>
        <w:autoSpaceDE w:val="0"/>
        <w:autoSpaceDN w:val="0"/>
        <w:adjustRightInd w:val="0"/>
        <w:jc w:val="both"/>
        <w:textAlignment w:val="baseline"/>
      </w:pPr>
      <w:r>
        <w:t>pielęgnację nawierzchni,</w:t>
      </w:r>
    </w:p>
    <w:p w:rsidR="00683496" w:rsidRDefault="00683496" w:rsidP="00683496">
      <w:pPr>
        <w:numPr>
          <w:ilvl w:val="0"/>
          <w:numId w:val="1"/>
        </w:numPr>
        <w:overflowPunct w:val="0"/>
        <w:autoSpaceDE w:val="0"/>
        <w:autoSpaceDN w:val="0"/>
        <w:adjustRightInd w:val="0"/>
        <w:jc w:val="both"/>
        <w:textAlignment w:val="baseline"/>
      </w:pPr>
      <w:r>
        <w:t>przeprowadzenie pomiarów i badań  wymaganych w niniejszej specyfikacji technicznej,</w:t>
      </w:r>
    </w:p>
    <w:p w:rsidR="00683496" w:rsidRDefault="00683496" w:rsidP="00683496">
      <w:pPr>
        <w:numPr>
          <w:ilvl w:val="0"/>
          <w:numId w:val="1"/>
        </w:numPr>
        <w:overflowPunct w:val="0"/>
        <w:autoSpaceDE w:val="0"/>
        <w:autoSpaceDN w:val="0"/>
        <w:adjustRightInd w:val="0"/>
        <w:jc w:val="both"/>
        <w:textAlignment w:val="baseline"/>
      </w:pPr>
      <w:r>
        <w:t>odwiezienie sprzętu.</w:t>
      </w:r>
    </w:p>
    <w:p w:rsidR="00683496" w:rsidRDefault="00683496" w:rsidP="00683496">
      <w:r>
        <w:tab/>
        <w:t xml:space="preserve">Cena wykonania </w:t>
      </w:r>
      <w:smartTag w:uri="urn:schemas-microsoft-com:office:smarttags" w:element="metricconverter">
        <w:smartTagPr>
          <w:attr w:name="ProductID" w:val="1 m2"/>
        </w:smartTagPr>
        <w:r>
          <w:t>1 m</w:t>
        </w:r>
        <w:r>
          <w:rPr>
            <w:vertAlign w:val="superscript"/>
          </w:rPr>
          <w:t>2</w:t>
        </w:r>
      </w:smartTag>
      <w:r>
        <w:t xml:space="preserve"> nawierzchni z betonowej kostki brukowej nie obejmuje robót towarzyszących (jak: podbudowa, obramowanie itp.), które powinny być ujęte w innych pozycjach kosztorysowych, a których zakres jest określony przez OST wymienione w </w:t>
      </w:r>
      <w:proofErr w:type="spellStart"/>
      <w:r>
        <w:t>pktach</w:t>
      </w:r>
      <w:proofErr w:type="spellEnd"/>
      <w:r>
        <w:t xml:space="preserve"> 5.4 i 5.5.</w:t>
      </w:r>
    </w:p>
    <w:p w:rsidR="00683496" w:rsidRDefault="00683496" w:rsidP="00683496">
      <w:pPr>
        <w:pStyle w:val="Nagwek2"/>
      </w:pPr>
      <w:bookmarkStart w:id="436" w:name="_Toc421940505"/>
      <w:r>
        <w:t>9.3. Sposób rozliczenia robót tymczasowych i prac towarzyszących</w:t>
      </w:r>
    </w:p>
    <w:p w:rsidR="00683496" w:rsidRDefault="00683496" w:rsidP="00683496">
      <w:r>
        <w:tab/>
        <w:t>Cena wykonania robót określonych niniejszą SST obejmuje:</w:t>
      </w:r>
    </w:p>
    <w:p w:rsidR="00683496" w:rsidRDefault="00683496" w:rsidP="00683496">
      <w:pPr>
        <w:numPr>
          <w:ilvl w:val="0"/>
          <w:numId w:val="1"/>
        </w:numPr>
        <w:overflowPunct w:val="0"/>
        <w:autoSpaceDE w:val="0"/>
        <w:autoSpaceDN w:val="0"/>
        <w:adjustRightInd w:val="0"/>
        <w:jc w:val="both"/>
        <w:textAlignment w:val="baseline"/>
      </w:pPr>
      <w:r>
        <w:lastRenderedPageBreak/>
        <w:t>roboty tymczasowe, które są potrzebne do wykonania robót podstawowych, ale nie są przekazywane Zamawiającemu i są usuwane po wykonaniu robót podstawowych,</w:t>
      </w:r>
    </w:p>
    <w:p w:rsidR="00683496" w:rsidRDefault="00683496" w:rsidP="00683496">
      <w:pPr>
        <w:numPr>
          <w:ilvl w:val="0"/>
          <w:numId w:val="1"/>
        </w:numPr>
        <w:overflowPunct w:val="0"/>
        <w:autoSpaceDE w:val="0"/>
        <w:autoSpaceDN w:val="0"/>
        <w:adjustRightInd w:val="0"/>
        <w:jc w:val="both"/>
        <w:textAlignment w:val="baseline"/>
      </w:pPr>
      <w:r>
        <w:t>prace towarzyszące, które są niezbędne do wykonania robót podstawowych, niezaliczane do robót tymczasowych, jak geodezyjne wytyczenie robót itd.</w:t>
      </w:r>
      <w:bookmarkStart w:id="437" w:name="_Toc107903645"/>
    </w:p>
    <w:p w:rsidR="00683496" w:rsidRDefault="00683496" w:rsidP="00683496">
      <w:pPr>
        <w:pStyle w:val="Nagwek1"/>
      </w:pPr>
      <w:r>
        <w:t>10. przepisy związane</w:t>
      </w:r>
      <w:bookmarkEnd w:id="436"/>
      <w:bookmarkEnd w:id="437"/>
    </w:p>
    <w:p w:rsidR="00683496" w:rsidRDefault="00683496" w:rsidP="00683496">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683496" w:rsidTr="00683496">
        <w:tc>
          <w:tcPr>
            <w:tcW w:w="496" w:type="dxa"/>
          </w:tcPr>
          <w:p w:rsidR="00683496" w:rsidRPr="0031693D" w:rsidRDefault="00683496" w:rsidP="00683496">
            <w:pPr>
              <w:jc w:val="right"/>
            </w:pPr>
            <w:r w:rsidRPr="0031693D">
              <w:t>1.</w:t>
            </w:r>
          </w:p>
        </w:tc>
        <w:tc>
          <w:tcPr>
            <w:tcW w:w="1984" w:type="dxa"/>
          </w:tcPr>
          <w:p w:rsidR="00683496" w:rsidRDefault="00683496" w:rsidP="00683496">
            <w:r>
              <w:t>PN-EN 197-1:2002</w:t>
            </w:r>
          </w:p>
        </w:tc>
        <w:tc>
          <w:tcPr>
            <w:tcW w:w="5030" w:type="dxa"/>
          </w:tcPr>
          <w:p w:rsidR="00683496" w:rsidRDefault="00683496" w:rsidP="00683496">
            <w:r>
              <w:t>Cement. Część 1: Skład, wymagania i kryteria zgodności dotyczące cementu powszechnego użytku</w:t>
            </w:r>
          </w:p>
        </w:tc>
      </w:tr>
      <w:tr w:rsidR="00683496" w:rsidTr="00683496">
        <w:tc>
          <w:tcPr>
            <w:tcW w:w="496" w:type="dxa"/>
          </w:tcPr>
          <w:p w:rsidR="00683496" w:rsidRPr="0031693D" w:rsidRDefault="00683496" w:rsidP="00683496">
            <w:pPr>
              <w:jc w:val="right"/>
            </w:pPr>
            <w:r>
              <w:t>2.</w:t>
            </w:r>
          </w:p>
        </w:tc>
        <w:tc>
          <w:tcPr>
            <w:tcW w:w="1984" w:type="dxa"/>
          </w:tcPr>
          <w:p w:rsidR="00683496" w:rsidRDefault="00683496" w:rsidP="00683496">
            <w:r>
              <w:t>PN-EN 1338:2005</w:t>
            </w:r>
          </w:p>
        </w:tc>
        <w:tc>
          <w:tcPr>
            <w:tcW w:w="5030" w:type="dxa"/>
          </w:tcPr>
          <w:p w:rsidR="00683496" w:rsidRDefault="00683496" w:rsidP="00683496">
            <w:r>
              <w:t>Betonowe kostki brukowe. Wymagania i metody badań</w:t>
            </w:r>
          </w:p>
        </w:tc>
      </w:tr>
      <w:tr w:rsidR="00683496" w:rsidTr="00683496">
        <w:tc>
          <w:tcPr>
            <w:tcW w:w="496" w:type="dxa"/>
          </w:tcPr>
          <w:p w:rsidR="00683496" w:rsidRDefault="00683496" w:rsidP="00683496">
            <w:pPr>
              <w:jc w:val="right"/>
            </w:pPr>
            <w:r>
              <w:t>3.</w:t>
            </w:r>
          </w:p>
        </w:tc>
        <w:tc>
          <w:tcPr>
            <w:tcW w:w="1984" w:type="dxa"/>
          </w:tcPr>
          <w:p w:rsidR="00683496" w:rsidRDefault="00683496" w:rsidP="00683496">
            <w:r>
              <w:t>PN-B-11112:1996</w:t>
            </w:r>
          </w:p>
        </w:tc>
        <w:tc>
          <w:tcPr>
            <w:tcW w:w="5030" w:type="dxa"/>
          </w:tcPr>
          <w:p w:rsidR="00683496" w:rsidRDefault="00683496" w:rsidP="00683496">
            <w:r>
              <w:t>Kruszywa mineralne. Kruszywa łamane do nawierzchni drogowych</w:t>
            </w:r>
          </w:p>
        </w:tc>
      </w:tr>
      <w:tr w:rsidR="00683496" w:rsidTr="00683496">
        <w:tc>
          <w:tcPr>
            <w:tcW w:w="496" w:type="dxa"/>
          </w:tcPr>
          <w:p w:rsidR="00683496" w:rsidRDefault="00683496" w:rsidP="00683496">
            <w:pPr>
              <w:jc w:val="right"/>
            </w:pPr>
            <w:r>
              <w:t>4.</w:t>
            </w:r>
          </w:p>
        </w:tc>
        <w:tc>
          <w:tcPr>
            <w:tcW w:w="1984" w:type="dxa"/>
          </w:tcPr>
          <w:p w:rsidR="00683496" w:rsidRDefault="00683496" w:rsidP="00683496">
            <w:r>
              <w:t>PN-B-11113:1996</w:t>
            </w:r>
          </w:p>
        </w:tc>
        <w:tc>
          <w:tcPr>
            <w:tcW w:w="5030" w:type="dxa"/>
          </w:tcPr>
          <w:p w:rsidR="00683496" w:rsidRDefault="00683496" w:rsidP="00683496">
            <w:r>
              <w:t xml:space="preserve"> Kruszywa mineralne. Kruszywa naturalne do nawierzchni drogowych; piasek</w:t>
            </w:r>
          </w:p>
        </w:tc>
      </w:tr>
      <w:tr w:rsidR="00683496" w:rsidTr="00683496">
        <w:tc>
          <w:tcPr>
            <w:tcW w:w="496" w:type="dxa"/>
          </w:tcPr>
          <w:p w:rsidR="00683496" w:rsidRDefault="00683496" w:rsidP="00683496">
            <w:pPr>
              <w:jc w:val="right"/>
            </w:pPr>
            <w:r>
              <w:t>5.</w:t>
            </w:r>
          </w:p>
        </w:tc>
        <w:tc>
          <w:tcPr>
            <w:tcW w:w="1984" w:type="dxa"/>
          </w:tcPr>
          <w:p w:rsidR="00683496" w:rsidRDefault="00683496" w:rsidP="00683496">
            <w:r>
              <w:t>PN-88 B/32250</w:t>
            </w:r>
          </w:p>
        </w:tc>
        <w:tc>
          <w:tcPr>
            <w:tcW w:w="5030" w:type="dxa"/>
          </w:tcPr>
          <w:p w:rsidR="00683496" w:rsidRDefault="00683496" w:rsidP="00683496">
            <w:r>
              <w:t>Materiały budowlane. Woda do betonów i zapraw</w:t>
            </w:r>
          </w:p>
        </w:tc>
      </w:tr>
      <w:tr w:rsidR="00683496" w:rsidTr="00683496">
        <w:tc>
          <w:tcPr>
            <w:tcW w:w="496" w:type="dxa"/>
          </w:tcPr>
          <w:p w:rsidR="00683496" w:rsidRDefault="00683496" w:rsidP="00683496">
            <w:pPr>
              <w:jc w:val="right"/>
            </w:pPr>
            <w:r>
              <w:t>6.</w:t>
            </w:r>
          </w:p>
        </w:tc>
        <w:tc>
          <w:tcPr>
            <w:tcW w:w="1984" w:type="dxa"/>
          </w:tcPr>
          <w:p w:rsidR="00683496" w:rsidRDefault="00683496" w:rsidP="00683496">
            <w:r>
              <w:t>BN-88/6731-08</w:t>
            </w:r>
          </w:p>
        </w:tc>
        <w:tc>
          <w:tcPr>
            <w:tcW w:w="5030" w:type="dxa"/>
          </w:tcPr>
          <w:p w:rsidR="00683496" w:rsidRDefault="00683496" w:rsidP="00683496">
            <w:r>
              <w:t>Cement. Transport i przechowywanie</w:t>
            </w:r>
          </w:p>
        </w:tc>
      </w:tr>
      <w:tr w:rsidR="00683496" w:rsidTr="00683496">
        <w:tc>
          <w:tcPr>
            <w:tcW w:w="496" w:type="dxa"/>
          </w:tcPr>
          <w:p w:rsidR="00683496" w:rsidRDefault="00683496" w:rsidP="00683496">
            <w:pPr>
              <w:jc w:val="right"/>
            </w:pPr>
            <w:r>
              <w:t>7.</w:t>
            </w:r>
          </w:p>
        </w:tc>
        <w:tc>
          <w:tcPr>
            <w:tcW w:w="1984" w:type="dxa"/>
          </w:tcPr>
          <w:p w:rsidR="00683496" w:rsidRDefault="00683496" w:rsidP="00683496">
            <w:r>
              <w:t>BN-64/8931-01</w:t>
            </w:r>
          </w:p>
        </w:tc>
        <w:tc>
          <w:tcPr>
            <w:tcW w:w="5030" w:type="dxa"/>
          </w:tcPr>
          <w:p w:rsidR="00683496" w:rsidRDefault="00683496" w:rsidP="00683496">
            <w:r>
              <w:t>Drogi samochodowe. Oznaczenie wskaźnika piaskowego</w:t>
            </w:r>
          </w:p>
        </w:tc>
      </w:tr>
      <w:tr w:rsidR="00683496" w:rsidTr="00683496">
        <w:tc>
          <w:tcPr>
            <w:tcW w:w="496" w:type="dxa"/>
          </w:tcPr>
          <w:p w:rsidR="00683496" w:rsidRDefault="00683496" w:rsidP="00683496">
            <w:pPr>
              <w:jc w:val="right"/>
            </w:pPr>
            <w:r>
              <w:t>8.</w:t>
            </w:r>
          </w:p>
        </w:tc>
        <w:tc>
          <w:tcPr>
            <w:tcW w:w="1984" w:type="dxa"/>
          </w:tcPr>
          <w:p w:rsidR="00683496" w:rsidRDefault="00683496" w:rsidP="00683496">
            <w:r>
              <w:t>BN-68/8931-04</w:t>
            </w:r>
          </w:p>
        </w:tc>
        <w:tc>
          <w:tcPr>
            <w:tcW w:w="5030" w:type="dxa"/>
          </w:tcPr>
          <w:p w:rsidR="00683496" w:rsidRDefault="00683496" w:rsidP="00683496">
            <w:r>
              <w:t xml:space="preserve">Drogi samochodowe. Pomiar równości nawierzchni </w:t>
            </w:r>
            <w:proofErr w:type="spellStart"/>
            <w:r>
              <w:t>planografem</w:t>
            </w:r>
            <w:proofErr w:type="spellEnd"/>
            <w:r>
              <w:t xml:space="preserve"> i łatą.</w:t>
            </w:r>
          </w:p>
        </w:tc>
      </w:tr>
    </w:tbl>
    <w:p w:rsidR="00683496" w:rsidRDefault="00683496" w:rsidP="00683496">
      <w:pPr>
        <w:pStyle w:val="Nagwek2"/>
      </w:pPr>
      <w:r>
        <w:t>10.2.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683496" w:rsidTr="00683496">
        <w:tc>
          <w:tcPr>
            <w:tcW w:w="496" w:type="dxa"/>
          </w:tcPr>
          <w:p w:rsidR="00683496" w:rsidRDefault="00683496" w:rsidP="00683496">
            <w:pPr>
              <w:jc w:val="right"/>
            </w:pPr>
            <w:r>
              <w:t>9.</w:t>
            </w:r>
          </w:p>
        </w:tc>
        <w:tc>
          <w:tcPr>
            <w:tcW w:w="1984" w:type="dxa"/>
          </w:tcPr>
          <w:p w:rsidR="00683496" w:rsidRDefault="00683496" w:rsidP="00683496">
            <w:r>
              <w:t>D-M-00.00.00</w:t>
            </w:r>
          </w:p>
        </w:tc>
        <w:tc>
          <w:tcPr>
            <w:tcW w:w="5030" w:type="dxa"/>
          </w:tcPr>
          <w:p w:rsidR="00683496" w:rsidRDefault="00683496" w:rsidP="00683496">
            <w:r>
              <w:t>Wymagania ogólne</w:t>
            </w:r>
          </w:p>
        </w:tc>
      </w:tr>
      <w:tr w:rsidR="00683496" w:rsidTr="00683496">
        <w:tc>
          <w:tcPr>
            <w:tcW w:w="496" w:type="dxa"/>
          </w:tcPr>
          <w:p w:rsidR="00683496" w:rsidRDefault="00683496" w:rsidP="00683496">
            <w:pPr>
              <w:jc w:val="right"/>
            </w:pPr>
            <w:r>
              <w:t>10.</w:t>
            </w:r>
          </w:p>
        </w:tc>
        <w:tc>
          <w:tcPr>
            <w:tcW w:w="1984" w:type="dxa"/>
          </w:tcPr>
          <w:p w:rsidR="00683496" w:rsidRDefault="00683496" w:rsidP="00683496">
            <w:r>
              <w:t>D-04.01.01</w:t>
            </w:r>
            <w:r>
              <w:sym w:font="Symbol" w:char="F0B8"/>
            </w:r>
            <w:r>
              <w:t>04.03.01</w:t>
            </w:r>
          </w:p>
        </w:tc>
        <w:tc>
          <w:tcPr>
            <w:tcW w:w="5030" w:type="dxa"/>
          </w:tcPr>
          <w:p w:rsidR="00683496" w:rsidRDefault="00683496" w:rsidP="00683496">
            <w:r>
              <w:t>Dolne warstwy podbudów oraz oczyszczenie i skropienie</w:t>
            </w:r>
          </w:p>
        </w:tc>
      </w:tr>
      <w:tr w:rsidR="00683496" w:rsidTr="00683496">
        <w:tc>
          <w:tcPr>
            <w:tcW w:w="496" w:type="dxa"/>
          </w:tcPr>
          <w:p w:rsidR="00683496" w:rsidRDefault="00683496" w:rsidP="00683496">
            <w:pPr>
              <w:jc w:val="right"/>
            </w:pPr>
            <w:r>
              <w:t>11.</w:t>
            </w:r>
          </w:p>
        </w:tc>
        <w:tc>
          <w:tcPr>
            <w:tcW w:w="1984" w:type="dxa"/>
          </w:tcPr>
          <w:p w:rsidR="00683496" w:rsidRDefault="00683496" w:rsidP="00683496">
            <w:r>
              <w:t>D-04.04.00</w:t>
            </w:r>
            <w:r>
              <w:sym w:font="Symbol" w:char="F0B8"/>
            </w:r>
            <w:r>
              <w:t>04.04.03</w:t>
            </w:r>
          </w:p>
        </w:tc>
        <w:tc>
          <w:tcPr>
            <w:tcW w:w="5030" w:type="dxa"/>
          </w:tcPr>
          <w:p w:rsidR="00683496" w:rsidRDefault="00683496" w:rsidP="00683496">
            <w:r>
              <w:t>Podbudowy z kruszywa stabilizowanego mechanicznie</w:t>
            </w:r>
          </w:p>
        </w:tc>
      </w:tr>
      <w:tr w:rsidR="00683496" w:rsidTr="00683496">
        <w:tc>
          <w:tcPr>
            <w:tcW w:w="496" w:type="dxa"/>
          </w:tcPr>
          <w:p w:rsidR="00683496" w:rsidRDefault="00683496" w:rsidP="00683496">
            <w:pPr>
              <w:jc w:val="right"/>
            </w:pPr>
            <w:r>
              <w:t>14.</w:t>
            </w:r>
          </w:p>
        </w:tc>
        <w:tc>
          <w:tcPr>
            <w:tcW w:w="1984" w:type="dxa"/>
          </w:tcPr>
          <w:p w:rsidR="00683496" w:rsidRDefault="00683496" w:rsidP="00683496">
            <w:r>
              <w:t>D-04.06.01</w:t>
            </w:r>
          </w:p>
        </w:tc>
        <w:tc>
          <w:tcPr>
            <w:tcW w:w="5030" w:type="dxa"/>
          </w:tcPr>
          <w:p w:rsidR="00683496" w:rsidRDefault="00683496" w:rsidP="00683496">
            <w:r>
              <w:t>Podbudowa z chudego betonu</w:t>
            </w:r>
          </w:p>
        </w:tc>
      </w:tr>
      <w:tr w:rsidR="00683496" w:rsidTr="00683496">
        <w:tc>
          <w:tcPr>
            <w:tcW w:w="496" w:type="dxa"/>
          </w:tcPr>
          <w:p w:rsidR="00683496" w:rsidRDefault="00683496" w:rsidP="00683496">
            <w:pPr>
              <w:jc w:val="right"/>
            </w:pPr>
            <w:r>
              <w:t>17.</w:t>
            </w:r>
          </w:p>
        </w:tc>
        <w:tc>
          <w:tcPr>
            <w:tcW w:w="1984" w:type="dxa"/>
          </w:tcPr>
          <w:p w:rsidR="00683496" w:rsidRDefault="00683496" w:rsidP="00683496">
            <w:r>
              <w:t>D-08.01.01a</w:t>
            </w:r>
          </w:p>
        </w:tc>
        <w:tc>
          <w:tcPr>
            <w:tcW w:w="5030" w:type="dxa"/>
          </w:tcPr>
          <w:p w:rsidR="00683496" w:rsidRDefault="00683496" w:rsidP="00683496">
            <w:r>
              <w:t>Ustawianie krawężników betonowych</w:t>
            </w:r>
          </w:p>
        </w:tc>
      </w:tr>
      <w:tr w:rsidR="00683496" w:rsidTr="00683496">
        <w:tc>
          <w:tcPr>
            <w:tcW w:w="496" w:type="dxa"/>
          </w:tcPr>
          <w:p w:rsidR="00683496" w:rsidRDefault="00683496" w:rsidP="00683496">
            <w:pPr>
              <w:jc w:val="right"/>
            </w:pPr>
          </w:p>
        </w:tc>
        <w:tc>
          <w:tcPr>
            <w:tcW w:w="1984" w:type="dxa"/>
          </w:tcPr>
          <w:p w:rsidR="00683496" w:rsidRDefault="00683496" w:rsidP="00683496"/>
        </w:tc>
        <w:tc>
          <w:tcPr>
            <w:tcW w:w="5030" w:type="dxa"/>
          </w:tcPr>
          <w:p w:rsidR="00683496" w:rsidRDefault="00683496" w:rsidP="00683496"/>
        </w:tc>
      </w:tr>
      <w:tr w:rsidR="00683496" w:rsidTr="00683496">
        <w:tc>
          <w:tcPr>
            <w:tcW w:w="496" w:type="dxa"/>
          </w:tcPr>
          <w:p w:rsidR="00683496" w:rsidRDefault="00683496" w:rsidP="00683496">
            <w:pPr>
              <w:jc w:val="right"/>
            </w:pPr>
          </w:p>
        </w:tc>
        <w:tc>
          <w:tcPr>
            <w:tcW w:w="1984" w:type="dxa"/>
          </w:tcPr>
          <w:p w:rsidR="00683496" w:rsidRDefault="00683496" w:rsidP="00683496"/>
        </w:tc>
        <w:tc>
          <w:tcPr>
            <w:tcW w:w="5030" w:type="dxa"/>
          </w:tcPr>
          <w:p w:rsidR="00683496" w:rsidRDefault="00683496" w:rsidP="00683496"/>
        </w:tc>
      </w:tr>
      <w:tr w:rsidR="00683496" w:rsidTr="00683496">
        <w:tc>
          <w:tcPr>
            <w:tcW w:w="496" w:type="dxa"/>
          </w:tcPr>
          <w:p w:rsidR="00683496" w:rsidRDefault="00683496" w:rsidP="00683496">
            <w:pPr>
              <w:jc w:val="right"/>
            </w:pPr>
          </w:p>
        </w:tc>
        <w:tc>
          <w:tcPr>
            <w:tcW w:w="1984" w:type="dxa"/>
          </w:tcPr>
          <w:p w:rsidR="00683496" w:rsidRDefault="00683496" w:rsidP="00683496"/>
        </w:tc>
        <w:tc>
          <w:tcPr>
            <w:tcW w:w="5030" w:type="dxa"/>
          </w:tcPr>
          <w:p w:rsidR="00683496" w:rsidRDefault="00683496" w:rsidP="00683496"/>
        </w:tc>
      </w:tr>
    </w:tbl>
    <w:p w:rsidR="00683496" w:rsidRDefault="00683496" w:rsidP="00683496"/>
    <w:p w:rsidR="00B718AA" w:rsidRDefault="00B718AA"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234EE1" w:rsidRDefault="00234EE1" w:rsidP="00B718AA">
      <w:pPr>
        <w:tabs>
          <w:tab w:val="left" w:pos="1005"/>
        </w:tabs>
      </w:pPr>
    </w:p>
    <w:p w:rsidR="00B718AA" w:rsidRPr="001D5503" w:rsidRDefault="00B718AA" w:rsidP="00B718AA">
      <w:pPr>
        <w:rPr>
          <w:b/>
          <w:sz w:val="28"/>
        </w:rPr>
      </w:pPr>
      <w:bookmarkStart w:id="438" w:name="_Hlk15765486"/>
      <w:r>
        <w:rPr>
          <w:b/>
          <w:sz w:val="28"/>
        </w:rPr>
        <w:lastRenderedPageBreak/>
        <w:t xml:space="preserve">D - 08.02.01 CHODNIK   Z   PŁYT </w:t>
      </w:r>
      <w:r>
        <w:rPr>
          <w:b/>
          <w:sz w:val="27"/>
        </w:rPr>
        <w:t>CHODNIKOWYCH   BETONOWYCH</w:t>
      </w:r>
      <w:bookmarkEnd w:id="438"/>
    </w:p>
    <w:p w:rsidR="00B718AA" w:rsidRDefault="00B718AA" w:rsidP="00B718AA">
      <w:pPr>
        <w:jc w:val="center"/>
        <w:rPr>
          <w:b/>
          <w:sz w:val="28"/>
        </w:rPr>
      </w:pPr>
    </w:p>
    <w:p w:rsidR="00B718AA" w:rsidRDefault="00B718AA" w:rsidP="00B718AA">
      <w:pPr>
        <w:jc w:val="both"/>
        <w:rPr>
          <w:b/>
          <w:sz w:val="28"/>
        </w:rPr>
      </w:pPr>
    </w:p>
    <w:p w:rsidR="00B718AA" w:rsidRDefault="00B718AA" w:rsidP="00B718AA">
      <w:pPr>
        <w:pStyle w:val="Nagwek1"/>
      </w:pPr>
      <w:bookmarkStart w:id="439" w:name="_Toc429551221"/>
      <w:r>
        <w:t>1. WSTĘP</w:t>
      </w:r>
      <w:bookmarkEnd w:id="439"/>
    </w:p>
    <w:p w:rsidR="00B718AA" w:rsidRDefault="00B718AA" w:rsidP="00B718AA">
      <w:pPr>
        <w:pStyle w:val="Nagwek2"/>
      </w:pPr>
      <w:r>
        <w:t>1.1. Przedmiot SST</w:t>
      </w:r>
    </w:p>
    <w:p w:rsidR="00B718AA" w:rsidRDefault="00B718AA" w:rsidP="00B718AA">
      <w:r>
        <w:rPr>
          <w:b/>
        </w:rPr>
        <w:tab/>
      </w:r>
      <w:r>
        <w:t>Przedmiotem niniejszej ogólnej specyfikacji technicznej (SST) są wymagania dotyczące wykonania i odbioru robót związanych z wykonaniem chodnika z płyt chodnikowych betonowych.</w:t>
      </w:r>
    </w:p>
    <w:p w:rsidR="00B718AA" w:rsidRDefault="00B718AA" w:rsidP="00B718AA">
      <w:pPr>
        <w:pStyle w:val="Nagwek2"/>
      </w:pPr>
      <w:r>
        <w:t>1.2. Zakres stosowania SST</w:t>
      </w:r>
    </w:p>
    <w:p w:rsidR="00B718AA" w:rsidRDefault="00B718AA" w:rsidP="00B718AA">
      <w:r>
        <w:rPr>
          <w:b/>
        </w:rPr>
        <w:tab/>
      </w:r>
      <w:r>
        <w:t>Ogólna specyfikacja techniczna (SST) stanowi obowiązującą podstawę opracowania szczegółowej specyfikacji technicznej (SST) stosowanej jako dokument przetargowy i kontraktowy przy zlecaniu i realizacji robót na drogach krajowych i wojewódzkich.</w:t>
      </w:r>
    </w:p>
    <w:p w:rsidR="00B718AA" w:rsidRDefault="00B718AA" w:rsidP="00B718AA">
      <w:r>
        <w:tab/>
        <w:t>Zaleca się wykorzystanie SST przy zlecaniu robót na drogach miejskich i gminnych.</w:t>
      </w:r>
    </w:p>
    <w:p w:rsidR="00B718AA" w:rsidRDefault="00B718AA" w:rsidP="00B718AA">
      <w:pPr>
        <w:pStyle w:val="Nagwek2"/>
      </w:pPr>
      <w:r>
        <w:t>1.3. Zakres robót objętych SST</w:t>
      </w:r>
    </w:p>
    <w:p w:rsidR="00B718AA" w:rsidRDefault="00B718AA" w:rsidP="00B718AA">
      <w:r>
        <w:rPr>
          <w:b/>
        </w:rPr>
        <w:tab/>
      </w:r>
      <w:r>
        <w:t>Ustalenia zawarte w niniejszej specyfikacji dotyczą zasad prowadzenia robót związanych z wykonaniem chodnika:</w:t>
      </w:r>
    </w:p>
    <w:p w:rsidR="00B718AA" w:rsidRDefault="00B718AA" w:rsidP="00B718AA">
      <w:pPr>
        <w:numPr>
          <w:ilvl w:val="0"/>
          <w:numId w:val="1"/>
        </w:numPr>
        <w:overflowPunct w:val="0"/>
        <w:autoSpaceDE w:val="0"/>
        <w:autoSpaceDN w:val="0"/>
        <w:adjustRightInd w:val="0"/>
        <w:jc w:val="both"/>
        <w:textAlignment w:val="baseline"/>
      </w:pPr>
      <w:r>
        <w:t>z płyt chodnikowych betonowych 35 x 35 cm,</w:t>
      </w:r>
    </w:p>
    <w:p w:rsidR="00B718AA" w:rsidRDefault="00B718AA" w:rsidP="00B718AA">
      <w:pPr>
        <w:numPr>
          <w:ilvl w:val="0"/>
          <w:numId w:val="1"/>
        </w:numPr>
        <w:overflowPunct w:val="0"/>
        <w:autoSpaceDE w:val="0"/>
        <w:autoSpaceDN w:val="0"/>
        <w:adjustRightInd w:val="0"/>
        <w:jc w:val="both"/>
        <w:textAlignment w:val="baseline"/>
      </w:pPr>
      <w:r>
        <w:t>z płyt chodnikowych betonowych 50 x 50 cm.</w:t>
      </w:r>
    </w:p>
    <w:p w:rsidR="00B718AA" w:rsidRDefault="00B718AA" w:rsidP="00B718AA">
      <w:pPr>
        <w:pStyle w:val="Nagwek2"/>
        <w:numPr>
          <w:ilvl w:val="12"/>
          <w:numId w:val="0"/>
        </w:numPr>
      </w:pPr>
      <w:r>
        <w:t>1.4. Określenia podstawowe</w:t>
      </w:r>
    </w:p>
    <w:p w:rsidR="00B718AA" w:rsidRDefault="00B718AA" w:rsidP="00B718AA">
      <w:pPr>
        <w:numPr>
          <w:ilvl w:val="12"/>
          <w:numId w:val="0"/>
        </w:numPr>
      </w:pPr>
      <w:r>
        <w:rPr>
          <w:b/>
        </w:rPr>
        <w:t xml:space="preserve">1.4.1. </w:t>
      </w:r>
      <w:r>
        <w:t>Płyty chodnikowe betonowe - prefabrykowane płyty betonowe przeznaczone do budowy chodników dla pieszych.</w:t>
      </w:r>
    </w:p>
    <w:p w:rsidR="00B718AA" w:rsidRDefault="00B718AA" w:rsidP="00B718AA">
      <w:pPr>
        <w:numPr>
          <w:ilvl w:val="12"/>
          <w:numId w:val="0"/>
        </w:numPr>
        <w:spacing w:before="120"/>
      </w:pPr>
      <w:r>
        <w:rPr>
          <w:b/>
        </w:rPr>
        <w:t xml:space="preserve">1.4.2. </w:t>
      </w:r>
      <w:r>
        <w:t>Pozostałe określenia podstawowe są zgodne z obowiązującymi, odpowiednimi polskimi normami i z definicjami i z definicjami podanymi w SST D-M-00.00.00 „Wymagania ogólne” pkt 1.4.</w:t>
      </w:r>
    </w:p>
    <w:p w:rsidR="00B718AA" w:rsidRDefault="00B718AA" w:rsidP="00B718AA">
      <w:pPr>
        <w:pStyle w:val="Nagwek2"/>
        <w:numPr>
          <w:ilvl w:val="12"/>
          <w:numId w:val="0"/>
        </w:numPr>
      </w:pPr>
      <w:r>
        <w:t>1.5. Ogólne wymagania dotyczące robót</w:t>
      </w:r>
    </w:p>
    <w:p w:rsidR="00B718AA" w:rsidRDefault="00B718AA" w:rsidP="00B718AA">
      <w:pPr>
        <w:numPr>
          <w:ilvl w:val="12"/>
          <w:numId w:val="0"/>
        </w:numPr>
      </w:pPr>
      <w:r>
        <w:tab/>
        <w:t>Ogólne wymagania dotyczące robót podano w SST D-M-00.00.00 „Wymagania ogólne” pkt 1.5.</w:t>
      </w:r>
    </w:p>
    <w:p w:rsidR="00B718AA" w:rsidRDefault="00B718AA" w:rsidP="00B718AA">
      <w:pPr>
        <w:pStyle w:val="Nagwek1"/>
        <w:numPr>
          <w:ilvl w:val="12"/>
          <w:numId w:val="0"/>
        </w:numPr>
      </w:pPr>
      <w:bookmarkStart w:id="440" w:name="_Toc428243643"/>
      <w:bookmarkStart w:id="441" w:name="_Toc429551222"/>
      <w:r>
        <w:t>2. MATERIAŁY</w:t>
      </w:r>
      <w:bookmarkEnd w:id="440"/>
      <w:bookmarkEnd w:id="441"/>
    </w:p>
    <w:p w:rsidR="00B718AA" w:rsidRDefault="00B718AA" w:rsidP="00B718AA">
      <w:pPr>
        <w:pStyle w:val="Nagwek2"/>
        <w:numPr>
          <w:ilvl w:val="12"/>
          <w:numId w:val="0"/>
        </w:numPr>
      </w:pPr>
      <w:r>
        <w:t>2.1. Ogólne wymagania dotyczące materiałów</w:t>
      </w:r>
    </w:p>
    <w:p w:rsidR="00B718AA" w:rsidRPr="001D5503" w:rsidRDefault="00B718AA" w:rsidP="00B718AA">
      <w:pPr>
        <w:pStyle w:val="Nagwek2"/>
        <w:numPr>
          <w:ilvl w:val="12"/>
          <w:numId w:val="0"/>
        </w:numPr>
        <w:rPr>
          <w:b w:val="0"/>
        </w:rPr>
      </w:pPr>
      <w:r>
        <w:tab/>
      </w:r>
      <w:r>
        <w:rPr>
          <w:b w:val="0"/>
        </w:rPr>
        <w:t>Ogólne wymagania dotyczące materiałów, ich pozyskiwania i składowania, podano w  SST D-M-00.00.00 „Wymagania ogólne” pkt 2.</w:t>
      </w:r>
    </w:p>
    <w:p w:rsidR="00B718AA" w:rsidRDefault="00B718AA" w:rsidP="00B718AA">
      <w:pPr>
        <w:pStyle w:val="Nagwek2"/>
        <w:numPr>
          <w:ilvl w:val="12"/>
          <w:numId w:val="0"/>
        </w:numPr>
      </w:pPr>
      <w:r>
        <w:t>2.2. Płyty chodnikowe betonowe - klasyfikacja</w:t>
      </w:r>
    </w:p>
    <w:p w:rsidR="00B718AA" w:rsidRDefault="00B718AA" w:rsidP="00B718AA">
      <w:pPr>
        <w:numPr>
          <w:ilvl w:val="12"/>
          <w:numId w:val="0"/>
        </w:numPr>
      </w:pPr>
      <w:r>
        <w:rPr>
          <w:b/>
        </w:rPr>
        <w:t xml:space="preserve">2.2.1. </w:t>
      </w:r>
      <w:r>
        <w:t>Rodzaje</w:t>
      </w:r>
    </w:p>
    <w:p w:rsidR="00B718AA" w:rsidRDefault="00B718AA" w:rsidP="00B718AA">
      <w:pPr>
        <w:numPr>
          <w:ilvl w:val="12"/>
          <w:numId w:val="0"/>
        </w:numPr>
        <w:spacing w:before="120"/>
      </w:pPr>
      <w:r>
        <w:tab/>
        <w:t>W zależności od wymiarów i kształtu, rozróżnia się następujące rodzaje płyt chodnikowych betonowych:</w:t>
      </w:r>
    </w:p>
    <w:p w:rsidR="00B718AA" w:rsidRDefault="00B718AA" w:rsidP="00B718AA">
      <w:pPr>
        <w:numPr>
          <w:ilvl w:val="12"/>
          <w:numId w:val="0"/>
        </w:numPr>
      </w:pPr>
      <w:r>
        <w:t>A - płyta normalna kwadratowa,</w:t>
      </w:r>
    </w:p>
    <w:p w:rsidR="00B718AA" w:rsidRDefault="00B718AA" w:rsidP="00B718AA">
      <w:pPr>
        <w:numPr>
          <w:ilvl w:val="12"/>
          <w:numId w:val="0"/>
        </w:numPr>
      </w:pPr>
      <w:r>
        <w:t>B - płyta połówkowa,</w:t>
      </w:r>
    </w:p>
    <w:p w:rsidR="00B718AA" w:rsidRDefault="00B718AA" w:rsidP="00B718AA">
      <w:pPr>
        <w:numPr>
          <w:ilvl w:val="12"/>
          <w:numId w:val="0"/>
        </w:numPr>
      </w:pPr>
      <w:r>
        <w:t>C - płyta infuła,</w:t>
      </w:r>
    </w:p>
    <w:p w:rsidR="00B718AA" w:rsidRDefault="00B718AA" w:rsidP="00B718AA">
      <w:pPr>
        <w:numPr>
          <w:ilvl w:val="12"/>
          <w:numId w:val="0"/>
        </w:numPr>
      </w:pPr>
      <w:r>
        <w:t>D - płyta narożnikowa ścięta,</w:t>
      </w:r>
    </w:p>
    <w:p w:rsidR="00B718AA" w:rsidRDefault="00B718AA" w:rsidP="00B718AA">
      <w:pPr>
        <w:numPr>
          <w:ilvl w:val="12"/>
          <w:numId w:val="0"/>
        </w:numPr>
      </w:pPr>
      <w:r>
        <w:t>E - płyta narożnikowa kwadratowa.</w:t>
      </w:r>
    </w:p>
    <w:p w:rsidR="00B718AA" w:rsidRDefault="00B718AA" w:rsidP="00B718AA">
      <w:pPr>
        <w:numPr>
          <w:ilvl w:val="12"/>
          <w:numId w:val="0"/>
        </w:numPr>
        <w:spacing w:before="120"/>
      </w:pPr>
      <w:r>
        <w:rPr>
          <w:b/>
        </w:rPr>
        <w:t xml:space="preserve">2.2.2. </w:t>
      </w:r>
      <w:r>
        <w:t>Odmiany</w:t>
      </w:r>
    </w:p>
    <w:p w:rsidR="00B718AA" w:rsidRDefault="00B718AA" w:rsidP="00B718AA">
      <w:pPr>
        <w:numPr>
          <w:ilvl w:val="12"/>
          <w:numId w:val="0"/>
        </w:numPr>
        <w:spacing w:before="120"/>
      </w:pPr>
      <w:r>
        <w:tab/>
        <w:t>W zależności od technologii produkcji płyty rozróżnia się odmiany:</w:t>
      </w:r>
    </w:p>
    <w:p w:rsidR="00B718AA" w:rsidRDefault="00B718AA" w:rsidP="00B718AA">
      <w:pPr>
        <w:numPr>
          <w:ilvl w:val="12"/>
          <w:numId w:val="0"/>
        </w:numPr>
      </w:pPr>
      <w:r>
        <w:t>płyta jednowarstwowa  - 1,</w:t>
      </w:r>
    </w:p>
    <w:p w:rsidR="00B718AA" w:rsidRDefault="00B718AA" w:rsidP="00B718AA">
      <w:pPr>
        <w:numPr>
          <w:ilvl w:val="12"/>
          <w:numId w:val="0"/>
        </w:numPr>
      </w:pPr>
      <w:r>
        <w:t>płyta dwuwarstwowa    - 2.</w:t>
      </w:r>
    </w:p>
    <w:p w:rsidR="00B718AA" w:rsidRDefault="00B718AA" w:rsidP="00B718AA">
      <w:pPr>
        <w:numPr>
          <w:ilvl w:val="12"/>
          <w:numId w:val="0"/>
        </w:numPr>
        <w:spacing w:before="120"/>
      </w:pPr>
      <w:r>
        <w:rPr>
          <w:b/>
        </w:rPr>
        <w:t xml:space="preserve">2.2.3. </w:t>
      </w:r>
      <w:r>
        <w:t>Gatunki</w:t>
      </w:r>
    </w:p>
    <w:p w:rsidR="00B718AA" w:rsidRDefault="00B718AA" w:rsidP="00B718AA">
      <w:pPr>
        <w:numPr>
          <w:ilvl w:val="12"/>
          <w:numId w:val="0"/>
        </w:numPr>
        <w:spacing w:before="120"/>
      </w:pPr>
      <w:r>
        <w:tab/>
        <w:t>W zależności od dopuszczalnych wielkości i liczby uszkodzeń oraz odchyłek wymiarowych rozróżnia się gatunki płyt:</w:t>
      </w:r>
    </w:p>
    <w:p w:rsidR="00B718AA" w:rsidRDefault="00B718AA" w:rsidP="00B718AA">
      <w:pPr>
        <w:numPr>
          <w:ilvl w:val="12"/>
          <w:numId w:val="0"/>
        </w:numPr>
      </w:pPr>
      <w:r>
        <w:t>- gatunek I</w:t>
      </w:r>
      <w:r>
        <w:tab/>
        <w:t>- G1,</w:t>
      </w:r>
    </w:p>
    <w:p w:rsidR="00B718AA" w:rsidRDefault="00B718AA" w:rsidP="00B718AA">
      <w:pPr>
        <w:numPr>
          <w:ilvl w:val="12"/>
          <w:numId w:val="0"/>
        </w:numPr>
      </w:pPr>
      <w:r>
        <w:t>- gatunek II</w:t>
      </w:r>
      <w:r>
        <w:tab/>
        <w:t>- G2.</w:t>
      </w:r>
    </w:p>
    <w:p w:rsidR="00B718AA" w:rsidRDefault="00B718AA" w:rsidP="00B718AA">
      <w:pPr>
        <w:numPr>
          <w:ilvl w:val="12"/>
          <w:numId w:val="0"/>
        </w:numPr>
      </w:pPr>
      <w:r>
        <w:tab/>
        <w:t>Płyty chodnikowe betonowe powinny odpowiadać wymaganiom BN-80/6775-03/01 [7] i BN-80/6775-03/03 [8].</w:t>
      </w:r>
    </w:p>
    <w:p w:rsidR="00B718AA" w:rsidRDefault="00B718AA" w:rsidP="00B718AA">
      <w:pPr>
        <w:numPr>
          <w:ilvl w:val="12"/>
          <w:numId w:val="0"/>
        </w:numPr>
      </w:pPr>
      <w:r>
        <w:lastRenderedPageBreak/>
        <w:tab/>
        <w:t>Przykład oznaczenia płyty chodnikowej normalnej połówkowej (B) jednowarstwowej (1) o wymiarach 35 x 17,5 cm gat. I:</w:t>
      </w:r>
    </w:p>
    <w:p w:rsidR="00B718AA" w:rsidRDefault="00B718AA" w:rsidP="00B718AA">
      <w:pPr>
        <w:numPr>
          <w:ilvl w:val="12"/>
          <w:numId w:val="0"/>
        </w:numPr>
      </w:pPr>
      <w:r>
        <w:tab/>
        <w:t>Płyta chodnikowa B-1 35/17,5 BN-80/6775-03/03 [8].</w:t>
      </w:r>
    </w:p>
    <w:p w:rsidR="00B718AA" w:rsidRDefault="00B718AA" w:rsidP="00B718AA">
      <w:pPr>
        <w:numPr>
          <w:ilvl w:val="12"/>
          <w:numId w:val="0"/>
        </w:numPr>
      </w:pPr>
      <w:r>
        <w:tab/>
        <w:t>Co najmniej co 50-ta płyta na stronie nie narażonej na ścieranie powinna mieć podany w sposób trwały: znak wytwórni, symbole elementu, datę produkcji i znak kontroli odbiorczej.</w:t>
      </w:r>
    </w:p>
    <w:p w:rsidR="00B718AA" w:rsidRDefault="00B718AA" w:rsidP="00B718AA">
      <w:pPr>
        <w:pStyle w:val="Nagwek2"/>
        <w:numPr>
          <w:ilvl w:val="12"/>
          <w:numId w:val="0"/>
        </w:numPr>
      </w:pPr>
      <w:r>
        <w:t>2.3. Płyty chodnikowe betonowe - wymagania techniczne</w:t>
      </w:r>
    </w:p>
    <w:p w:rsidR="00B718AA" w:rsidRDefault="00B718AA" w:rsidP="00B718AA">
      <w:pPr>
        <w:numPr>
          <w:ilvl w:val="12"/>
          <w:numId w:val="0"/>
        </w:numPr>
      </w:pPr>
      <w:r>
        <w:rPr>
          <w:b/>
        </w:rPr>
        <w:t xml:space="preserve">2.3.1. </w:t>
      </w:r>
      <w:r>
        <w:t>Kształt i wymiary</w:t>
      </w:r>
    </w:p>
    <w:p w:rsidR="00B718AA" w:rsidRDefault="00B718AA" w:rsidP="00B718AA">
      <w:pPr>
        <w:numPr>
          <w:ilvl w:val="12"/>
          <w:numId w:val="0"/>
        </w:numPr>
        <w:spacing w:before="120"/>
      </w:pPr>
      <w:r>
        <w:tab/>
        <w:t>Kształt płyt chodnikowych betonowych podano na rys. 1, a wymiary płyt podano w tablicy 1.</w:t>
      </w:r>
    </w:p>
    <w:p w:rsidR="002122BD" w:rsidRDefault="00683496" w:rsidP="00B718AA">
      <w:r w:rsidRPr="00B718AA">
        <w:br w:type="page"/>
      </w:r>
      <w:r w:rsidR="008028C9">
        <w:rPr>
          <w:noProof/>
        </w:rPr>
        <w:lastRenderedPageBreak/>
        <w:drawing>
          <wp:inline distT="0" distB="0" distL="0" distR="0" wp14:anchorId="0AC0B732" wp14:editId="1E40B63C">
            <wp:extent cx="4495800" cy="28860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95800" cy="2886075"/>
                    </a:xfrm>
                    <a:prstGeom prst="rect">
                      <a:avLst/>
                    </a:prstGeom>
                    <a:noFill/>
                    <a:ln>
                      <a:noFill/>
                    </a:ln>
                  </pic:spPr>
                </pic:pic>
              </a:graphicData>
            </a:graphic>
          </wp:inline>
        </w:drawing>
      </w:r>
    </w:p>
    <w:p w:rsidR="002122BD" w:rsidRDefault="002122BD" w:rsidP="008028C9">
      <w:pPr>
        <w:numPr>
          <w:ilvl w:val="12"/>
          <w:numId w:val="0"/>
        </w:numPr>
        <w:spacing w:before="120"/>
      </w:pPr>
    </w:p>
    <w:p w:rsidR="002122BD" w:rsidRDefault="002122BD" w:rsidP="002122BD">
      <w:pPr>
        <w:pStyle w:val="tekstost"/>
        <w:numPr>
          <w:ilvl w:val="12"/>
          <w:numId w:val="0"/>
        </w:numPr>
        <w:jc w:val="center"/>
      </w:pPr>
      <w:r>
        <w:t>Rysunek 1. Rodzaje płyt chodnikowych betonowych</w:t>
      </w:r>
    </w:p>
    <w:p w:rsidR="002122BD" w:rsidRDefault="002122BD" w:rsidP="002122BD">
      <w:pPr>
        <w:pStyle w:val="tekstost"/>
        <w:numPr>
          <w:ilvl w:val="12"/>
          <w:numId w:val="0"/>
        </w:numPr>
        <w:spacing w:before="240" w:after="120"/>
      </w:pPr>
      <w:r>
        <w:t>Tablica 1. Wymiary płyt chodnikowych betonowych</w:t>
      </w:r>
    </w:p>
    <w:tbl>
      <w:tblPr>
        <w:tblW w:w="0" w:type="auto"/>
        <w:tblLayout w:type="fixed"/>
        <w:tblCellMar>
          <w:left w:w="70" w:type="dxa"/>
          <w:right w:w="70" w:type="dxa"/>
        </w:tblCellMar>
        <w:tblLook w:val="0000" w:firstRow="0" w:lastRow="0" w:firstColumn="0" w:lastColumn="0" w:noHBand="0" w:noVBand="0"/>
      </w:tblPr>
      <w:tblGrid>
        <w:gridCol w:w="1204"/>
        <w:gridCol w:w="1260"/>
        <w:gridCol w:w="1260"/>
        <w:gridCol w:w="1260"/>
        <w:gridCol w:w="1182"/>
        <w:gridCol w:w="1338"/>
        <w:gridCol w:w="6"/>
      </w:tblGrid>
      <w:tr w:rsidR="002122BD" w:rsidTr="00E3297D">
        <w:tc>
          <w:tcPr>
            <w:tcW w:w="1204" w:type="dxa"/>
            <w:tcBorders>
              <w:top w:val="single" w:sz="6" w:space="0" w:color="auto"/>
              <w:left w:val="single" w:sz="6" w:space="0" w:color="auto"/>
            </w:tcBorders>
          </w:tcPr>
          <w:p w:rsidR="002122BD" w:rsidRDefault="002122BD" w:rsidP="00E3297D">
            <w:pPr>
              <w:pStyle w:val="tekstost"/>
              <w:numPr>
                <w:ilvl w:val="12"/>
                <w:numId w:val="0"/>
              </w:numPr>
              <w:spacing w:before="60"/>
              <w:jc w:val="center"/>
            </w:pPr>
            <w:r>
              <w:t>Rodzaj</w:t>
            </w:r>
          </w:p>
        </w:tc>
        <w:tc>
          <w:tcPr>
            <w:tcW w:w="4962" w:type="dxa"/>
            <w:gridSpan w:val="4"/>
            <w:tcBorders>
              <w:top w:val="single" w:sz="6" w:space="0" w:color="auto"/>
              <w:left w:val="single" w:sz="6" w:space="0" w:color="auto"/>
            </w:tcBorders>
          </w:tcPr>
          <w:p w:rsidR="002122BD" w:rsidRDefault="002122BD" w:rsidP="00E3297D">
            <w:pPr>
              <w:pStyle w:val="tekstost"/>
              <w:numPr>
                <w:ilvl w:val="12"/>
                <w:numId w:val="0"/>
              </w:numPr>
              <w:spacing w:before="60"/>
              <w:jc w:val="center"/>
            </w:pPr>
            <w:r>
              <w:t>Wymiary płyt,   cm</w:t>
            </w:r>
          </w:p>
        </w:tc>
        <w:tc>
          <w:tcPr>
            <w:tcW w:w="1344" w:type="dxa"/>
            <w:gridSpan w:val="2"/>
            <w:tcBorders>
              <w:top w:val="single" w:sz="6" w:space="0" w:color="auto"/>
              <w:left w:val="single" w:sz="6" w:space="0" w:color="auto"/>
              <w:right w:val="single" w:sz="6" w:space="0" w:color="auto"/>
            </w:tcBorders>
          </w:tcPr>
          <w:p w:rsidR="002122BD" w:rsidRDefault="002122BD" w:rsidP="00E3297D">
            <w:pPr>
              <w:pStyle w:val="tekstost"/>
              <w:numPr>
                <w:ilvl w:val="12"/>
                <w:numId w:val="0"/>
              </w:numPr>
              <w:spacing w:before="60"/>
              <w:jc w:val="center"/>
            </w:pPr>
            <w:r>
              <w:t>Grubość</w:t>
            </w:r>
          </w:p>
        </w:tc>
      </w:tr>
      <w:tr w:rsidR="002122BD" w:rsidTr="00E3297D">
        <w:trPr>
          <w:gridAfter w:val="1"/>
          <w:wAfter w:w="6" w:type="dxa"/>
        </w:trPr>
        <w:tc>
          <w:tcPr>
            <w:tcW w:w="1204" w:type="dxa"/>
            <w:tcBorders>
              <w:left w:val="single" w:sz="6" w:space="0" w:color="auto"/>
              <w:bottom w:val="double" w:sz="6" w:space="0" w:color="auto"/>
            </w:tcBorders>
          </w:tcPr>
          <w:p w:rsidR="002122BD" w:rsidRDefault="002122BD" w:rsidP="00E3297D">
            <w:pPr>
              <w:pStyle w:val="tekstost"/>
              <w:numPr>
                <w:ilvl w:val="12"/>
                <w:numId w:val="0"/>
              </w:numPr>
              <w:spacing w:after="60"/>
              <w:jc w:val="center"/>
            </w:pPr>
            <w:r>
              <w:t>płyty</w:t>
            </w:r>
          </w:p>
        </w:tc>
        <w:tc>
          <w:tcPr>
            <w:tcW w:w="1260" w:type="dxa"/>
            <w:tcBorders>
              <w:top w:val="single" w:sz="6" w:space="0" w:color="auto"/>
              <w:left w:val="single" w:sz="6" w:space="0" w:color="auto"/>
              <w:bottom w:val="double" w:sz="6" w:space="0" w:color="auto"/>
              <w:right w:val="single" w:sz="6" w:space="0" w:color="auto"/>
            </w:tcBorders>
          </w:tcPr>
          <w:p w:rsidR="002122BD" w:rsidRDefault="002122BD" w:rsidP="00E3297D">
            <w:pPr>
              <w:pStyle w:val="tekstost"/>
              <w:numPr>
                <w:ilvl w:val="12"/>
                <w:numId w:val="0"/>
              </w:numPr>
              <w:spacing w:after="60"/>
              <w:jc w:val="center"/>
            </w:pPr>
            <w:r>
              <w:t>a</w:t>
            </w:r>
          </w:p>
        </w:tc>
        <w:tc>
          <w:tcPr>
            <w:tcW w:w="1260" w:type="dxa"/>
            <w:tcBorders>
              <w:top w:val="single" w:sz="6" w:space="0" w:color="auto"/>
              <w:left w:val="single" w:sz="6" w:space="0" w:color="auto"/>
              <w:bottom w:val="double" w:sz="6" w:space="0" w:color="auto"/>
              <w:right w:val="single" w:sz="6" w:space="0" w:color="auto"/>
            </w:tcBorders>
          </w:tcPr>
          <w:p w:rsidR="002122BD" w:rsidRDefault="002122BD" w:rsidP="00E3297D">
            <w:pPr>
              <w:pStyle w:val="tekstost"/>
              <w:numPr>
                <w:ilvl w:val="12"/>
                <w:numId w:val="0"/>
              </w:numPr>
              <w:spacing w:after="60"/>
              <w:jc w:val="center"/>
            </w:pPr>
            <w:r>
              <w:t>b</w:t>
            </w:r>
          </w:p>
        </w:tc>
        <w:tc>
          <w:tcPr>
            <w:tcW w:w="1260" w:type="dxa"/>
            <w:tcBorders>
              <w:top w:val="single" w:sz="6" w:space="0" w:color="auto"/>
              <w:left w:val="single" w:sz="6" w:space="0" w:color="auto"/>
              <w:bottom w:val="double" w:sz="6" w:space="0" w:color="auto"/>
              <w:right w:val="single" w:sz="6" w:space="0" w:color="auto"/>
            </w:tcBorders>
          </w:tcPr>
          <w:p w:rsidR="002122BD" w:rsidRDefault="002122BD" w:rsidP="00E3297D">
            <w:pPr>
              <w:pStyle w:val="tekstost"/>
              <w:numPr>
                <w:ilvl w:val="12"/>
                <w:numId w:val="0"/>
              </w:numPr>
              <w:spacing w:after="60"/>
              <w:jc w:val="center"/>
            </w:pPr>
            <w:r>
              <w:t>c</w:t>
            </w:r>
          </w:p>
        </w:tc>
        <w:tc>
          <w:tcPr>
            <w:tcW w:w="1182" w:type="dxa"/>
            <w:tcBorders>
              <w:top w:val="single" w:sz="6" w:space="0" w:color="auto"/>
              <w:left w:val="single" w:sz="6" w:space="0" w:color="auto"/>
              <w:bottom w:val="double" w:sz="6" w:space="0" w:color="auto"/>
              <w:right w:val="single" w:sz="6" w:space="0" w:color="auto"/>
            </w:tcBorders>
          </w:tcPr>
          <w:p w:rsidR="002122BD" w:rsidRDefault="002122BD" w:rsidP="00E3297D">
            <w:pPr>
              <w:pStyle w:val="tekstost"/>
              <w:numPr>
                <w:ilvl w:val="12"/>
                <w:numId w:val="0"/>
              </w:numPr>
              <w:spacing w:after="60"/>
              <w:jc w:val="center"/>
            </w:pPr>
            <w:r>
              <w:t>d</w:t>
            </w:r>
          </w:p>
        </w:tc>
        <w:tc>
          <w:tcPr>
            <w:tcW w:w="1338" w:type="dxa"/>
            <w:tcBorders>
              <w:bottom w:val="double" w:sz="6" w:space="0" w:color="auto"/>
              <w:right w:val="single" w:sz="6" w:space="0" w:color="auto"/>
            </w:tcBorders>
          </w:tcPr>
          <w:p w:rsidR="002122BD" w:rsidRDefault="002122BD" w:rsidP="00E3297D">
            <w:pPr>
              <w:pStyle w:val="tekstost"/>
              <w:numPr>
                <w:ilvl w:val="12"/>
                <w:numId w:val="0"/>
              </w:numPr>
              <w:spacing w:after="60"/>
              <w:jc w:val="center"/>
            </w:pPr>
            <w:r>
              <w:t>płyty h,   cm</w:t>
            </w:r>
          </w:p>
        </w:tc>
      </w:tr>
      <w:tr w:rsidR="002122BD" w:rsidTr="00E3297D">
        <w:trPr>
          <w:gridAfter w:val="1"/>
          <w:wAfter w:w="6" w:type="dxa"/>
        </w:trPr>
        <w:tc>
          <w:tcPr>
            <w:tcW w:w="1204"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180"/>
              <w:jc w:val="center"/>
              <w:rPr>
                <w:lang w:val="de-DE"/>
              </w:rPr>
            </w:pPr>
            <w:r>
              <w:rPr>
                <w:lang w:val="de-DE"/>
              </w:rPr>
              <w:t>A</w:t>
            </w:r>
          </w:p>
        </w:tc>
        <w:tc>
          <w:tcPr>
            <w:tcW w:w="1260"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jc w:val="center"/>
              <w:rPr>
                <w:lang w:val="de-DE"/>
              </w:rPr>
            </w:pPr>
            <w:r>
              <w:rPr>
                <w:u w:val="single"/>
                <w:lang w:val="de-DE"/>
              </w:rPr>
              <w:t>35</w:t>
            </w:r>
          </w:p>
          <w:p w:rsidR="002122BD" w:rsidRDefault="002122BD" w:rsidP="00E3297D">
            <w:pPr>
              <w:pStyle w:val="tekstost"/>
              <w:numPr>
                <w:ilvl w:val="12"/>
                <w:numId w:val="0"/>
              </w:numPr>
              <w:spacing w:after="60"/>
              <w:jc w:val="center"/>
              <w:rPr>
                <w:lang w:val="de-DE"/>
              </w:rPr>
            </w:pPr>
            <w:r>
              <w:rPr>
                <w:lang w:val="de-DE"/>
              </w:rPr>
              <w:t>50</w:t>
            </w:r>
          </w:p>
        </w:tc>
        <w:tc>
          <w:tcPr>
            <w:tcW w:w="1260"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180"/>
              <w:jc w:val="center"/>
              <w:rPr>
                <w:lang w:val="de-DE"/>
              </w:rPr>
            </w:pPr>
            <w:r>
              <w:rPr>
                <w:lang w:val="de-DE"/>
              </w:rPr>
              <w:t>-</w:t>
            </w:r>
          </w:p>
        </w:tc>
        <w:tc>
          <w:tcPr>
            <w:tcW w:w="1260"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180"/>
              <w:jc w:val="center"/>
              <w:rPr>
                <w:lang w:val="de-DE"/>
              </w:rPr>
            </w:pPr>
            <w:r>
              <w:rPr>
                <w:lang w:val="de-DE"/>
              </w:rPr>
              <w:t>-</w:t>
            </w:r>
          </w:p>
        </w:tc>
        <w:tc>
          <w:tcPr>
            <w:tcW w:w="1182"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180"/>
              <w:jc w:val="center"/>
              <w:rPr>
                <w:lang w:val="de-DE"/>
              </w:rPr>
            </w:pPr>
            <w:r>
              <w:rPr>
                <w:lang w:val="de-DE"/>
              </w:rPr>
              <w:t>-</w:t>
            </w:r>
          </w:p>
        </w:tc>
        <w:tc>
          <w:tcPr>
            <w:tcW w:w="1338" w:type="dxa"/>
            <w:tcBorders>
              <w:right w:val="single" w:sz="6" w:space="0" w:color="auto"/>
            </w:tcBorders>
          </w:tcPr>
          <w:p w:rsidR="002122BD" w:rsidRDefault="002122BD" w:rsidP="00E3297D">
            <w:pPr>
              <w:pStyle w:val="tekstost"/>
              <w:numPr>
                <w:ilvl w:val="12"/>
                <w:numId w:val="0"/>
              </w:numPr>
              <w:jc w:val="center"/>
              <w:rPr>
                <w:lang w:val="de-DE"/>
              </w:rPr>
            </w:pPr>
          </w:p>
          <w:p w:rsidR="002122BD" w:rsidRDefault="002122BD" w:rsidP="00E3297D">
            <w:pPr>
              <w:pStyle w:val="tekstost"/>
              <w:numPr>
                <w:ilvl w:val="12"/>
                <w:numId w:val="0"/>
              </w:numPr>
              <w:spacing w:before="120"/>
              <w:jc w:val="center"/>
              <w:rPr>
                <w:lang w:val="de-DE"/>
              </w:rPr>
            </w:pPr>
            <w:r>
              <w:rPr>
                <w:lang w:val="de-DE"/>
              </w:rPr>
              <w:t>min 5</w:t>
            </w:r>
          </w:p>
        </w:tc>
      </w:tr>
      <w:tr w:rsidR="002122BD" w:rsidTr="00E3297D">
        <w:trPr>
          <w:gridAfter w:val="1"/>
          <w:wAfter w:w="6" w:type="dxa"/>
        </w:trPr>
        <w:tc>
          <w:tcPr>
            <w:tcW w:w="1204"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180"/>
              <w:jc w:val="center"/>
              <w:rPr>
                <w:lang w:val="de-DE"/>
              </w:rPr>
            </w:pPr>
            <w:r>
              <w:rPr>
                <w:lang w:val="de-DE"/>
              </w:rPr>
              <w:t>B</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jc w:val="center"/>
              <w:rPr>
                <w:lang w:val="de-DE"/>
              </w:rPr>
            </w:pPr>
            <w:r>
              <w:rPr>
                <w:u w:val="single"/>
                <w:lang w:val="de-DE"/>
              </w:rPr>
              <w:t>35</w:t>
            </w:r>
          </w:p>
          <w:p w:rsidR="002122BD" w:rsidRDefault="002122BD" w:rsidP="00E3297D">
            <w:pPr>
              <w:pStyle w:val="tekstost"/>
              <w:numPr>
                <w:ilvl w:val="12"/>
                <w:numId w:val="0"/>
              </w:numPr>
              <w:spacing w:after="60"/>
              <w:jc w:val="center"/>
              <w:rPr>
                <w:lang w:val="de-DE"/>
              </w:rPr>
            </w:pPr>
            <w:r>
              <w:rPr>
                <w:lang w:val="de-DE"/>
              </w:rPr>
              <w:t>50</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jc w:val="center"/>
              <w:rPr>
                <w:lang w:val="de-DE"/>
              </w:rPr>
            </w:pPr>
            <w:r>
              <w:rPr>
                <w:u w:val="single"/>
                <w:lang w:val="de-DE"/>
              </w:rPr>
              <w:t>17,5</w:t>
            </w:r>
          </w:p>
          <w:p w:rsidR="002122BD" w:rsidRDefault="002122BD" w:rsidP="00E3297D">
            <w:pPr>
              <w:pStyle w:val="tekstost"/>
              <w:numPr>
                <w:ilvl w:val="12"/>
                <w:numId w:val="0"/>
              </w:numPr>
              <w:spacing w:after="60"/>
              <w:jc w:val="center"/>
              <w:rPr>
                <w:lang w:val="de-DE"/>
              </w:rPr>
            </w:pPr>
            <w:r>
              <w:rPr>
                <w:lang w:val="de-DE"/>
              </w:rPr>
              <w:t>25</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180"/>
              <w:jc w:val="center"/>
              <w:rPr>
                <w:lang w:val="de-DE"/>
              </w:rPr>
            </w:pPr>
            <w:r>
              <w:rPr>
                <w:lang w:val="de-DE"/>
              </w:rPr>
              <w:t>-</w:t>
            </w:r>
          </w:p>
        </w:tc>
        <w:tc>
          <w:tcPr>
            <w:tcW w:w="1182"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180"/>
              <w:jc w:val="center"/>
              <w:rPr>
                <w:lang w:val="de-DE"/>
              </w:rPr>
            </w:pPr>
            <w:r>
              <w:rPr>
                <w:lang w:val="de-DE"/>
              </w:rPr>
              <w:t>-</w:t>
            </w:r>
          </w:p>
        </w:tc>
        <w:tc>
          <w:tcPr>
            <w:tcW w:w="1338" w:type="dxa"/>
            <w:tcBorders>
              <w:right w:val="single" w:sz="6" w:space="0" w:color="auto"/>
            </w:tcBorders>
          </w:tcPr>
          <w:p w:rsidR="002122BD" w:rsidRDefault="002122BD" w:rsidP="00E3297D">
            <w:pPr>
              <w:pStyle w:val="tekstost"/>
              <w:numPr>
                <w:ilvl w:val="12"/>
                <w:numId w:val="0"/>
              </w:numPr>
              <w:jc w:val="center"/>
              <w:rPr>
                <w:lang w:val="de-DE"/>
              </w:rPr>
            </w:pPr>
          </w:p>
          <w:p w:rsidR="002122BD" w:rsidRDefault="002122BD" w:rsidP="00E3297D">
            <w:pPr>
              <w:pStyle w:val="tekstost"/>
              <w:numPr>
                <w:ilvl w:val="12"/>
                <w:numId w:val="0"/>
              </w:numPr>
              <w:spacing w:before="120"/>
              <w:jc w:val="center"/>
              <w:rPr>
                <w:lang w:val="de-DE"/>
              </w:rPr>
            </w:pPr>
            <w:proofErr w:type="spellStart"/>
            <w:r>
              <w:rPr>
                <w:lang w:val="de-DE"/>
              </w:rPr>
              <w:t>max</w:t>
            </w:r>
            <w:proofErr w:type="spellEnd"/>
            <w:r>
              <w:rPr>
                <w:lang w:val="de-DE"/>
              </w:rPr>
              <w:t xml:space="preserve"> 7</w:t>
            </w:r>
          </w:p>
        </w:tc>
      </w:tr>
      <w:tr w:rsidR="002122BD" w:rsidTr="00E3297D">
        <w:trPr>
          <w:gridAfter w:val="1"/>
          <w:wAfter w:w="6" w:type="dxa"/>
        </w:trPr>
        <w:tc>
          <w:tcPr>
            <w:tcW w:w="1204"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C</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35</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49,7</w:t>
            </w:r>
          </w:p>
        </w:tc>
        <w:tc>
          <w:tcPr>
            <w:tcW w:w="1182"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25</w:t>
            </w:r>
          </w:p>
        </w:tc>
        <w:tc>
          <w:tcPr>
            <w:tcW w:w="1338" w:type="dxa"/>
            <w:tcBorders>
              <w:right w:val="single" w:sz="6" w:space="0" w:color="auto"/>
            </w:tcBorders>
          </w:tcPr>
          <w:p w:rsidR="002122BD" w:rsidRDefault="002122BD" w:rsidP="00E3297D">
            <w:pPr>
              <w:pStyle w:val="tekstost"/>
              <w:numPr>
                <w:ilvl w:val="12"/>
                <w:numId w:val="0"/>
              </w:numPr>
              <w:spacing w:after="60"/>
              <w:jc w:val="center"/>
              <w:rPr>
                <w:lang w:val="de-DE"/>
              </w:rPr>
            </w:pPr>
          </w:p>
        </w:tc>
      </w:tr>
      <w:tr w:rsidR="002122BD" w:rsidTr="00E3297D">
        <w:trPr>
          <w:gridAfter w:val="1"/>
          <w:wAfter w:w="6" w:type="dxa"/>
        </w:trPr>
        <w:tc>
          <w:tcPr>
            <w:tcW w:w="1204"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D</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49,7</w:t>
            </w:r>
          </w:p>
        </w:tc>
        <w:tc>
          <w:tcPr>
            <w:tcW w:w="1182"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25</w:t>
            </w:r>
          </w:p>
        </w:tc>
        <w:tc>
          <w:tcPr>
            <w:tcW w:w="1338" w:type="dxa"/>
            <w:tcBorders>
              <w:right w:val="single" w:sz="6" w:space="0" w:color="auto"/>
            </w:tcBorders>
          </w:tcPr>
          <w:p w:rsidR="002122BD" w:rsidRDefault="002122BD" w:rsidP="00E3297D">
            <w:pPr>
              <w:pStyle w:val="tekstost"/>
              <w:numPr>
                <w:ilvl w:val="12"/>
                <w:numId w:val="0"/>
              </w:numPr>
              <w:spacing w:before="60" w:after="60"/>
              <w:jc w:val="center"/>
              <w:rPr>
                <w:lang w:val="de-DE"/>
              </w:rPr>
            </w:pPr>
          </w:p>
        </w:tc>
      </w:tr>
      <w:tr w:rsidR="002122BD" w:rsidTr="00E3297D">
        <w:trPr>
          <w:gridAfter w:val="1"/>
          <w:wAfter w:w="6" w:type="dxa"/>
        </w:trPr>
        <w:tc>
          <w:tcPr>
            <w:tcW w:w="1204"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rPr>
                <w:lang w:val="de-DE"/>
              </w:rPr>
            </w:pPr>
            <w:r>
              <w:rPr>
                <w:lang w:val="de-DE"/>
              </w:rPr>
              <w:t>E</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pPr>
            <w:r>
              <w:t>-</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pPr>
            <w:r>
              <w:t>-</w:t>
            </w:r>
          </w:p>
        </w:tc>
        <w:tc>
          <w:tcPr>
            <w:tcW w:w="1260"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pPr>
            <w:r>
              <w:t>-</w:t>
            </w:r>
          </w:p>
        </w:tc>
        <w:tc>
          <w:tcPr>
            <w:tcW w:w="1182" w:type="dxa"/>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pPr>
            <w:r>
              <w:t>25</w:t>
            </w:r>
          </w:p>
        </w:tc>
        <w:tc>
          <w:tcPr>
            <w:tcW w:w="1338" w:type="dxa"/>
            <w:tcBorders>
              <w:bottom w:val="single" w:sz="6" w:space="0" w:color="auto"/>
              <w:right w:val="single" w:sz="6" w:space="0" w:color="auto"/>
            </w:tcBorders>
          </w:tcPr>
          <w:p w:rsidR="002122BD" w:rsidRDefault="002122BD" w:rsidP="00E3297D">
            <w:pPr>
              <w:pStyle w:val="tekstost"/>
              <w:numPr>
                <w:ilvl w:val="12"/>
                <w:numId w:val="0"/>
              </w:numPr>
              <w:spacing w:before="60" w:after="60"/>
              <w:jc w:val="center"/>
            </w:pPr>
          </w:p>
        </w:tc>
      </w:tr>
    </w:tbl>
    <w:p w:rsidR="002122BD" w:rsidRDefault="002122BD" w:rsidP="002122BD">
      <w:pPr>
        <w:pStyle w:val="tekstost"/>
        <w:numPr>
          <w:ilvl w:val="12"/>
          <w:numId w:val="0"/>
        </w:numPr>
        <w:spacing w:before="120"/>
      </w:pPr>
      <w:r>
        <w:tab/>
        <w:t>Dopuszczalne odchyłki wymiarów płyt chodnikowych betonowych podano w tablicy 2.</w:t>
      </w:r>
    </w:p>
    <w:p w:rsidR="002122BD" w:rsidRDefault="002122BD" w:rsidP="002122BD">
      <w:pPr>
        <w:pStyle w:val="tekstost"/>
        <w:numPr>
          <w:ilvl w:val="12"/>
          <w:numId w:val="0"/>
        </w:numPr>
        <w:spacing w:before="120" w:after="120"/>
      </w:pPr>
      <w:r>
        <w:t>Tablica 2. Dopuszczalne odchyłki wymiarów płyt chodnikowych betonowych</w:t>
      </w:r>
    </w:p>
    <w:tbl>
      <w:tblPr>
        <w:tblW w:w="0" w:type="auto"/>
        <w:tblLayout w:type="fixed"/>
        <w:tblCellMar>
          <w:left w:w="70" w:type="dxa"/>
          <w:right w:w="70" w:type="dxa"/>
        </w:tblCellMar>
        <w:tblLook w:val="0000" w:firstRow="0" w:lastRow="0" w:firstColumn="0" w:lastColumn="0" w:noHBand="0" w:noVBand="0"/>
      </w:tblPr>
      <w:tblGrid>
        <w:gridCol w:w="2480"/>
        <w:gridCol w:w="2515"/>
        <w:gridCol w:w="2515"/>
      </w:tblGrid>
      <w:tr w:rsidR="002122BD" w:rsidTr="00E3297D">
        <w:tc>
          <w:tcPr>
            <w:tcW w:w="2480" w:type="dxa"/>
            <w:tcBorders>
              <w:top w:val="single" w:sz="6" w:space="0" w:color="auto"/>
              <w:left w:val="single" w:sz="6" w:space="0" w:color="auto"/>
            </w:tcBorders>
          </w:tcPr>
          <w:p w:rsidR="002122BD" w:rsidRDefault="002122BD" w:rsidP="00E3297D">
            <w:pPr>
              <w:pStyle w:val="tekstost"/>
              <w:numPr>
                <w:ilvl w:val="12"/>
                <w:numId w:val="0"/>
              </w:numPr>
              <w:spacing w:before="60"/>
              <w:jc w:val="center"/>
            </w:pPr>
            <w:r>
              <w:t>Rodzaje</w:t>
            </w:r>
          </w:p>
        </w:tc>
        <w:tc>
          <w:tcPr>
            <w:tcW w:w="5030" w:type="dxa"/>
            <w:gridSpan w:val="2"/>
            <w:tcBorders>
              <w:top w:val="single" w:sz="6" w:space="0" w:color="auto"/>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jc w:val="center"/>
            </w:pPr>
            <w:r>
              <w:t>Dopuszczalne odchyłki,   mm</w:t>
            </w:r>
          </w:p>
        </w:tc>
      </w:tr>
      <w:tr w:rsidR="002122BD" w:rsidTr="00E3297D">
        <w:tc>
          <w:tcPr>
            <w:tcW w:w="2480" w:type="dxa"/>
            <w:tcBorders>
              <w:left w:val="single" w:sz="6" w:space="0" w:color="auto"/>
              <w:bottom w:val="double" w:sz="6" w:space="0" w:color="auto"/>
            </w:tcBorders>
          </w:tcPr>
          <w:p w:rsidR="002122BD" w:rsidRDefault="002122BD" w:rsidP="00E3297D">
            <w:pPr>
              <w:pStyle w:val="tekstost"/>
              <w:numPr>
                <w:ilvl w:val="12"/>
                <w:numId w:val="0"/>
              </w:numPr>
              <w:jc w:val="center"/>
            </w:pPr>
            <w:r>
              <w:t>wymiaru</w:t>
            </w:r>
          </w:p>
        </w:tc>
        <w:tc>
          <w:tcPr>
            <w:tcW w:w="2515" w:type="dxa"/>
            <w:tcBorders>
              <w:top w:val="single" w:sz="6" w:space="0" w:color="auto"/>
              <w:left w:val="single" w:sz="6" w:space="0" w:color="auto"/>
              <w:bottom w:val="double" w:sz="6" w:space="0" w:color="auto"/>
              <w:right w:val="single" w:sz="6" w:space="0" w:color="auto"/>
            </w:tcBorders>
          </w:tcPr>
          <w:p w:rsidR="002122BD" w:rsidRDefault="002122BD" w:rsidP="00E3297D">
            <w:pPr>
              <w:pStyle w:val="tekstost"/>
              <w:numPr>
                <w:ilvl w:val="12"/>
                <w:numId w:val="0"/>
              </w:numPr>
              <w:spacing w:after="60"/>
              <w:jc w:val="center"/>
            </w:pPr>
            <w:r>
              <w:t>Gatunek I</w:t>
            </w:r>
          </w:p>
        </w:tc>
        <w:tc>
          <w:tcPr>
            <w:tcW w:w="2515" w:type="dxa"/>
            <w:tcBorders>
              <w:top w:val="single" w:sz="6" w:space="0" w:color="auto"/>
              <w:left w:val="single" w:sz="6" w:space="0" w:color="auto"/>
              <w:bottom w:val="double" w:sz="6" w:space="0" w:color="auto"/>
              <w:right w:val="single" w:sz="6" w:space="0" w:color="auto"/>
            </w:tcBorders>
          </w:tcPr>
          <w:p w:rsidR="002122BD" w:rsidRDefault="002122BD" w:rsidP="00E3297D">
            <w:pPr>
              <w:pStyle w:val="tekstost"/>
              <w:numPr>
                <w:ilvl w:val="12"/>
                <w:numId w:val="0"/>
              </w:numPr>
              <w:spacing w:after="60"/>
              <w:jc w:val="center"/>
            </w:pPr>
            <w:r>
              <w:t>Gatunek II</w:t>
            </w:r>
          </w:p>
        </w:tc>
      </w:tr>
      <w:tr w:rsidR="002122BD" w:rsidTr="00E3297D">
        <w:tc>
          <w:tcPr>
            <w:tcW w:w="2480"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pPr>
            <w:r>
              <w:t>a, b, c, d, h</w:t>
            </w:r>
          </w:p>
        </w:tc>
        <w:tc>
          <w:tcPr>
            <w:tcW w:w="2515"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pPr>
            <w:r>
              <w:sym w:font="Symbol" w:char="F0B1"/>
            </w:r>
            <w:r>
              <w:t xml:space="preserve"> 2</w:t>
            </w:r>
          </w:p>
        </w:tc>
        <w:tc>
          <w:tcPr>
            <w:tcW w:w="2515" w:type="dxa"/>
            <w:tcBorders>
              <w:left w:val="single" w:sz="6" w:space="0" w:color="auto"/>
              <w:bottom w:val="single" w:sz="6" w:space="0" w:color="auto"/>
              <w:right w:val="single" w:sz="6" w:space="0" w:color="auto"/>
            </w:tcBorders>
          </w:tcPr>
          <w:p w:rsidR="002122BD" w:rsidRDefault="002122BD" w:rsidP="00E3297D">
            <w:pPr>
              <w:pStyle w:val="tekstost"/>
              <w:numPr>
                <w:ilvl w:val="12"/>
                <w:numId w:val="0"/>
              </w:numPr>
              <w:spacing w:before="60" w:after="60"/>
              <w:jc w:val="center"/>
            </w:pPr>
            <w:r>
              <w:sym w:font="Symbol" w:char="F0B1"/>
            </w:r>
            <w:r>
              <w:t xml:space="preserve"> 3</w:t>
            </w:r>
          </w:p>
        </w:tc>
      </w:tr>
    </w:tbl>
    <w:p w:rsidR="002122BD" w:rsidRDefault="002122BD" w:rsidP="002122BD">
      <w:pPr>
        <w:pStyle w:val="tekstost"/>
        <w:numPr>
          <w:ilvl w:val="12"/>
          <w:numId w:val="0"/>
        </w:numPr>
      </w:pPr>
      <w:r>
        <w:rPr>
          <w:b/>
        </w:rPr>
        <w:t xml:space="preserve">2.3.2. </w:t>
      </w:r>
      <w:r>
        <w:t>Dopuszczalne wady i uszkodzenia</w:t>
      </w:r>
    </w:p>
    <w:p w:rsidR="002122BD" w:rsidRDefault="002122BD" w:rsidP="002122BD">
      <w:pPr>
        <w:pStyle w:val="tekstost"/>
        <w:numPr>
          <w:ilvl w:val="12"/>
          <w:numId w:val="0"/>
        </w:numPr>
        <w:spacing w:before="120"/>
      </w:pPr>
      <w:r>
        <w:t>Dopuszczalne wady i uszkodzenia powierzchni i krawędzi płyt chodnikowych betonowych podano w tablicy 3.</w:t>
      </w:r>
    </w:p>
    <w:p w:rsidR="008028C9" w:rsidRDefault="008028C9" w:rsidP="002122BD">
      <w:pPr>
        <w:pStyle w:val="tekstost"/>
        <w:numPr>
          <w:ilvl w:val="12"/>
          <w:numId w:val="0"/>
        </w:numPr>
        <w:spacing w:before="120" w:after="120"/>
      </w:pPr>
    </w:p>
    <w:p w:rsidR="008028C9" w:rsidRDefault="008028C9" w:rsidP="002122BD">
      <w:pPr>
        <w:pStyle w:val="tekstost"/>
        <w:numPr>
          <w:ilvl w:val="12"/>
          <w:numId w:val="0"/>
        </w:numPr>
        <w:spacing w:before="120" w:after="120"/>
      </w:pPr>
    </w:p>
    <w:p w:rsidR="008028C9" w:rsidRDefault="008028C9" w:rsidP="002122BD">
      <w:pPr>
        <w:pStyle w:val="tekstost"/>
        <w:numPr>
          <w:ilvl w:val="12"/>
          <w:numId w:val="0"/>
        </w:numPr>
        <w:spacing w:before="120" w:after="120"/>
      </w:pPr>
    </w:p>
    <w:p w:rsidR="008028C9" w:rsidRDefault="008028C9" w:rsidP="002122BD">
      <w:pPr>
        <w:pStyle w:val="tekstost"/>
        <w:numPr>
          <w:ilvl w:val="12"/>
          <w:numId w:val="0"/>
        </w:numPr>
        <w:spacing w:before="120" w:after="120"/>
      </w:pPr>
    </w:p>
    <w:p w:rsidR="008028C9" w:rsidRDefault="008028C9" w:rsidP="002122BD">
      <w:pPr>
        <w:pStyle w:val="tekstost"/>
        <w:numPr>
          <w:ilvl w:val="12"/>
          <w:numId w:val="0"/>
        </w:numPr>
        <w:spacing w:before="120" w:after="120"/>
      </w:pPr>
    </w:p>
    <w:p w:rsidR="008028C9" w:rsidRDefault="008028C9" w:rsidP="002122BD">
      <w:pPr>
        <w:pStyle w:val="tekstost"/>
        <w:numPr>
          <w:ilvl w:val="12"/>
          <w:numId w:val="0"/>
        </w:numPr>
        <w:spacing w:before="120" w:after="120"/>
      </w:pPr>
    </w:p>
    <w:p w:rsidR="008028C9" w:rsidRDefault="008028C9" w:rsidP="002122BD">
      <w:pPr>
        <w:pStyle w:val="tekstost"/>
        <w:numPr>
          <w:ilvl w:val="12"/>
          <w:numId w:val="0"/>
        </w:numPr>
        <w:spacing w:before="120" w:after="120"/>
      </w:pPr>
    </w:p>
    <w:p w:rsidR="008028C9" w:rsidRDefault="008028C9" w:rsidP="002122BD">
      <w:pPr>
        <w:pStyle w:val="tekstost"/>
        <w:numPr>
          <w:ilvl w:val="12"/>
          <w:numId w:val="0"/>
        </w:numPr>
        <w:spacing w:before="120" w:after="120"/>
      </w:pPr>
    </w:p>
    <w:p w:rsidR="002122BD" w:rsidRDefault="002122BD" w:rsidP="002122BD">
      <w:pPr>
        <w:pStyle w:val="tekstost"/>
        <w:numPr>
          <w:ilvl w:val="12"/>
          <w:numId w:val="0"/>
        </w:numPr>
        <w:spacing w:before="120" w:after="120"/>
      </w:pPr>
      <w:r>
        <w:lastRenderedPageBreak/>
        <w:t>Tablica 3. Dopuszczalne wady i uszkodzenia</w:t>
      </w:r>
    </w:p>
    <w:tbl>
      <w:tblPr>
        <w:tblW w:w="0" w:type="auto"/>
        <w:tblLayout w:type="fixed"/>
        <w:tblCellMar>
          <w:left w:w="70" w:type="dxa"/>
          <w:right w:w="70" w:type="dxa"/>
        </w:tblCellMar>
        <w:tblLook w:val="0000" w:firstRow="0" w:lastRow="0" w:firstColumn="0" w:lastColumn="0" w:noHBand="0" w:noVBand="0"/>
      </w:tblPr>
      <w:tblGrid>
        <w:gridCol w:w="2055"/>
        <w:gridCol w:w="3260"/>
        <w:gridCol w:w="1098"/>
        <w:gridCol w:w="1098"/>
      </w:tblGrid>
      <w:tr w:rsidR="002122BD" w:rsidTr="00E3297D">
        <w:tc>
          <w:tcPr>
            <w:tcW w:w="5315" w:type="dxa"/>
            <w:gridSpan w:val="2"/>
            <w:tcBorders>
              <w:top w:val="single" w:sz="6" w:space="0" w:color="auto"/>
              <w:left w:val="single" w:sz="6" w:space="0" w:color="auto"/>
            </w:tcBorders>
          </w:tcPr>
          <w:p w:rsidR="002122BD" w:rsidRDefault="002122BD" w:rsidP="00E3297D">
            <w:pPr>
              <w:numPr>
                <w:ilvl w:val="12"/>
                <w:numId w:val="0"/>
              </w:numPr>
              <w:spacing w:before="180"/>
              <w:jc w:val="center"/>
            </w:pPr>
            <w:r>
              <w:t>Rodzaj wad i uszkodzeń</w:t>
            </w:r>
          </w:p>
        </w:tc>
        <w:tc>
          <w:tcPr>
            <w:tcW w:w="2196" w:type="dxa"/>
            <w:gridSpan w:val="2"/>
            <w:tcBorders>
              <w:top w:val="single" w:sz="6" w:space="0" w:color="auto"/>
              <w:left w:val="single" w:sz="6" w:space="0" w:color="auto"/>
              <w:bottom w:val="single" w:sz="6" w:space="0" w:color="auto"/>
              <w:right w:val="single" w:sz="6" w:space="0" w:color="auto"/>
            </w:tcBorders>
          </w:tcPr>
          <w:p w:rsidR="002122BD" w:rsidRDefault="002122BD" w:rsidP="00E3297D">
            <w:pPr>
              <w:numPr>
                <w:ilvl w:val="12"/>
                <w:numId w:val="0"/>
              </w:numPr>
              <w:spacing w:before="60"/>
              <w:jc w:val="center"/>
            </w:pPr>
            <w:r>
              <w:t>Dopuszczalna wielkość wad i uszkodzeń</w:t>
            </w:r>
          </w:p>
        </w:tc>
      </w:tr>
      <w:tr w:rsidR="002122BD" w:rsidTr="00E3297D">
        <w:tc>
          <w:tcPr>
            <w:tcW w:w="5315" w:type="dxa"/>
            <w:gridSpan w:val="2"/>
            <w:tcBorders>
              <w:left w:val="single" w:sz="6" w:space="0" w:color="auto"/>
              <w:bottom w:val="double" w:sz="6" w:space="0" w:color="auto"/>
            </w:tcBorders>
          </w:tcPr>
          <w:p w:rsidR="002122BD" w:rsidRDefault="002122BD" w:rsidP="00E3297D">
            <w:pPr>
              <w:numPr>
                <w:ilvl w:val="12"/>
                <w:numId w:val="0"/>
              </w:numPr>
              <w:jc w:val="center"/>
            </w:pPr>
            <w:r>
              <w:t>płyt chodnikowych betonowych</w:t>
            </w:r>
          </w:p>
        </w:tc>
        <w:tc>
          <w:tcPr>
            <w:tcW w:w="1098" w:type="dxa"/>
            <w:tcBorders>
              <w:top w:val="single" w:sz="6" w:space="0" w:color="auto"/>
              <w:left w:val="single" w:sz="6" w:space="0" w:color="auto"/>
              <w:bottom w:val="double" w:sz="6" w:space="0" w:color="auto"/>
              <w:right w:val="single" w:sz="6" w:space="0" w:color="auto"/>
            </w:tcBorders>
          </w:tcPr>
          <w:p w:rsidR="002122BD" w:rsidRDefault="002122BD" w:rsidP="00E3297D">
            <w:pPr>
              <w:numPr>
                <w:ilvl w:val="12"/>
                <w:numId w:val="0"/>
              </w:numPr>
              <w:spacing w:after="60"/>
              <w:jc w:val="center"/>
            </w:pPr>
            <w:r>
              <w:t>Gatunek 1</w:t>
            </w:r>
          </w:p>
        </w:tc>
        <w:tc>
          <w:tcPr>
            <w:tcW w:w="1098" w:type="dxa"/>
            <w:tcBorders>
              <w:top w:val="single" w:sz="6" w:space="0" w:color="auto"/>
              <w:left w:val="single" w:sz="6" w:space="0" w:color="auto"/>
              <w:bottom w:val="double" w:sz="6" w:space="0" w:color="auto"/>
              <w:right w:val="single" w:sz="6" w:space="0" w:color="auto"/>
            </w:tcBorders>
          </w:tcPr>
          <w:p w:rsidR="002122BD" w:rsidRDefault="002122BD" w:rsidP="00E3297D">
            <w:pPr>
              <w:numPr>
                <w:ilvl w:val="12"/>
                <w:numId w:val="0"/>
              </w:numPr>
              <w:spacing w:after="60"/>
              <w:jc w:val="center"/>
            </w:pPr>
            <w:r>
              <w:t>Gatunek 2</w:t>
            </w:r>
          </w:p>
        </w:tc>
      </w:tr>
      <w:tr w:rsidR="002122BD" w:rsidTr="00E3297D">
        <w:tc>
          <w:tcPr>
            <w:tcW w:w="5315" w:type="dxa"/>
            <w:gridSpan w:val="2"/>
            <w:tcBorders>
              <w:left w:val="single" w:sz="6" w:space="0" w:color="auto"/>
            </w:tcBorders>
          </w:tcPr>
          <w:p w:rsidR="002122BD" w:rsidRDefault="002122BD" w:rsidP="00E3297D">
            <w:pPr>
              <w:numPr>
                <w:ilvl w:val="12"/>
                <w:numId w:val="0"/>
              </w:numPr>
              <w:spacing w:before="60" w:after="60"/>
            </w:pPr>
            <w:r>
              <w:t>Wklęsłość lub wypukłość powierzchni i krawędzi,  mm</w:t>
            </w:r>
          </w:p>
        </w:tc>
        <w:tc>
          <w:tcPr>
            <w:tcW w:w="1098" w:type="dxa"/>
            <w:tcBorders>
              <w:left w:val="single" w:sz="6" w:space="0" w:color="auto"/>
              <w:bottom w:val="single" w:sz="6" w:space="0" w:color="auto"/>
              <w:right w:val="single" w:sz="6" w:space="0" w:color="auto"/>
            </w:tcBorders>
          </w:tcPr>
          <w:p w:rsidR="002122BD" w:rsidRDefault="002122BD" w:rsidP="00E3297D">
            <w:pPr>
              <w:numPr>
                <w:ilvl w:val="12"/>
                <w:numId w:val="0"/>
              </w:numPr>
              <w:spacing w:before="60" w:after="60"/>
              <w:jc w:val="center"/>
            </w:pPr>
            <w:r>
              <w:t>2</w:t>
            </w:r>
          </w:p>
        </w:tc>
        <w:tc>
          <w:tcPr>
            <w:tcW w:w="1098" w:type="dxa"/>
            <w:tcBorders>
              <w:left w:val="single" w:sz="6" w:space="0" w:color="auto"/>
              <w:bottom w:val="single" w:sz="6" w:space="0" w:color="auto"/>
              <w:right w:val="single" w:sz="6" w:space="0" w:color="auto"/>
            </w:tcBorders>
          </w:tcPr>
          <w:p w:rsidR="002122BD" w:rsidRDefault="002122BD" w:rsidP="00E3297D">
            <w:pPr>
              <w:numPr>
                <w:ilvl w:val="12"/>
                <w:numId w:val="0"/>
              </w:numPr>
              <w:spacing w:before="60" w:after="60"/>
              <w:jc w:val="center"/>
            </w:pPr>
            <w:r>
              <w:t>3</w:t>
            </w:r>
          </w:p>
        </w:tc>
      </w:tr>
      <w:tr w:rsidR="002122BD" w:rsidTr="00E3297D">
        <w:tc>
          <w:tcPr>
            <w:tcW w:w="2055" w:type="dxa"/>
            <w:tcBorders>
              <w:top w:val="single" w:sz="6" w:space="0" w:color="auto"/>
              <w:left w:val="single" w:sz="6" w:space="0" w:color="auto"/>
            </w:tcBorders>
          </w:tcPr>
          <w:p w:rsidR="002122BD" w:rsidRDefault="002122BD" w:rsidP="00E3297D">
            <w:pPr>
              <w:numPr>
                <w:ilvl w:val="12"/>
                <w:numId w:val="0"/>
              </w:numPr>
              <w:spacing w:before="60"/>
            </w:pPr>
            <w:r>
              <w:t>Szczerby i uszkodzenia</w:t>
            </w:r>
          </w:p>
          <w:p w:rsidR="002122BD" w:rsidRDefault="002122BD" w:rsidP="00E3297D">
            <w:pPr>
              <w:numPr>
                <w:ilvl w:val="12"/>
                <w:numId w:val="0"/>
              </w:numPr>
              <w:spacing w:after="60"/>
            </w:pPr>
            <w:r>
              <w:t>krawędzi i naroży</w:t>
            </w:r>
          </w:p>
        </w:tc>
        <w:tc>
          <w:tcPr>
            <w:tcW w:w="3260" w:type="dxa"/>
            <w:tcBorders>
              <w:top w:val="single" w:sz="6" w:space="0" w:color="auto"/>
              <w:left w:val="single" w:sz="6" w:space="0" w:color="auto"/>
              <w:bottom w:val="single" w:sz="6" w:space="0" w:color="auto"/>
              <w:right w:val="single" w:sz="6" w:space="0" w:color="auto"/>
            </w:tcBorders>
          </w:tcPr>
          <w:p w:rsidR="002122BD" w:rsidRDefault="002122BD" w:rsidP="00E3297D">
            <w:pPr>
              <w:numPr>
                <w:ilvl w:val="12"/>
                <w:numId w:val="0"/>
              </w:numPr>
              <w:spacing w:before="60" w:after="60"/>
            </w:pPr>
            <w: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tcPr>
          <w:p w:rsidR="002122BD" w:rsidRDefault="002122BD" w:rsidP="00E3297D">
            <w:pPr>
              <w:numPr>
                <w:ilvl w:val="12"/>
                <w:numId w:val="0"/>
              </w:numPr>
              <w:spacing w:before="180"/>
              <w:jc w:val="center"/>
            </w:pPr>
            <w:r>
              <w:t>niedopuszczalne</w:t>
            </w:r>
          </w:p>
        </w:tc>
      </w:tr>
      <w:tr w:rsidR="002122BD" w:rsidTr="00E3297D">
        <w:tc>
          <w:tcPr>
            <w:tcW w:w="2055" w:type="dxa"/>
            <w:tcBorders>
              <w:left w:val="single" w:sz="6" w:space="0" w:color="auto"/>
            </w:tcBorders>
          </w:tcPr>
          <w:p w:rsidR="002122BD" w:rsidRDefault="002122BD" w:rsidP="00E3297D">
            <w:pPr>
              <w:numPr>
                <w:ilvl w:val="12"/>
                <w:numId w:val="0"/>
              </w:numPr>
            </w:pPr>
          </w:p>
        </w:tc>
        <w:tc>
          <w:tcPr>
            <w:tcW w:w="3260" w:type="dxa"/>
            <w:tcBorders>
              <w:top w:val="single" w:sz="6" w:space="0" w:color="auto"/>
              <w:left w:val="single" w:sz="6" w:space="0" w:color="auto"/>
              <w:right w:val="single" w:sz="6" w:space="0" w:color="auto"/>
            </w:tcBorders>
          </w:tcPr>
          <w:p w:rsidR="002122BD" w:rsidRDefault="002122BD" w:rsidP="00E3297D">
            <w:pPr>
              <w:numPr>
                <w:ilvl w:val="12"/>
                <w:numId w:val="0"/>
              </w:numPr>
              <w:spacing w:before="60"/>
            </w:pPr>
            <w:r>
              <w:t xml:space="preserve">ograniczających pozostałe </w:t>
            </w:r>
          </w:p>
          <w:p w:rsidR="002122BD" w:rsidRDefault="002122BD" w:rsidP="00E3297D">
            <w:pPr>
              <w:numPr>
                <w:ilvl w:val="12"/>
                <w:numId w:val="0"/>
              </w:numPr>
              <w:spacing w:after="60"/>
            </w:pPr>
            <w:r>
              <w:t>powierzchnie:</w:t>
            </w:r>
          </w:p>
        </w:tc>
        <w:tc>
          <w:tcPr>
            <w:tcW w:w="1098" w:type="dxa"/>
            <w:tcBorders>
              <w:top w:val="single" w:sz="6" w:space="0" w:color="auto"/>
              <w:left w:val="single" w:sz="6" w:space="0" w:color="auto"/>
              <w:right w:val="single" w:sz="6" w:space="0" w:color="auto"/>
            </w:tcBorders>
          </w:tcPr>
          <w:p w:rsidR="002122BD" w:rsidRDefault="002122BD" w:rsidP="00E3297D">
            <w:pPr>
              <w:numPr>
                <w:ilvl w:val="12"/>
                <w:numId w:val="0"/>
              </w:numPr>
              <w:jc w:val="center"/>
            </w:pPr>
          </w:p>
        </w:tc>
        <w:tc>
          <w:tcPr>
            <w:tcW w:w="1098" w:type="dxa"/>
            <w:tcBorders>
              <w:top w:val="single" w:sz="6" w:space="0" w:color="auto"/>
              <w:left w:val="single" w:sz="6" w:space="0" w:color="auto"/>
              <w:right w:val="single" w:sz="6" w:space="0" w:color="auto"/>
            </w:tcBorders>
          </w:tcPr>
          <w:p w:rsidR="002122BD" w:rsidRDefault="002122BD" w:rsidP="00E3297D">
            <w:pPr>
              <w:numPr>
                <w:ilvl w:val="12"/>
                <w:numId w:val="0"/>
              </w:numPr>
              <w:jc w:val="center"/>
            </w:pPr>
          </w:p>
        </w:tc>
      </w:tr>
      <w:tr w:rsidR="002122BD" w:rsidTr="00E3297D">
        <w:tc>
          <w:tcPr>
            <w:tcW w:w="2055" w:type="dxa"/>
            <w:tcBorders>
              <w:left w:val="single" w:sz="6" w:space="0" w:color="auto"/>
            </w:tcBorders>
          </w:tcPr>
          <w:p w:rsidR="002122BD" w:rsidRDefault="002122BD" w:rsidP="00E3297D">
            <w:pPr>
              <w:numPr>
                <w:ilvl w:val="12"/>
                <w:numId w:val="0"/>
              </w:numPr>
              <w:spacing w:before="60" w:after="60"/>
            </w:pPr>
          </w:p>
        </w:tc>
        <w:tc>
          <w:tcPr>
            <w:tcW w:w="3260" w:type="dxa"/>
            <w:tcBorders>
              <w:left w:val="single" w:sz="6" w:space="0" w:color="auto"/>
              <w:right w:val="single" w:sz="6" w:space="0" w:color="auto"/>
            </w:tcBorders>
          </w:tcPr>
          <w:p w:rsidR="002122BD" w:rsidRDefault="002122BD" w:rsidP="00E3297D">
            <w:pPr>
              <w:numPr>
                <w:ilvl w:val="12"/>
                <w:numId w:val="0"/>
              </w:numPr>
              <w:spacing w:before="60" w:after="60"/>
            </w:pPr>
            <w:r>
              <w:t>- liczba max</w:t>
            </w:r>
          </w:p>
        </w:tc>
        <w:tc>
          <w:tcPr>
            <w:tcW w:w="1098" w:type="dxa"/>
            <w:tcBorders>
              <w:left w:val="single" w:sz="6" w:space="0" w:color="auto"/>
              <w:right w:val="single" w:sz="6" w:space="0" w:color="auto"/>
            </w:tcBorders>
          </w:tcPr>
          <w:p w:rsidR="002122BD" w:rsidRDefault="002122BD" w:rsidP="00E3297D">
            <w:pPr>
              <w:numPr>
                <w:ilvl w:val="12"/>
                <w:numId w:val="0"/>
              </w:numPr>
              <w:spacing w:before="60" w:after="60"/>
              <w:jc w:val="center"/>
            </w:pPr>
            <w:r>
              <w:t>2</w:t>
            </w:r>
          </w:p>
        </w:tc>
        <w:tc>
          <w:tcPr>
            <w:tcW w:w="1098" w:type="dxa"/>
            <w:tcBorders>
              <w:left w:val="single" w:sz="6" w:space="0" w:color="auto"/>
              <w:right w:val="single" w:sz="6" w:space="0" w:color="auto"/>
            </w:tcBorders>
          </w:tcPr>
          <w:p w:rsidR="002122BD" w:rsidRDefault="002122BD" w:rsidP="00E3297D">
            <w:pPr>
              <w:numPr>
                <w:ilvl w:val="12"/>
                <w:numId w:val="0"/>
              </w:numPr>
              <w:spacing w:before="60" w:after="60"/>
              <w:jc w:val="center"/>
            </w:pPr>
            <w:r>
              <w:t>2</w:t>
            </w:r>
          </w:p>
        </w:tc>
      </w:tr>
      <w:tr w:rsidR="002122BD" w:rsidTr="00E3297D">
        <w:tc>
          <w:tcPr>
            <w:tcW w:w="2055" w:type="dxa"/>
            <w:tcBorders>
              <w:left w:val="single" w:sz="6" w:space="0" w:color="auto"/>
            </w:tcBorders>
          </w:tcPr>
          <w:p w:rsidR="002122BD" w:rsidRDefault="002122BD" w:rsidP="00E3297D">
            <w:pPr>
              <w:numPr>
                <w:ilvl w:val="12"/>
                <w:numId w:val="0"/>
              </w:numPr>
              <w:spacing w:before="60" w:after="60"/>
            </w:pPr>
          </w:p>
        </w:tc>
        <w:tc>
          <w:tcPr>
            <w:tcW w:w="3260" w:type="dxa"/>
            <w:tcBorders>
              <w:left w:val="single" w:sz="6" w:space="0" w:color="auto"/>
              <w:right w:val="single" w:sz="6" w:space="0" w:color="auto"/>
            </w:tcBorders>
          </w:tcPr>
          <w:p w:rsidR="002122BD" w:rsidRDefault="002122BD" w:rsidP="00E3297D">
            <w:pPr>
              <w:numPr>
                <w:ilvl w:val="12"/>
                <w:numId w:val="0"/>
              </w:numPr>
              <w:spacing w:before="60" w:after="60"/>
            </w:pPr>
            <w:r>
              <w:t>- długość, mm, max</w:t>
            </w:r>
          </w:p>
        </w:tc>
        <w:tc>
          <w:tcPr>
            <w:tcW w:w="1098" w:type="dxa"/>
            <w:tcBorders>
              <w:left w:val="single" w:sz="6" w:space="0" w:color="auto"/>
              <w:right w:val="single" w:sz="6" w:space="0" w:color="auto"/>
            </w:tcBorders>
          </w:tcPr>
          <w:p w:rsidR="002122BD" w:rsidRDefault="002122BD" w:rsidP="00E3297D">
            <w:pPr>
              <w:numPr>
                <w:ilvl w:val="12"/>
                <w:numId w:val="0"/>
              </w:numPr>
              <w:spacing w:before="60" w:after="60"/>
              <w:jc w:val="center"/>
            </w:pPr>
            <w:r>
              <w:t>20</w:t>
            </w:r>
          </w:p>
        </w:tc>
        <w:tc>
          <w:tcPr>
            <w:tcW w:w="1098" w:type="dxa"/>
            <w:tcBorders>
              <w:left w:val="single" w:sz="6" w:space="0" w:color="auto"/>
              <w:right w:val="single" w:sz="6" w:space="0" w:color="auto"/>
            </w:tcBorders>
          </w:tcPr>
          <w:p w:rsidR="002122BD" w:rsidRDefault="002122BD" w:rsidP="00E3297D">
            <w:pPr>
              <w:numPr>
                <w:ilvl w:val="12"/>
                <w:numId w:val="0"/>
              </w:numPr>
              <w:spacing w:before="60" w:after="60"/>
              <w:jc w:val="center"/>
            </w:pPr>
            <w:r>
              <w:t>40</w:t>
            </w:r>
          </w:p>
        </w:tc>
      </w:tr>
      <w:tr w:rsidR="002122BD" w:rsidTr="00E3297D">
        <w:tc>
          <w:tcPr>
            <w:tcW w:w="2055" w:type="dxa"/>
            <w:tcBorders>
              <w:left w:val="single" w:sz="6" w:space="0" w:color="auto"/>
              <w:bottom w:val="single" w:sz="6" w:space="0" w:color="auto"/>
            </w:tcBorders>
          </w:tcPr>
          <w:p w:rsidR="002122BD" w:rsidRDefault="002122BD" w:rsidP="00E3297D">
            <w:pPr>
              <w:numPr>
                <w:ilvl w:val="12"/>
                <w:numId w:val="0"/>
              </w:numPr>
              <w:spacing w:before="60" w:after="60"/>
            </w:pPr>
          </w:p>
        </w:tc>
        <w:tc>
          <w:tcPr>
            <w:tcW w:w="3260" w:type="dxa"/>
            <w:tcBorders>
              <w:left w:val="single" w:sz="6" w:space="0" w:color="auto"/>
              <w:bottom w:val="single" w:sz="6" w:space="0" w:color="auto"/>
              <w:right w:val="single" w:sz="6" w:space="0" w:color="auto"/>
            </w:tcBorders>
          </w:tcPr>
          <w:p w:rsidR="002122BD" w:rsidRDefault="002122BD" w:rsidP="00E3297D">
            <w:pPr>
              <w:numPr>
                <w:ilvl w:val="12"/>
                <w:numId w:val="0"/>
              </w:numPr>
              <w:spacing w:before="60" w:after="60"/>
            </w:pPr>
            <w:r>
              <w:t>- głębokość, mm, max</w:t>
            </w:r>
          </w:p>
        </w:tc>
        <w:tc>
          <w:tcPr>
            <w:tcW w:w="1098" w:type="dxa"/>
            <w:tcBorders>
              <w:left w:val="single" w:sz="6" w:space="0" w:color="auto"/>
              <w:bottom w:val="single" w:sz="6" w:space="0" w:color="auto"/>
              <w:right w:val="single" w:sz="6" w:space="0" w:color="auto"/>
            </w:tcBorders>
          </w:tcPr>
          <w:p w:rsidR="002122BD" w:rsidRDefault="002122BD" w:rsidP="00E3297D">
            <w:pPr>
              <w:numPr>
                <w:ilvl w:val="12"/>
                <w:numId w:val="0"/>
              </w:numPr>
              <w:spacing w:before="60" w:after="60"/>
              <w:jc w:val="center"/>
            </w:pPr>
            <w:r>
              <w:t>6</w:t>
            </w:r>
          </w:p>
        </w:tc>
        <w:tc>
          <w:tcPr>
            <w:tcW w:w="1098" w:type="dxa"/>
            <w:tcBorders>
              <w:left w:val="single" w:sz="6" w:space="0" w:color="auto"/>
              <w:bottom w:val="single" w:sz="6" w:space="0" w:color="auto"/>
              <w:right w:val="single" w:sz="6" w:space="0" w:color="auto"/>
            </w:tcBorders>
          </w:tcPr>
          <w:p w:rsidR="002122BD" w:rsidRDefault="002122BD" w:rsidP="00E3297D">
            <w:pPr>
              <w:numPr>
                <w:ilvl w:val="12"/>
                <w:numId w:val="0"/>
              </w:numPr>
              <w:spacing w:before="60" w:after="60"/>
              <w:jc w:val="center"/>
            </w:pPr>
            <w:r>
              <w:t>10</w:t>
            </w:r>
          </w:p>
        </w:tc>
      </w:tr>
    </w:tbl>
    <w:p w:rsidR="002122BD" w:rsidRDefault="002122BD" w:rsidP="002122BD">
      <w:pPr>
        <w:pStyle w:val="tekstost"/>
        <w:numPr>
          <w:ilvl w:val="12"/>
          <w:numId w:val="0"/>
        </w:numPr>
        <w:spacing w:before="360"/>
      </w:pPr>
      <w:r>
        <w:rPr>
          <w:b/>
        </w:rPr>
        <w:t xml:space="preserve">2.3.3. </w:t>
      </w:r>
      <w:r>
        <w:t>Składowanie</w:t>
      </w:r>
    </w:p>
    <w:p w:rsidR="002122BD" w:rsidRDefault="002122BD" w:rsidP="002122BD">
      <w:pPr>
        <w:pStyle w:val="tekstost"/>
        <w:numPr>
          <w:ilvl w:val="12"/>
          <w:numId w:val="0"/>
        </w:numPr>
        <w:spacing w:before="120"/>
      </w:pPr>
      <w:r>
        <w:tab/>
        <w:t>Płyty chodnikowe betonowe powinny być składowane rębem, płaszczyznami górnymi ku sobie, na podłożu wyrównanym i odwodnionym. Płyty powinny być posegregowane według rodzajów, odmian i gatunków. Płyty należy ustawiać na podkładkach drewnianych oraz zabezpieczać krawędzie przed uszkodzeniem przekładkami drewnianymi.</w:t>
      </w:r>
    </w:p>
    <w:p w:rsidR="002122BD" w:rsidRDefault="002122BD" w:rsidP="002122BD">
      <w:pPr>
        <w:pStyle w:val="tekstost"/>
        <w:numPr>
          <w:ilvl w:val="12"/>
          <w:numId w:val="0"/>
        </w:numPr>
        <w:spacing w:before="120"/>
      </w:pPr>
      <w:r>
        <w:rPr>
          <w:b/>
        </w:rPr>
        <w:t xml:space="preserve">2.3.4. </w:t>
      </w:r>
      <w:r>
        <w:t>Beton i jego składniki</w:t>
      </w:r>
    </w:p>
    <w:p w:rsidR="002122BD" w:rsidRDefault="002122BD" w:rsidP="002122BD">
      <w:pPr>
        <w:pStyle w:val="tekstost"/>
        <w:numPr>
          <w:ilvl w:val="12"/>
          <w:numId w:val="0"/>
        </w:numPr>
        <w:spacing w:before="120"/>
      </w:pPr>
      <w:r>
        <w:rPr>
          <w:b/>
        </w:rPr>
        <w:t xml:space="preserve">2.3.4.1. </w:t>
      </w:r>
      <w:r>
        <w:t>Beton do produkcji płyt chodnikowych</w:t>
      </w:r>
    </w:p>
    <w:p w:rsidR="002122BD" w:rsidRDefault="002122BD" w:rsidP="002122BD">
      <w:pPr>
        <w:numPr>
          <w:ilvl w:val="12"/>
          <w:numId w:val="0"/>
        </w:numPr>
        <w:spacing w:before="120"/>
      </w:pPr>
      <w:r>
        <w:tab/>
        <w:t xml:space="preserve">Do produkcji płyt chodnikowych betonowych jednowarstwowych należy stosować beton klasy B 25 i B 30. </w:t>
      </w:r>
    </w:p>
    <w:p w:rsidR="002122BD" w:rsidRDefault="002122BD" w:rsidP="002122BD">
      <w:pPr>
        <w:numPr>
          <w:ilvl w:val="12"/>
          <w:numId w:val="0"/>
        </w:numPr>
        <w:ind w:firstLine="709"/>
      </w:pPr>
      <w:r>
        <w:t>W przypadku płyt dwuwarstwowych, górna (ścieralna) warstwa płyt powinna być wykonana z betonu klasy B 30.</w:t>
      </w:r>
    </w:p>
    <w:p w:rsidR="002122BD" w:rsidRDefault="002122BD" w:rsidP="002122BD">
      <w:pPr>
        <w:numPr>
          <w:ilvl w:val="12"/>
          <w:numId w:val="0"/>
        </w:numPr>
        <w:spacing w:before="120"/>
      </w:pPr>
      <w:r>
        <w:rPr>
          <w:b/>
        </w:rPr>
        <w:t xml:space="preserve">2.3.4.2. </w:t>
      </w:r>
      <w:r>
        <w:t>Cement</w:t>
      </w:r>
    </w:p>
    <w:p w:rsidR="002122BD" w:rsidRDefault="002122BD" w:rsidP="002122BD">
      <w:pPr>
        <w:numPr>
          <w:ilvl w:val="12"/>
          <w:numId w:val="0"/>
        </w:numPr>
        <w:spacing w:before="120"/>
      </w:pPr>
      <w:r>
        <w:tab/>
        <w:t>Do produkcji płyt chodnikowych betonowych należy stosować cement portlandzki  klasy nie niższej niż „32,5” wg PN-B-19701 [4].</w:t>
      </w:r>
    </w:p>
    <w:p w:rsidR="002122BD" w:rsidRDefault="002122BD" w:rsidP="002122BD">
      <w:pPr>
        <w:numPr>
          <w:ilvl w:val="12"/>
          <w:numId w:val="0"/>
        </w:numPr>
      </w:pPr>
      <w:r>
        <w:tab/>
        <w:t>Przechowywanie cementu powinno być zgodne z BN-88/6731-08 [6].</w:t>
      </w:r>
    </w:p>
    <w:p w:rsidR="002122BD" w:rsidRDefault="002122BD" w:rsidP="002122BD">
      <w:pPr>
        <w:numPr>
          <w:ilvl w:val="12"/>
          <w:numId w:val="0"/>
        </w:numPr>
        <w:spacing w:before="120"/>
      </w:pPr>
      <w:r>
        <w:rPr>
          <w:b/>
        </w:rPr>
        <w:t xml:space="preserve">2.3.4.3.  </w:t>
      </w:r>
      <w:r>
        <w:t>Kruszywo do betonu</w:t>
      </w:r>
    </w:p>
    <w:p w:rsidR="002122BD" w:rsidRDefault="002122BD" w:rsidP="002122BD">
      <w:pPr>
        <w:numPr>
          <w:ilvl w:val="12"/>
          <w:numId w:val="0"/>
        </w:numPr>
        <w:spacing w:before="120"/>
      </w:pPr>
      <w:r>
        <w:tab/>
        <w:t>Kruszywo do betonu powinno odpowiadać wymaganiom PN-B-06712 [2].</w:t>
      </w:r>
    </w:p>
    <w:p w:rsidR="002122BD" w:rsidRDefault="002122BD" w:rsidP="002122BD">
      <w:pPr>
        <w:numPr>
          <w:ilvl w:val="12"/>
          <w:numId w:val="0"/>
        </w:numPr>
        <w:spacing w:before="120"/>
      </w:pPr>
      <w:r>
        <w:rPr>
          <w:b/>
        </w:rPr>
        <w:t xml:space="preserve">2.3.4.4. </w:t>
      </w:r>
      <w:r>
        <w:t>Woda</w:t>
      </w:r>
    </w:p>
    <w:p w:rsidR="002122BD" w:rsidRDefault="002122BD" w:rsidP="002122BD">
      <w:pPr>
        <w:numPr>
          <w:ilvl w:val="12"/>
          <w:numId w:val="0"/>
        </w:numPr>
        <w:spacing w:before="120"/>
      </w:pPr>
      <w:r>
        <w:tab/>
        <w:t>Woda powinna być odmiany „1” i odpowiadać wymaganiom PN-B-32250 [5].</w:t>
      </w:r>
    </w:p>
    <w:p w:rsidR="002122BD" w:rsidRDefault="002122BD" w:rsidP="002122BD">
      <w:pPr>
        <w:pStyle w:val="Nagwek2"/>
        <w:numPr>
          <w:ilvl w:val="12"/>
          <w:numId w:val="0"/>
        </w:numPr>
      </w:pPr>
      <w:r>
        <w:t>2.5. Materiały na podsypkę i do zapraw</w:t>
      </w:r>
    </w:p>
    <w:p w:rsidR="002122BD" w:rsidRDefault="002122BD" w:rsidP="002122BD">
      <w:pPr>
        <w:numPr>
          <w:ilvl w:val="12"/>
          <w:numId w:val="0"/>
        </w:numPr>
      </w:pPr>
      <w:r>
        <w:tab/>
        <w:t>Cement na podsypkę i do zaprawy powinien być cementem portlandzkim klasy „32,5”, odpowiadający wymaganiom PN-B-19701 [4].</w:t>
      </w:r>
    </w:p>
    <w:p w:rsidR="002122BD" w:rsidRDefault="002122BD" w:rsidP="002122BD">
      <w:pPr>
        <w:numPr>
          <w:ilvl w:val="12"/>
          <w:numId w:val="0"/>
        </w:numPr>
      </w:pPr>
      <w:r>
        <w:tab/>
        <w:t>Piasek na podsypkę powinien odpowiadać wymaganiom PN-B-06712 [2], a do zaprawy cementowo-piaskowej PN-B-06711 [1].</w:t>
      </w:r>
    </w:p>
    <w:p w:rsidR="002122BD" w:rsidRDefault="002122BD" w:rsidP="002122BD">
      <w:pPr>
        <w:numPr>
          <w:ilvl w:val="12"/>
          <w:numId w:val="0"/>
        </w:numPr>
      </w:pPr>
      <w:r>
        <w:tab/>
        <w:t>Woda powinna być odmiany „1” i odpowiadać wymaganiom PN-B-32250 [5].</w:t>
      </w:r>
    </w:p>
    <w:p w:rsidR="002122BD" w:rsidRDefault="002122BD" w:rsidP="002122BD">
      <w:pPr>
        <w:pStyle w:val="Nagwek1"/>
        <w:numPr>
          <w:ilvl w:val="12"/>
          <w:numId w:val="0"/>
        </w:numPr>
      </w:pPr>
      <w:bookmarkStart w:id="442" w:name="_Toc429551223"/>
      <w:r>
        <w:t>3. SPRZĘT</w:t>
      </w:r>
      <w:bookmarkEnd w:id="442"/>
    </w:p>
    <w:p w:rsidR="002122BD" w:rsidRDefault="002122BD" w:rsidP="002122BD">
      <w:pPr>
        <w:pStyle w:val="Nagwek2"/>
        <w:numPr>
          <w:ilvl w:val="12"/>
          <w:numId w:val="0"/>
        </w:numPr>
      </w:pPr>
      <w:r>
        <w:t>3.1. Ogólne wymagania dotyczące sprzętu</w:t>
      </w:r>
    </w:p>
    <w:p w:rsidR="002122BD" w:rsidRDefault="002122BD" w:rsidP="002122BD">
      <w:pPr>
        <w:numPr>
          <w:ilvl w:val="12"/>
          <w:numId w:val="0"/>
        </w:numPr>
        <w:tabs>
          <w:tab w:val="right" w:leader="dot" w:pos="-1985"/>
          <w:tab w:val="left" w:pos="284"/>
        </w:tabs>
      </w:pPr>
      <w:r>
        <w:rPr>
          <w:b/>
        </w:rPr>
        <w:tab/>
      </w:r>
      <w:r>
        <w:rPr>
          <w:b/>
        </w:rPr>
        <w:tab/>
      </w:r>
      <w:r>
        <w:t>Ogólne wymagania dotyczące sprzętu podano w SST D-M-00.00.00 „Wymagania ogólne” pkt 3.</w:t>
      </w:r>
    </w:p>
    <w:p w:rsidR="002122BD" w:rsidRDefault="002122BD" w:rsidP="002122BD">
      <w:pPr>
        <w:pStyle w:val="Nagwek2"/>
        <w:numPr>
          <w:ilvl w:val="12"/>
          <w:numId w:val="0"/>
        </w:numPr>
      </w:pPr>
      <w:r>
        <w:t>3.2. Sprzęt do wykonania chodników</w:t>
      </w:r>
    </w:p>
    <w:p w:rsidR="002122BD" w:rsidRDefault="002122BD" w:rsidP="002122BD">
      <w:pPr>
        <w:numPr>
          <w:ilvl w:val="12"/>
          <w:numId w:val="0"/>
        </w:numPr>
        <w:tabs>
          <w:tab w:val="right" w:leader="dot" w:pos="-1985"/>
          <w:tab w:val="left" w:pos="284"/>
        </w:tabs>
      </w:pPr>
      <w:r>
        <w:rPr>
          <w:b/>
        </w:rPr>
        <w:tab/>
      </w:r>
      <w:r>
        <w:rPr>
          <w:b/>
        </w:rPr>
        <w:tab/>
      </w:r>
      <w:r>
        <w:t>Roboty wykonuje się ręcznie przy zastosowaniu sprzętu pomocniczego:</w:t>
      </w:r>
    </w:p>
    <w:p w:rsidR="002122BD" w:rsidRDefault="002122BD" w:rsidP="002122BD">
      <w:pPr>
        <w:numPr>
          <w:ilvl w:val="0"/>
          <w:numId w:val="1"/>
        </w:numPr>
        <w:tabs>
          <w:tab w:val="right" w:leader="dot" w:pos="-1985"/>
          <w:tab w:val="left" w:pos="284"/>
        </w:tabs>
        <w:overflowPunct w:val="0"/>
        <w:autoSpaceDE w:val="0"/>
        <w:autoSpaceDN w:val="0"/>
        <w:adjustRightInd w:val="0"/>
        <w:jc w:val="both"/>
        <w:textAlignment w:val="baseline"/>
      </w:pPr>
      <w:r>
        <w:t>betoniarek do wytwarzania betonu i zapraw oraz przygotowania podsypki cementowo-piaskowej,</w:t>
      </w:r>
    </w:p>
    <w:p w:rsidR="002122BD" w:rsidRDefault="002122BD" w:rsidP="002122BD">
      <w:pPr>
        <w:numPr>
          <w:ilvl w:val="0"/>
          <w:numId w:val="1"/>
        </w:numPr>
        <w:tabs>
          <w:tab w:val="right" w:leader="dot" w:pos="-1985"/>
          <w:tab w:val="left" w:pos="284"/>
        </w:tabs>
        <w:overflowPunct w:val="0"/>
        <w:autoSpaceDE w:val="0"/>
        <w:autoSpaceDN w:val="0"/>
        <w:adjustRightInd w:val="0"/>
        <w:jc w:val="both"/>
        <w:textAlignment w:val="baseline"/>
      </w:pPr>
      <w:r>
        <w:t>wibratorów płytowych, ubijaków ręcznych lub mechanicznych.</w:t>
      </w:r>
    </w:p>
    <w:p w:rsidR="002122BD" w:rsidRDefault="002122BD" w:rsidP="002122BD">
      <w:pPr>
        <w:pStyle w:val="Nagwek1"/>
        <w:numPr>
          <w:ilvl w:val="12"/>
          <w:numId w:val="0"/>
        </w:numPr>
      </w:pPr>
      <w:bookmarkStart w:id="443" w:name="_Toc429551224"/>
      <w:r>
        <w:lastRenderedPageBreak/>
        <w:t>4. TRANSPORT</w:t>
      </w:r>
      <w:bookmarkEnd w:id="443"/>
    </w:p>
    <w:p w:rsidR="002122BD" w:rsidRDefault="002122BD" w:rsidP="002122BD">
      <w:pPr>
        <w:pStyle w:val="Nagwek2"/>
        <w:numPr>
          <w:ilvl w:val="12"/>
          <w:numId w:val="0"/>
        </w:numPr>
      </w:pPr>
      <w:r>
        <w:t>4.1. Ogólne wymagania dotyczące transportu</w:t>
      </w:r>
    </w:p>
    <w:p w:rsidR="002122BD" w:rsidRDefault="002122BD" w:rsidP="002122BD">
      <w:pPr>
        <w:numPr>
          <w:ilvl w:val="12"/>
          <w:numId w:val="0"/>
        </w:numPr>
        <w:tabs>
          <w:tab w:val="right" w:leader="dot" w:pos="-1985"/>
          <w:tab w:val="left" w:pos="284"/>
        </w:tabs>
      </w:pPr>
      <w:r>
        <w:tab/>
      </w:r>
      <w:r>
        <w:tab/>
        <w:t>Ogólne wymagania dotyczące transportu podano w SST D-M-00.00.00 „Wymagania ogólne” pkt 4.</w:t>
      </w:r>
    </w:p>
    <w:p w:rsidR="002122BD" w:rsidRDefault="002122BD" w:rsidP="002122BD">
      <w:pPr>
        <w:pStyle w:val="Nagwek2"/>
        <w:numPr>
          <w:ilvl w:val="12"/>
          <w:numId w:val="0"/>
        </w:numPr>
      </w:pPr>
      <w:r>
        <w:t>4.2. Transport płyt chodnikowych</w:t>
      </w:r>
    </w:p>
    <w:p w:rsidR="002122BD" w:rsidRDefault="002122BD" w:rsidP="002122BD">
      <w:pPr>
        <w:numPr>
          <w:ilvl w:val="12"/>
          <w:numId w:val="0"/>
        </w:numPr>
        <w:tabs>
          <w:tab w:val="right" w:leader="dot" w:pos="-1985"/>
          <w:tab w:val="left" w:pos="284"/>
        </w:tabs>
      </w:pPr>
      <w:r>
        <w:rPr>
          <w:b/>
        </w:rPr>
        <w:tab/>
      </w:r>
      <w:r>
        <w:rPr>
          <w:b/>
        </w:rPr>
        <w:tab/>
      </w:r>
      <w:r>
        <w:t>Płyty chodnikowe betonowe mogą być przewożone dowolnymi środkami transportu po osiągnięciu przez beton wytrzymałości minimum 0,7 wytrzymałości projektowanej.</w:t>
      </w:r>
    </w:p>
    <w:p w:rsidR="002122BD" w:rsidRDefault="002122BD" w:rsidP="002122BD">
      <w:pPr>
        <w:numPr>
          <w:ilvl w:val="12"/>
          <w:numId w:val="0"/>
        </w:numPr>
        <w:tabs>
          <w:tab w:val="right" w:leader="dot" w:pos="-1985"/>
          <w:tab w:val="left" w:pos="284"/>
        </w:tabs>
      </w:pPr>
      <w:r>
        <w:tab/>
      </w:r>
      <w:r>
        <w:tab/>
        <w:t>Płyty powinny być zabezpieczone przed przemieszczeniem się i uszkodzeniami w czasie transportu, a górna ich warstwa nie powinna wystawać poza ściany środka transportu więcej niż 1/3 wysokości tej płyty.</w:t>
      </w:r>
    </w:p>
    <w:p w:rsidR="002122BD" w:rsidRDefault="002122BD" w:rsidP="002122BD">
      <w:pPr>
        <w:pStyle w:val="Nagwek2"/>
        <w:numPr>
          <w:ilvl w:val="12"/>
          <w:numId w:val="0"/>
        </w:numPr>
      </w:pPr>
      <w:r>
        <w:t>4.3. Transport pozostałych materiałów</w:t>
      </w:r>
    </w:p>
    <w:p w:rsidR="002122BD" w:rsidRDefault="002122BD" w:rsidP="002122BD">
      <w:pPr>
        <w:numPr>
          <w:ilvl w:val="12"/>
          <w:numId w:val="0"/>
        </w:numPr>
      </w:pPr>
      <w:r>
        <w:tab/>
        <w:t>Transport pozostałych materiałów, stosowanych do wykonania chodnika z płyt chodnikowych betonowych, podano w SST D-08.01.01 „Krawężniki betonowe” pkt 4.3.</w:t>
      </w:r>
    </w:p>
    <w:p w:rsidR="002122BD" w:rsidRDefault="002122BD" w:rsidP="002122BD">
      <w:pPr>
        <w:pStyle w:val="Nagwek1"/>
        <w:numPr>
          <w:ilvl w:val="12"/>
          <w:numId w:val="0"/>
        </w:numPr>
      </w:pPr>
      <w:bookmarkStart w:id="444" w:name="_Toc429551225"/>
      <w:r>
        <w:t>5. WYKONANIE ROBÓT</w:t>
      </w:r>
      <w:bookmarkEnd w:id="444"/>
    </w:p>
    <w:p w:rsidR="002122BD" w:rsidRDefault="002122BD" w:rsidP="002122BD">
      <w:pPr>
        <w:pStyle w:val="Nagwek2"/>
        <w:numPr>
          <w:ilvl w:val="12"/>
          <w:numId w:val="0"/>
        </w:numPr>
      </w:pPr>
      <w:r>
        <w:t>5.1. Ogólne zasady wykonania robót</w:t>
      </w:r>
    </w:p>
    <w:p w:rsidR="002122BD" w:rsidRDefault="002122BD" w:rsidP="002122BD">
      <w:pPr>
        <w:numPr>
          <w:ilvl w:val="12"/>
          <w:numId w:val="0"/>
        </w:numPr>
      </w:pPr>
      <w:r>
        <w:rPr>
          <w:b/>
        </w:rPr>
        <w:tab/>
      </w:r>
      <w:r>
        <w:t>Ogólne zasady wykonania robót podano w SST D-M-00.00.00 „Wymagania ogólne” pkt 5.</w:t>
      </w:r>
    </w:p>
    <w:p w:rsidR="002122BD" w:rsidRDefault="002122BD" w:rsidP="002122BD">
      <w:pPr>
        <w:pStyle w:val="Nagwek2"/>
        <w:numPr>
          <w:ilvl w:val="12"/>
          <w:numId w:val="0"/>
        </w:numPr>
      </w:pPr>
      <w:r>
        <w:t>5.2. Koryto pod chodnik</w:t>
      </w:r>
    </w:p>
    <w:p w:rsidR="002122BD" w:rsidRDefault="002122BD" w:rsidP="002122BD">
      <w:pPr>
        <w:numPr>
          <w:ilvl w:val="12"/>
          <w:numId w:val="0"/>
        </w:numPr>
      </w:pPr>
      <w:r>
        <w:tab/>
        <w:t xml:space="preserve">Koryto wykonane w podłożu z gruntu rodzimego lub nasypowego powinno być wyprofilowane zgodnie z projektowanymi spadkami podłużnymi i poprzecznymi chodnika oraz zgodnie z wymaganiami podanymi w SST D-04.01.01 „Koryto wraz z profilowaniem i zagęszczeniem podłoża”. Wskaźnik zagęszczenia koryta nie może być mniejszy od 0,97 według normalnej metody </w:t>
      </w:r>
      <w:proofErr w:type="spellStart"/>
      <w:r>
        <w:t>Proctora</w:t>
      </w:r>
      <w:proofErr w:type="spellEnd"/>
      <w:r>
        <w:t>.</w:t>
      </w:r>
    </w:p>
    <w:p w:rsidR="002122BD" w:rsidRDefault="002122BD" w:rsidP="002122BD">
      <w:pPr>
        <w:pStyle w:val="Nagwek2"/>
        <w:numPr>
          <w:ilvl w:val="12"/>
          <w:numId w:val="0"/>
        </w:numPr>
      </w:pPr>
      <w:r>
        <w:t>5.3. Podsypka</w:t>
      </w:r>
    </w:p>
    <w:p w:rsidR="002122BD" w:rsidRDefault="002122BD" w:rsidP="002122BD">
      <w:pPr>
        <w:numPr>
          <w:ilvl w:val="12"/>
          <w:numId w:val="0"/>
        </w:numPr>
      </w:pPr>
      <w:r>
        <w:tab/>
        <w:t>Grubość podsypki po zagęszczeniu powinna zawierać się w granicach od 3 do              5 cm. Podsypka powinna być zwilżona wodą, zagęszczona i wyprofilowana.</w:t>
      </w:r>
    </w:p>
    <w:p w:rsidR="002122BD" w:rsidRDefault="002122BD" w:rsidP="002122BD">
      <w:pPr>
        <w:pStyle w:val="Nagwek2"/>
        <w:numPr>
          <w:ilvl w:val="12"/>
          <w:numId w:val="0"/>
        </w:numPr>
      </w:pPr>
      <w:r>
        <w:t>5.4. Warstwa odsączająca</w:t>
      </w:r>
    </w:p>
    <w:p w:rsidR="002122BD" w:rsidRDefault="002122BD" w:rsidP="002122BD">
      <w:pPr>
        <w:numPr>
          <w:ilvl w:val="12"/>
          <w:numId w:val="0"/>
        </w:numPr>
      </w:pPr>
      <w:r>
        <w:tab/>
        <w:t>Jeżeli w dokumentacji projektowej przewidziana jest warstwa odsączająca pod chodnikiem, to jej wykonanie powinno być zgodne z warunkami określonymi  w SST             D-04.02.01 „Warstwy odsączające i odcinające”.</w:t>
      </w:r>
    </w:p>
    <w:p w:rsidR="002122BD" w:rsidRDefault="002122BD" w:rsidP="002122BD">
      <w:pPr>
        <w:pStyle w:val="Nagwek2"/>
        <w:numPr>
          <w:ilvl w:val="12"/>
          <w:numId w:val="0"/>
        </w:numPr>
      </w:pPr>
      <w:r>
        <w:t>5.5. Układanie chodnika z płyt chodnikowych betonowych</w:t>
      </w:r>
    </w:p>
    <w:p w:rsidR="002122BD" w:rsidRDefault="002122BD" w:rsidP="002122BD">
      <w:pPr>
        <w:numPr>
          <w:ilvl w:val="12"/>
          <w:numId w:val="0"/>
        </w:numPr>
      </w:pPr>
      <w:r>
        <w:tab/>
        <w:t>Płyty przy krawężnikach należy układać w taki sposób, aby ich górna krawędź znajdowała się powyżej górnej krawędzi krawężnika.</w:t>
      </w:r>
    </w:p>
    <w:p w:rsidR="002122BD" w:rsidRDefault="002122BD" w:rsidP="002122BD">
      <w:pPr>
        <w:numPr>
          <w:ilvl w:val="12"/>
          <w:numId w:val="0"/>
        </w:numPr>
      </w:pPr>
      <w:r>
        <w:tab/>
        <w:t>Przy urządzeniach naziemnych uzbrojenia podziemnego płyty odpowiednio docięte należy układać w jednym poziomie, regulując wysokość urządzeń naziemnych do poziomu chodnika.</w:t>
      </w:r>
    </w:p>
    <w:p w:rsidR="002122BD" w:rsidRDefault="002122BD" w:rsidP="002122BD">
      <w:pPr>
        <w:numPr>
          <w:ilvl w:val="12"/>
          <w:numId w:val="0"/>
        </w:numPr>
      </w:pPr>
      <w:r>
        <w:tab/>
        <w:t>Płyty chodnikowe układane przy urządzeniach naziemnych uzbrojenia podziemnego należy zalać zaprawą cementowo-piaskową.</w:t>
      </w:r>
    </w:p>
    <w:p w:rsidR="002122BD" w:rsidRDefault="002122BD" w:rsidP="002122BD">
      <w:pPr>
        <w:numPr>
          <w:ilvl w:val="12"/>
          <w:numId w:val="0"/>
        </w:numPr>
      </w:pPr>
      <w:r>
        <w:tab/>
        <w:t>Płyty należy układać zgodnie ze wzorem wskazanym w dokumentacji projektowej.</w:t>
      </w:r>
    </w:p>
    <w:p w:rsidR="002122BD" w:rsidRDefault="002122BD" w:rsidP="002122BD">
      <w:pPr>
        <w:numPr>
          <w:ilvl w:val="12"/>
          <w:numId w:val="0"/>
        </w:numPr>
      </w:pPr>
      <w:r>
        <w:tab/>
        <w:t>Płyty na łukach o promieniu ponad 30 m należy tak układać, aby spoiny rozszerzały się wachlarzowo. Płyty mogą być przycinane.</w:t>
      </w:r>
    </w:p>
    <w:p w:rsidR="002122BD" w:rsidRDefault="002122BD" w:rsidP="002122BD">
      <w:pPr>
        <w:numPr>
          <w:ilvl w:val="12"/>
          <w:numId w:val="0"/>
        </w:numPr>
      </w:pPr>
      <w:r>
        <w:tab/>
        <w:t>Płyty na łukach o promieniu do 30 m powinny być układane w odcinkach prostych, łączących się przy użyciu trójkątów lub trapezów wykonanych z płyt odpowiednio docinanych. Wielkość trójkątów dostosować należy do szerokości chodnika i promienia łuku.</w:t>
      </w:r>
    </w:p>
    <w:p w:rsidR="002122BD" w:rsidRDefault="002122BD" w:rsidP="002122BD">
      <w:pPr>
        <w:pStyle w:val="Nagwek2"/>
        <w:numPr>
          <w:ilvl w:val="12"/>
          <w:numId w:val="0"/>
        </w:numPr>
      </w:pPr>
      <w:r>
        <w:t>5.6. Spoiny</w:t>
      </w:r>
    </w:p>
    <w:p w:rsidR="002122BD" w:rsidRDefault="002122BD" w:rsidP="002122BD">
      <w:pPr>
        <w:numPr>
          <w:ilvl w:val="12"/>
          <w:numId w:val="0"/>
        </w:numPr>
      </w:pPr>
      <w:r>
        <w:tab/>
        <w:t>Szerokość spoin na odcinkach prostych nie powinna przekraczać 0,8 cm. Szerokość spoin na łukach nie powinna być większa niż 3 cm.</w:t>
      </w:r>
    </w:p>
    <w:p w:rsidR="002122BD" w:rsidRDefault="002122BD" w:rsidP="002122BD">
      <w:pPr>
        <w:numPr>
          <w:ilvl w:val="12"/>
          <w:numId w:val="0"/>
        </w:numPr>
      </w:pPr>
      <w:r>
        <w:tab/>
        <w:t>Spoiny pomiędzy płytami po oczyszczeniu powinny być zamulone piaskiem na pełną grubość płyty lub wypełnione zaprawą cementowo-piaskową.</w:t>
      </w:r>
    </w:p>
    <w:p w:rsidR="002122BD" w:rsidRDefault="002122BD" w:rsidP="002122BD">
      <w:pPr>
        <w:pStyle w:val="Nagwek2"/>
        <w:numPr>
          <w:ilvl w:val="12"/>
          <w:numId w:val="0"/>
        </w:numPr>
      </w:pPr>
      <w:r>
        <w:t>5.7. Pielęgnacja chodnika</w:t>
      </w:r>
    </w:p>
    <w:p w:rsidR="002122BD" w:rsidRDefault="002122BD" w:rsidP="002122BD">
      <w:pPr>
        <w:numPr>
          <w:ilvl w:val="12"/>
          <w:numId w:val="0"/>
        </w:numPr>
      </w:pPr>
      <w:r>
        <w:tab/>
        <w:t>Chodnik, którego spoiny wypełnione są zaprawą cementową, należy pokryć warstwą piasku grubości od 1,0 do 1,5 cm. Piasek należy zwilżyć wodą i utrzymywać w stanie wilgotnym w ciągu 10 dni.</w:t>
      </w:r>
    </w:p>
    <w:p w:rsidR="002122BD" w:rsidRDefault="002122BD" w:rsidP="002122BD">
      <w:pPr>
        <w:pStyle w:val="Nagwek1"/>
        <w:numPr>
          <w:ilvl w:val="12"/>
          <w:numId w:val="0"/>
        </w:numPr>
      </w:pPr>
      <w:bookmarkStart w:id="445" w:name="_Toc429551226"/>
      <w:r>
        <w:lastRenderedPageBreak/>
        <w:t>6. kontrola jakości robót</w:t>
      </w:r>
      <w:bookmarkEnd w:id="445"/>
    </w:p>
    <w:p w:rsidR="002122BD" w:rsidRDefault="002122BD" w:rsidP="002122BD">
      <w:pPr>
        <w:pStyle w:val="Nagwek2"/>
        <w:numPr>
          <w:ilvl w:val="12"/>
          <w:numId w:val="0"/>
        </w:numPr>
      </w:pPr>
      <w:r>
        <w:t>6.1. Ogólne zasady kontroli jakości robót</w:t>
      </w:r>
    </w:p>
    <w:p w:rsidR="002122BD" w:rsidRDefault="002122BD" w:rsidP="002122BD">
      <w:pPr>
        <w:numPr>
          <w:ilvl w:val="12"/>
          <w:numId w:val="0"/>
        </w:numPr>
      </w:pPr>
      <w:r>
        <w:tab/>
        <w:t>Ogólne zasady kontroli jakości robót podano w SST D-M-00.00.00 „Wymagania ogólne” pkt 6.</w:t>
      </w:r>
    </w:p>
    <w:p w:rsidR="002122BD" w:rsidRDefault="002122BD" w:rsidP="002122BD">
      <w:pPr>
        <w:pStyle w:val="Nagwek2"/>
        <w:numPr>
          <w:ilvl w:val="12"/>
          <w:numId w:val="0"/>
        </w:numPr>
      </w:pPr>
      <w:r>
        <w:t>6.2. Badania przed przystąpieniem do robót</w:t>
      </w:r>
    </w:p>
    <w:p w:rsidR="002122BD" w:rsidRDefault="002122BD" w:rsidP="002122BD">
      <w:pPr>
        <w:numPr>
          <w:ilvl w:val="12"/>
          <w:numId w:val="0"/>
        </w:numPr>
      </w:pPr>
      <w:r>
        <w:tab/>
        <w:t>Przed przystąpieniem do robót Wykonawca powinien wykonać badania materiałów przeznaczonych do budowy chodnika i przedstawić wyniki tych badań Inżynierowi  do akceptacji.</w:t>
      </w:r>
    </w:p>
    <w:p w:rsidR="002122BD" w:rsidRDefault="002122BD" w:rsidP="002122BD">
      <w:pPr>
        <w:numPr>
          <w:ilvl w:val="12"/>
          <w:numId w:val="0"/>
        </w:numPr>
        <w:spacing w:before="120"/>
      </w:pPr>
      <w:r>
        <w:rPr>
          <w:b/>
        </w:rPr>
        <w:t xml:space="preserve">6.2.1. </w:t>
      </w:r>
      <w:r>
        <w:t>Badania płyt chodnikowych</w:t>
      </w:r>
    </w:p>
    <w:p w:rsidR="002122BD" w:rsidRDefault="002122BD" w:rsidP="002122BD">
      <w:pPr>
        <w:numPr>
          <w:ilvl w:val="12"/>
          <w:numId w:val="0"/>
        </w:numPr>
        <w:spacing w:before="120"/>
      </w:pPr>
      <w:r>
        <w:tab/>
        <w:t>Sprawdzenie wyglądu zewnętrznego należy przeprowadzić na podstawie oględzin elementu przez pomiar i policzenie uszkodzeń występujących na powierzchniach i krawędziach elementu, dopuszczalne wady i uszkodzenia podano w tablicy 3. Pomiary długości i głębokości uszkodzeń należy wykonać za pomocą przymiaru stalowego lub suwmiarki z dokładnością do 1 mm, zgodnie z ustaleniami PN-B-10021 [3].</w:t>
      </w:r>
    </w:p>
    <w:p w:rsidR="002122BD" w:rsidRDefault="002122BD" w:rsidP="002122BD">
      <w:pPr>
        <w:numPr>
          <w:ilvl w:val="12"/>
          <w:numId w:val="0"/>
        </w:numPr>
      </w:pPr>
      <w:r>
        <w:tab/>
        <w:t>Sprawdzenie kształtu i wymiarów elementów należy przeprowadzić z dokładnością do 1 mm przy użyciu suwmiarki oraz przymiaru stalowego lub taśmy, dopuszczalne odchyłki podano w tablicy 2. Sprawdzenie kątów prostych w narożach elementów wykonuje się przez przyłożenie kątownika do badanego naroża i zmierzenia odchyłek z dokładnością do 1 mm.</w:t>
      </w:r>
    </w:p>
    <w:p w:rsidR="002122BD" w:rsidRDefault="002122BD" w:rsidP="002122BD">
      <w:pPr>
        <w:numPr>
          <w:ilvl w:val="12"/>
          <w:numId w:val="0"/>
        </w:numPr>
      </w:pPr>
      <w:r>
        <w:tab/>
        <w:t>Pozostałe badania płyt chodnikowych należy wykonać zgodnie z wymaganiami podanymi w BN-80/6775-03/01 [7] i BN-80/6775-03/03 [8].</w:t>
      </w:r>
    </w:p>
    <w:p w:rsidR="002122BD" w:rsidRDefault="002122BD" w:rsidP="002122BD">
      <w:pPr>
        <w:numPr>
          <w:ilvl w:val="12"/>
          <w:numId w:val="0"/>
        </w:numPr>
        <w:spacing w:before="120"/>
      </w:pPr>
      <w:r>
        <w:rPr>
          <w:b/>
        </w:rPr>
        <w:t xml:space="preserve">6.2.2. </w:t>
      </w:r>
      <w:r>
        <w:t>Badania pozostałych materiałów</w:t>
      </w:r>
    </w:p>
    <w:p w:rsidR="002122BD" w:rsidRDefault="002122BD" w:rsidP="002122BD">
      <w:pPr>
        <w:numPr>
          <w:ilvl w:val="12"/>
          <w:numId w:val="0"/>
        </w:numPr>
        <w:spacing w:before="120"/>
      </w:pPr>
      <w:r>
        <w:tab/>
        <w:t>Badania pozostałych materiałów stosowanych do wykonania chodnika z płyt betonowych  powinny obejmować wszystkie właściwości, określone w normach podanych dla odpowiednich materiałów wg pkt 2.</w:t>
      </w:r>
    </w:p>
    <w:p w:rsidR="002122BD" w:rsidRDefault="002122BD" w:rsidP="002122BD">
      <w:pPr>
        <w:numPr>
          <w:ilvl w:val="12"/>
          <w:numId w:val="0"/>
        </w:numPr>
        <w:spacing w:before="120"/>
        <w:rPr>
          <w:b/>
        </w:rPr>
      </w:pPr>
      <w:r>
        <w:rPr>
          <w:b/>
        </w:rPr>
        <w:t>6.3. Badania w czasie robót</w:t>
      </w:r>
    </w:p>
    <w:p w:rsidR="002122BD" w:rsidRDefault="002122BD" w:rsidP="002122BD">
      <w:pPr>
        <w:pStyle w:val="tekstost"/>
        <w:numPr>
          <w:ilvl w:val="12"/>
          <w:numId w:val="0"/>
        </w:numPr>
        <w:spacing w:before="120"/>
      </w:pPr>
      <w:r>
        <w:rPr>
          <w:b/>
        </w:rPr>
        <w:t xml:space="preserve">6.3.1. </w:t>
      </w:r>
      <w:r>
        <w:t>Sprawdzenie podłoża</w:t>
      </w:r>
    </w:p>
    <w:p w:rsidR="002122BD" w:rsidRDefault="002122BD" w:rsidP="002122BD">
      <w:pPr>
        <w:pStyle w:val="tekstost"/>
        <w:numPr>
          <w:ilvl w:val="12"/>
          <w:numId w:val="0"/>
        </w:numPr>
        <w:spacing w:before="120"/>
      </w:pPr>
      <w:r>
        <w:tab/>
        <w:t>Sprawdzenie podłoża polega na stwierdzeniu zgodności z dokumentacją projektową i odpowiednimi SST.</w:t>
      </w:r>
    </w:p>
    <w:p w:rsidR="002122BD" w:rsidRDefault="002122BD" w:rsidP="002122BD">
      <w:pPr>
        <w:pStyle w:val="tekstost"/>
        <w:numPr>
          <w:ilvl w:val="12"/>
          <w:numId w:val="0"/>
        </w:numPr>
      </w:pPr>
      <w:r>
        <w:tab/>
        <w:t>Dopuszczalne tolerancje wynoszą dla:</w:t>
      </w:r>
    </w:p>
    <w:p w:rsidR="002122BD" w:rsidRDefault="002122BD" w:rsidP="002122BD">
      <w:pPr>
        <w:pStyle w:val="tekstost"/>
        <w:numPr>
          <w:ilvl w:val="0"/>
          <w:numId w:val="1"/>
        </w:numPr>
        <w:overflowPunct w:val="0"/>
        <w:autoSpaceDE w:val="0"/>
        <w:autoSpaceDN w:val="0"/>
        <w:adjustRightInd w:val="0"/>
        <w:textAlignment w:val="baseline"/>
      </w:pPr>
      <w:r>
        <w:t xml:space="preserve">głębokości koryta: </w:t>
      </w:r>
    </w:p>
    <w:p w:rsidR="002122BD" w:rsidRDefault="002122BD" w:rsidP="002122BD">
      <w:pPr>
        <w:pStyle w:val="tekstost"/>
        <w:numPr>
          <w:ilvl w:val="0"/>
          <w:numId w:val="1"/>
        </w:numPr>
        <w:overflowPunct w:val="0"/>
        <w:autoSpaceDE w:val="0"/>
        <w:autoSpaceDN w:val="0"/>
        <w:adjustRightInd w:val="0"/>
        <w:ind w:left="992"/>
        <w:textAlignment w:val="baseline"/>
      </w:pPr>
      <w:r>
        <w:t xml:space="preserve">o szerokości do 3 m: </w:t>
      </w:r>
      <w:r>
        <w:sym w:font="Symbol" w:char="F0B1"/>
      </w:r>
      <w:r>
        <w:t xml:space="preserve"> 1 cm,</w:t>
      </w:r>
    </w:p>
    <w:p w:rsidR="002122BD" w:rsidRDefault="002122BD" w:rsidP="002122BD">
      <w:pPr>
        <w:pStyle w:val="tekstost"/>
        <w:numPr>
          <w:ilvl w:val="0"/>
          <w:numId w:val="1"/>
        </w:numPr>
        <w:overflowPunct w:val="0"/>
        <w:autoSpaceDE w:val="0"/>
        <w:autoSpaceDN w:val="0"/>
        <w:adjustRightInd w:val="0"/>
        <w:ind w:left="992"/>
        <w:textAlignment w:val="baseline"/>
      </w:pPr>
      <w:r>
        <w:t xml:space="preserve">o szerokości powyżej 3 m: </w:t>
      </w:r>
      <w:r>
        <w:sym w:font="Symbol" w:char="F0B1"/>
      </w:r>
      <w:r>
        <w:t xml:space="preserve"> 2 cm,</w:t>
      </w:r>
    </w:p>
    <w:p w:rsidR="002122BD" w:rsidRDefault="002122BD" w:rsidP="002122BD">
      <w:pPr>
        <w:pStyle w:val="tekstost"/>
        <w:numPr>
          <w:ilvl w:val="0"/>
          <w:numId w:val="1"/>
        </w:numPr>
        <w:overflowPunct w:val="0"/>
        <w:autoSpaceDE w:val="0"/>
        <w:autoSpaceDN w:val="0"/>
        <w:adjustRightInd w:val="0"/>
        <w:textAlignment w:val="baseline"/>
      </w:pPr>
      <w:r>
        <w:t xml:space="preserve">szerokości koryta: </w:t>
      </w:r>
      <w:r>
        <w:sym w:font="Symbol" w:char="F0B1"/>
      </w:r>
      <w:r>
        <w:t xml:space="preserve"> 5 cm.</w:t>
      </w:r>
    </w:p>
    <w:p w:rsidR="002122BD" w:rsidRDefault="002122BD" w:rsidP="002122BD">
      <w:pPr>
        <w:pStyle w:val="tekstost"/>
        <w:numPr>
          <w:ilvl w:val="12"/>
          <w:numId w:val="0"/>
        </w:numPr>
        <w:spacing w:before="120"/>
      </w:pPr>
      <w:r>
        <w:rPr>
          <w:b/>
        </w:rPr>
        <w:t xml:space="preserve">6.3.2. </w:t>
      </w:r>
      <w:r>
        <w:t>Sprawdzenie podsypki</w:t>
      </w:r>
    </w:p>
    <w:p w:rsidR="002122BD" w:rsidRDefault="002122BD" w:rsidP="002122BD">
      <w:pPr>
        <w:pStyle w:val="tekstost"/>
        <w:numPr>
          <w:ilvl w:val="12"/>
          <w:numId w:val="0"/>
        </w:numPr>
        <w:spacing w:before="120"/>
      </w:pPr>
      <w:r>
        <w:tab/>
        <w:t xml:space="preserve">Sprawdzenie podsypki w zakresie grubości i wymaganych spadków poprzecznych i podłużnych polega na stwierdzeniu zgodności z dokumentacją projektową oraz pkt 5.3 niniejszej SST. Dopuszczalne odchylenia w grubości podsypki nie mogą przekraczać             </w:t>
      </w:r>
      <w:r>
        <w:sym w:font="Symbol" w:char="F0B1"/>
      </w:r>
      <w:r>
        <w:t xml:space="preserve"> 1 cm.</w:t>
      </w:r>
    </w:p>
    <w:p w:rsidR="002122BD" w:rsidRDefault="002122BD" w:rsidP="002122BD">
      <w:pPr>
        <w:pStyle w:val="tekstost"/>
        <w:numPr>
          <w:ilvl w:val="12"/>
          <w:numId w:val="0"/>
        </w:numPr>
        <w:spacing w:before="120"/>
      </w:pPr>
      <w:r>
        <w:rPr>
          <w:b/>
        </w:rPr>
        <w:t xml:space="preserve">6.3.3. </w:t>
      </w:r>
      <w:r>
        <w:t>Sprawdzenie wykonania chodnika</w:t>
      </w:r>
    </w:p>
    <w:p w:rsidR="002122BD" w:rsidRDefault="002122BD" w:rsidP="002122BD">
      <w:pPr>
        <w:pStyle w:val="tekstost"/>
        <w:numPr>
          <w:ilvl w:val="12"/>
          <w:numId w:val="0"/>
        </w:numPr>
        <w:spacing w:before="120"/>
      </w:pPr>
      <w:r>
        <w:tab/>
        <w:t>Sprawdzenie prawidłowości wykonania chodnika polega na stwierdzeniu zgodności wykonania z dokumentacją projektową oraz wymaganiami pkt 5.5 niniejszej SST.</w:t>
      </w:r>
    </w:p>
    <w:p w:rsidR="002122BD" w:rsidRDefault="002122BD" w:rsidP="002122BD">
      <w:pPr>
        <w:pStyle w:val="tekstost"/>
        <w:numPr>
          <w:ilvl w:val="12"/>
          <w:numId w:val="0"/>
        </w:numPr>
      </w:pPr>
      <w:r>
        <w:tab/>
        <w:t>Sprawdzenie konstrukcji chodnika przeprowadzać należy w następujący sposób: na każde 200 m</w:t>
      </w:r>
      <w:r>
        <w:rPr>
          <w:vertAlign w:val="superscript"/>
        </w:rPr>
        <w:t>2</w:t>
      </w:r>
      <w:r>
        <w:t xml:space="preserve"> chodnika z płyt betonowych należy zdjąć 2 płyty w dowolnym miejscu i zmierzyć grubość podsypki oraz sprawdzić układ płyt chodnika.</w:t>
      </w:r>
    </w:p>
    <w:p w:rsidR="002122BD" w:rsidRDefault="002122BD" w:rsidP="002122BD">
      <w:pPr>
        <w:pStyle w:val="Nagwek2"/>
        <w:numPr>
          <w:ilvl w:val="12"/>
          <w:numId w:val="0"/>
        </w:numPr>
      </w:pPr>
      <w:r>
        <w:t>6.4. Sprawdzenie cech geometrycznych chodnika</w:t>
      </w:r>
    </w:p>
    <w:p w:rsidR="002122BD" w:rsidRDefault="002122BD" w:rsidP="002122BD">
      <w:pPr>
        <w:numPr>
          <w:ilvl w:val="12"/>
          <w:numId w:val="0"/>
        </w:numPr>
      </w:pPr>
      <w:r>
        <w:rPr>
          <w:b/>
        </w:rPr>
        <w:t xml:space="preserve">6.4.1. </w:t>
      </w:r>
      <w:r>
        <w:t xml:space="preserve"> Sprawdzenie równości chodnika</w:t>
      </w:r>
    </w:p>
    <w:p w:rsidR="002122BD" w:rsidRDefault="002122BD" w:rsidP="002122BD">
      <w:pPr>
        <w:numPr>
          <w:ilvl w:val="12"/>
          <w:numId w:val="0"/>
        </w:numPr>
        <w:spacing w:before="120"/>
      </w:pPr>
      <w:r>
        <w:tab/>
        <w:t>Sprawdzenie równości przeprowadzać należy łatą co najmniej raz na każde 150 do 300 m</w:t>
      </w:r>
      <w:r>
        <w:rPr>
          <w:vertAlign w:val="superscript"/>
        </w:rPr>
        <w:t>2</w:t>
      </w:r>
      <w:r>
        <w:t xml:space="preserve"> ułożonego chodnika i w miejscach wątpliwych, jednak nie rzadziej niż co 50 m chodnika. Dopuszczalny prześwit pod łatą nie powinien przekraczać 1,0 cm.</w:t>
      </w:r>
    </w:p>
    <w:p w:rsidR="002122BD" w:rsidRDefault="002122BD" w:rsidP="002122BD">
      <w:pPr>
        <w:numPr>
          <w:ilvl w:val="12"/>
          <w:numId w:val="0"/>
        </w:numPr>
        <w:spacing w:before="120"/>
      </w:pPr>
      <w:r>
        <w:rPr>
          <w:b/>
        </w:rPr>
        <w:t xml:space="preserve">6.4.2. </w:t>
      </w:r>
      <w:r>
        <w:t>Sprawdzenie profilu podłużnego</w:t>
      </w:r>
    </w:p>
    <w:p w:rsidR="002122BD" w:rsidRDefault="002122BD" w:rsidP="002122BD">
      <w:pPr>
        <w:numPr>
          <w:ilvl w:val="12"/>
          <w:numId w:val="0"/>
        </w:numPr>
        <w:spacing w:before="120"/>
      </w:pPr>
      <w:r>
        <w:tab/>
        <w:t>Sprawdzenie profilu podłużnego przeprowadzać należy za pomocą niwelacji, biorąc pod uwagę punkty charakterystyczne, jednak nie rzadziej niż co 100 m.</w:t>
      </w:r>
    </w:p>
    <w:p w:rsidR="002122BD" w:rsidRDefault="002122BD" w:rsidP="002122BD">
      <w:pPr>
        <w:numPr>
          <w:ilvl w:val="12"/>
          <w:numId w:val="0"/>
        </w:numPr>
      </w:pPr>
      <w:r>
        <w:tab/>
        <w:t xml:space="preserve">Odchylenia od projektowanej niwelety chodnika w punktach załamania niwelety nie mogą przekraczać </w:t>
      </w:r>
      <w:r>
        <w:sym w:font="Symbol" w:char="F0B1"/>
      </w:r>
      <w:r>
        <w:t xml:space="preserve"> 3 cm.</w:t>
      </w:r>
    </w:p>
    <w:p w:rsidR="002122BD" w:rsidRDefault="002122BD" w:rsidP="002122BD">
      <w:pPr>
        <w:numPr>
          <w:ilvl w:val="12"/>
          <w:numId w:val="0"/>
        </w:numPr>
        <w:spacing w:before="120"/>
      </w:pPr>
      <w:r>
        <w:rPr>
          <w:b/>
        </w:rPr>
        <w:t xml:space="preserve">6.4.3. </w:t>
      </w:r>
      <w:r>
        <w:t>Sprawdzenie profilu poprzecznego</w:t>
      </w:r>
    </w:p>
    <w:p w:rsidR="002122BD" w:rsidRDefault="002122BD" w:rsidP="002122BD">
      <w:pPr>
        <w:numPr>
          <w:ilvl w:val="12"/>
          <w:numId w:val="0"/>
        </w:numPr>
        <w:spacing w:before="120"/>
      </w:pPr>
      <w:r>
        <w:lastRenderedPageBreak/>
        <w:tab/>
        <w:t>Sprawdzenie profilu poprzecznego dokonywać należy szablonem z poziomicą, co najmniej raz na każde 150 do 300 m</w:t>
      </w:r>
      <w:r>
        <w:rPr>
          <w:vertAlign w:val="superscript"/>
        </w:rPr>
        <w:t>2</w:t>
      </w:r>
      <w:r>
        <w:t xml:space="preserve"> chodnika i w miejscach wątpliwych, jednak nie rzadziej niż co 50 m. Dopuszczalne odchylenia od projektowanego profilu wynoszą </w:t>
      </w:r>
      <w:r>
        <w:sym w:font="Symbol" w:char="F0B1"/>
      </w:r>
      <w:r>
        <w:t xml:space="preserve"> 0,3%.</w:t>
      </w:r>
    </w:p>
    <w:p w:rsidR="002122BD" w:rsidRDefault="002122BD" w:rsidP="002122BD">
      <w:pPr>
        <w:numPr>
          <w:ilvl w:val="12"/>
          <w:numId w:val="0"/>
        </w:numPr>
        <w:spacing w:before="120"/>
      </w:pPr>
      <w:r>
        <w:rPr>
          <w:b/>
        </w:rPr>
        <w:t xml:space="preserve">6.4.4. </w:t>
      </w:r>
      <w:r>
        <w:t>Sprawdzenie równoległości spoin</w:t>
      </w:r>
    </w:p>
    <w:p w:rsidR="002122BD" w:rsidRDefault="002122BD" w:rsidP="002122BD">
      <w:pPr>
        <w:numPr>
          <w:ilvl w:val="12"/>
          <w:numId w:val="0"/>
        </w:numPr>
        <w:spacing w:before="120"/>
      </w:pPr>
      <w:r>
        <w:tab/>
        <w:t xml:space="preserve">Sprawdzenie równoległości spoin należy przeprowadzać za pomocą dwóch sznurów napiętych wzdłuż spoin i przymiaru z podziałką milimetrową. Dopuszczalne odchylenie wynosi </w:t>
      </w:r>
      <w:r>
        <w:sym w:font="Symbol" w:char="F0B1"/>
      </w:r>
      <w:r>
        <w:t xml:space="preserve"> 1 cm.</w:t>
      </w:r>
    </w:p>
    <w:p w:rsidR="002122BD" w:rsidRDefault="002122BD" w:rsidP="002122BD">
      <w:pPr>
        <w:numPr>
          <w:ilvl w:val="12"/>
          <w:numId w:val="0"/>
        </w:numPr>
        <w:spacing w:before="120"/>
      </w:pPr>
      <w:r>
        <w:rPr>
          <w:b/>
        </w:rPr>
        <w:t xml:space="preserve">6.4.5. </w:t>
      </w:r>
      <w:r>
        <w:t>Sprawdzenie szerokości i wypełnienia spoin</w:t>
      </w:r>
    </w:p>
    <w:p w:rsidR="002122BD" w:rsidRDefault="002122BD" w:rsidP="002122BD">
      <w:pPr>
        <w:numPr>
          <w:ilvl w:val="12"/>
          <w:numId w:val="0"/>
        </w:numPr>
        <w:spacing w:before="120"/>
      </w:pPr>
      <w:r>
        <w:tab/>
        <w:t>Sprawdzenie szerokości spoin należy przeprowadzać przez usunięcie spoin na długości około 10 cm w trzech dowolnych miejscach na każde 200 m</w:t>
      </w:r>
      <w:r>
        <w:rPr>
          <w:vertAlign w:val="superscript"/>
        </w:rPr>
        <w:t>2</w:t>
      </w:r>
      <w:r>
        <w:t xml:space="preserve"> chodnika i zmierzenie ich szerokości oraz wypełnienia.</w:t>
      </w:r>
    </w:p>
    <w:p w:rsidR="002122BD" w:rsidRDefault="002122BD" w:rsidP="002122BD">
      <w:pPr>
        <w:numPr>
          <w:ilvl w:val="12"/>
          <w:numId w:val="0"/>
        </w:numPr>
        <w:spacing w:before="120"/>
      </w:pPr>
    </w:p>
    <w:p w:rsidR="002122BD" w:rsidRDefault="002122BD" w:rsidP="002122BD">
      <w:pPr>
        <w:pStyle w:val="Nagwek1"/>
        <w:numPr>
          <w:ilvl w:val="12"/>
          <w:numId w:val="0"/>
        </w:numPr>
      </w:pPr>
      <w:bookmarkStart w:id="446" w:name="_Toc429551227"/>
      <w:r>
        <w:t>7. OBMIAR ROBÓT</w:t>
      </w:r>
      <w:bookmarkEnd w:id="446"/>
    </w:p>
    <w:p w:rsidR="002122BD" w:rsidRDefault="002122BD" w:rsidP="002122BD">
      <w:pPr>
        <w:pStyle w:val="Nagwek2"/>
        <w:numPr>
          <w:ilvl w:val="12"/>
          <w:numId w:val="0"/>
        </w:numPr>
      </w:pPr>
      <w:r>
        <w:t>7.1. Ogólne zasady obmiaru robót</w:t>
      </w:r>
    </w:p>
    <w:p w:rsidR="002122BD" w:rsidRDefault="002122BD" w:rsidP="002122BD">
      <w:pPr>
        <w:numPr>
          <w:ilvl w:val="12"/>
          <w:numId w:val="0"/>
        </w:numPr>
      </w:pPr>
      <w:r>
        <w:tab/>
        <w:t>Ogólne zasady obmiaru robót podano w SST D-M-00.00.00 „Wymagania ogólne” pkt 7.</w:t>
      </w:r>
    </w:p>
    <w:p w:rsidR="002122BD" w:rsidRDefault="002122BD" w:rsidP="002122BD">
      <w:pPr>
        <w:pStyle w:val="Nagwek2"/>
        <w:numPr>
          <w:ilvl w:val="12"/>
          <w:numId w:val="0"/>
        </w:numPr>
      </w:pPr>
      <w:r>
        <w:t>7.2. Jednostka obmiarowa</w:t>
      </w:r>
    </w:p>
    <w:p w:rsidR="002122BD" w:rsidRDefault="002122BD" w:rsidP="002122BD">
      <w:pPr>
        <w:numPr>
          <w:ilvl w:val="12"/>
          <w:numId w:val="0"/>
        </w:numPr>
      </w:pPr>
      <w:r>
        <w:tab/>
        <w:t>Jednostką obmiarową jest m</w:t>
      </w:r>
      <w:r>
        <w:rPr>
          <w:vertAlign w:val="superscript"/>
        </w:rPr>
        <w:t>2</w:t>
      </w:r>
      <w:r>
        <w:t xml:space="preserve"> (metr kwadratowy) wykonanego chodnika z płyt betonowych.</w:t>
      </w:r>
    </w:p>
    <w:p w:rsidR="002122BD" w:rsidRDefault="002122BD" w:rsidP="002122BD">
      <w:pPr>
        <w:pStyle w:val="Nagwek1"/>
        <w:numPr>
          <w:ilvl w:val="12"/>
          <w:numId w:val="0"/>
        </w:numPr>
      </w:pPr>
      <w:bookmarkStart w:id="447" w:name="_Toc429551228"/>
      <w:r>
        <w:t>8. ODBIÓR ROBÓT</w:t>
      </w:r>
      <w:bookmarkEnd w:id="447"/>
    </w:p>
    <w:p w:rsidR="002122BD" w:rsidRDefault="002122BD" w:rsidP="002122BD">
      <w:pPr>
        <w:numPr>
          <w:ilvl w:val="12"/>
          <w:numId w:val="0"/>
        </w:numPr>
        <w:spacing w:before="120"/>
      </w:pPr>
      <w:r>
        <w:tab/>
        <w:t>Ogólne zasady odbioru robót podano w SST D-M-00.00.00 „Wymagania ogólne” pkt 8.</w:t>
      </w:r>
    </w:p>
    <w:p w:rsidR="002122BD" w:rsidRDefault="002122BD" w:rsidP="002122BD">
      <w:pPr>
        <w:numPr>
          <w:ilvl w:val="12"/>
          <w:numId w:val="0"/>
        </w:numPr>
      </w:pPr>
      <w:r>
        <w:tab/>
        <w:t>Roboty uznaje się za wykonane zgodnie z dokumentacją projektową, SST i wymaganiami Inżyniera, jeżeli wszystkie pomiary i badania z zachowaniem tolerancji wg pkt 6 dały wyniki pozytywne.</w:t>
      </w:r>
    </w:p>
    <w:p w:rsidR="002122BD" w:rsidRDefault="002122BD" w:rsidP="002122BD">
      <w:pPr>
        <w:pStyle w:val="Nagwek1"/>
        <w:numPr>
          <w:ilvl w:val="12"/>
          <w:numId w:val="0"/>
        </w:numPr>
      </w:pPr>
      <w:bookmarkStart w:id="448" w:name="_Toc429551229"/>
      <w:r>
        <w:t>9. PODSTAWA PŁATNOŚCI</w:t>
      </w:r>
      <w:bookmarkEnd w:id="448"/>
    </w:p>
    <w:p w:rsidR="002122BD" w:rsidRDefault="002122BD" w:rsidP="002122BD">
      <w:pPr>
        <w:pStyle w:val="Nagwek2"/>
        <w:numPr>
          <w:ilvl w:val="12"/>
          <w:numId w:val="0"/>
        </w:numPr>
      </w:pPr>
      <w:r>
        <w:t>9.1. Ogólne ustalenia dotyczące podstawy płatności</w:t>
      </w:r>
    </w:p>
    <w:p w:rsidR="002122BD" w:rsidRDefault="002122BD" w:rsidP="002122BD">
      <w:pPr>
        <w:numPr>
          <w:ilvl w:val="12"/>
          <w:numId w:val="0"/>
        </w:numPr>
      </w:pPr>
      <w:r>
        <w:tab/>
        <w:t>Ogólne ustalenia dotyczące podstawy płatności podano w SST D-M-00.00.00 „Wymagania ogólne” pkt 9.</w:t>
      </w:r>
    </w:p>
    <w:p w:rsidR="002122BD" w:rsidRDefault="002122BD" w:rsidP="002122BD">
      <w:pPr>
        <w:pStyle w:val="Nagwek2"/>
        <w:numPr>
          <w:ilvl w:val="12"/>
          <w:numId w:val="0"/>
        </w:numPr>
      </w:pPr>
      <w:r>
        <w:t>9.2. Cena jednostki obmiarowej</w:t>
      </w:r>
    </w:p>
    <w:p w:rsidR="002122BD" w:rsidRDefault="002122BD" w:rsidP="002122BD">
      <w:pPr>
        <w:numPr>
          <w:ilvl w:val="12"/>
          <w:numId w:val="0"/>
        </w:numPr>
      </w:pPr>
      <w:r>
        <w:tab/>
        <w:t>Cena wykonania 1 m</w:t>
      </w:r>
      <w:r>
        <w:rPr>
          <w:vertAlign w:val="superscript"/>
        </w:rPr>
        <w:t>2</w:t>
      </w:r>
      <w:r>
        <w:t xml:space="preserve"> chodnika z płyt betonowych obejmuje:</w:t>
      </w:r>
    </w:p>
    <w:p w:rsidR="002122BD" w:rsidRDefault="002122BD" w:rsidP="002122BD">
      <w:pPr>
        <w:numPr>
          <w:ilvl w:val="0"/>
          <w:numId w:val="1"/>
        </w:numPr>
        <w:overflowPunct w:val="0"/>
        <w:autoSpaceDE w:val="0"/>
        <w:autoSpaceDN w:val="0"/>
        <w:adjustRightInd w:val="0"/>
        <w:jc w:val="both"/>
        <w:textAlignment w:val="baseline"/>
      </w:pPr>
      <w:r>
        <w:t>prace pomiarowe i roboty przygotowawcze,</w:t>
      </w:r>
    </w:p>
    <w:p w:rsidR="002122BD" w:rsidRDefault="002122BD" w:rsidP="002122BD">
      <w:pPr>
        <w:numPr>
          <w:ilvl w:val="0"/>
          <w:numId w:val="1"/>
        </w:numPr>
        <w:overflowPunct w:val="0"/>
        <w:autoSpaceDE w:val="0"/>
        <w:autoSpaceDN w:val="0"/>
        <w:adjustRightInd w:val="0"/>
        <w:jc w:val="both"/>
        <w:textAlignment w:val="baseline"/>
      </w:pPr>
      <w:r>
        <w:t>dostarczenie materiałów na miejsce wbudowania,</w:t>
      </w:r>
    </w:p>
    <w:p w:rsidR="002122BD" w:rsidRDefault="002122BD" w:rsidP="002122BD">
      <w:pPr>
        <w:numPr>
          <w:ilvl w:val="0"/>
          <w:numId w:val="1"/>
        </w:numPr>
        <w:overflowPunct w:val="0"/>
        <w:autoSpaceDE w:val="0"/>
        <w:autoSpaceDN w:val="0"/>
        <w:adjustRightInd w:val="0"/>
        <w:jc w:val="both"/>
        <w:textAlignment w:val="baseline"/>
      </w:pPr>
      <w:r>
        <w:t>wykonanie koryta,</w:t>
      </w:r>
    </w:p>
    <w:p w:rsidR="002122BD" w:rsidRDefault="002122BD" w:rsidP="002122BD">
      <w:pPr>
        <w:numPr>
          <w:ilvl w:val="0"/>
          <w:numId w:val="1"/>
        </w:numPr>
        <w:overflowPunct w:val="0"/>
        <w:autoSpaceDE w:val="0"/>
        <w:autoSpaceDN w:val="0"/>
        <w:adjustRightInd w:val="0"/>
        <w:jc w:val="both"/>
        <w:textAlignment w:val="baseline"/>
      </w:pPr>
      <w:r>
        <w:t>ew. wykonanie warstwy odsączającej,</w:t>
      </w:r>
    </w:p>
    <w:p w:rsidR="002122BD" w:rsidRDefault="002122BD" w:rsidP="002122BD">
      <w:pPr>
        <w:numPr>
          <w:ilvl w:val="0"/>
          <w:numId w:val="1"/>
        </w:numPr>
        <w:overflowPunct w:val="0"/>
        <w:autoSpaceDE w:val="0"/>
        <w:autoSpaceDN w:val="0"/>
        <w:adjustRightInd w:val="0"/>
        <w:jc w:val="both"/>
        <w:textAlignment w:val="baseline"/>
      </w:pPr>
      <w:r>
        <w:t>rozścielenie podsypki piaskowej lub cementowo-piaskowej wraz z jej przygotowaniem,</w:t>
      </w:r>
    </w:p>
    <w:p w:rsidR="002122BD" w:rsidRDefault="002122BD" w:rsidP="002122BD">
      <w:pPr>
        <w:numPr>
          <w:ilvl w:val="0"/>
          <w:numId w:val="1"/>
        </w:numPr>
        <w:overflowPunct w:val="0"/>
        <w:autoSpaceDE w:val="0"/>
        <w:autoSpaceDN w:val="0"/>
        <w:adjustRightInd w:val="0"/>
        <w:jc w:val="both"/>
        <w:textAlignment w:val="baseline"/>
      </w:pPr>
      <w:r>
        <w:t>ułożenie płyt,</w:t>
      </w:r>
    </w:p>
    <w:p w:rsidR="002122BD" w:rsidRDefault="002122BD" w:rsidP="002122BD">
      <w:pPr>
        <w:numPr>
          <w:ilvl w:val="0"/>
          <w:numId w:val="1"/>
        </w:numPr>
        <w:overflowPunct w:val="0"/>
        <w:autoSpaceDE w:val="0"/>
        <w:autoSpaceDN w:val="0"/>
        <w:adjustRightInd w:val="0"/>
        <w:jc w:val="both"/>
        <w:textAlignment w:val="baseline"/>
      </w:pPr>
      <w:r>
        <w:t>wypełnienie spoin piaskiem lub zaprawą cementową,</w:t>
      </w:r>
    </w:p>
    <w:p w:rsidR="002122BD" w:rsidRDefault="002122BD" w:rsidP="002122BD">
      <w:pPr>
        <w:numPr>
          <w:ilvl w:val="0"/>
          <w:numId w:val="1"/>
        </w:numPr>
        <w:overflowPunct w:val="0"/>
        <w:autoSpaceDE w:val="0"/>
        <w:autoSpaceDN w:val="0"/>
        <w:adjustRightInd w:val="0"/>
        <w:jc w:val="both"/>
        <w:textAlignment w:val="baseline"/>
      </w:pPr>
      <w:r>
        <w:t>pielęgnację przez posypywanie piaskiem i polewanie wodą,</w:t>
      </w:r>
    </w:p>
    <w:p w:rsidR="002122BD" w:rsidRDefault="002122BD" w:rsidP="002122BD">
      <w:pPr>
        <w:numPr>
          <w:ilvl w:val="0"/>
          <w:numId w:val="1"/>
        </w:numPr>
        <w:overflowPunct w:val="0"/>
        <w:autoSpaceDE w:val="0"/>
        <w:autoSpaceDN w:val="0"/>
        <w:adjustRightInd w:val="0"/>
        <w:jc w:val="both"/>
        <w:textAlignment w:val="baseline"/>
      </w:pPr>
      <w:r>
        <w:t>przeprowadzenie badań i pomiarów wymaganych w specyfikacji technicznej.</w:t>
      </w:r>
    </w:p>
    <w:p w:rsidR="002122BD" w:rsidRDefault="002122BD" w:rsidP="002122BD">
      <w:pPr>
        <w:pStyle w:val="Nagwek1"/>
        <w:numPr>
          <w:ilvl w:val="12"/>
          <w:numId w:val="0"/>
        </w:numPr>
      </w:pPr>
      <w:bookmarkStart w:id="449" w:name="_Toc429551230"/>
      <w:r>
        <w:t>10. przepisy związane</w:t>
      </w:r>
      <w:bookmarkEnd w:id="449"/>
    </w:p>
    <w:p w:rsidR="002122BD" w:rsidRDefault="002122BD" w:rsidP="002122BD">
      <w:pPr>
        <w:pStyle w:val="Nagwek2"/>
        <w:numPr>
          <w:ilvl w:val="12"/>
          <w:numId w:val="0"/>
        </w:numPr>
      </w:pPr>
      <w:r>
        <w:t>10.1. Normy</w:t>
      </w:r>
    </w:p>
    <w:tbl>
      <w:tblPr>
        <w:tblW w:w="0" w:type="auto"/>
        <w:tblLayout w:type="fixed"/>
        <w:tblCellMar>
          <w:left w:w="70" w:type="dxa"/>
          <w:right w:w="70" w:type="dxa"/>
        </w:tblCellMar>
        <w:tblLook w:val="0000" w:firstRow="0" w:lastRow="0" w:firstColumn="0" w:lastColumn="0" w:noHBand="0" w:noVBand="0"/>
      </w:tblPr>
      <w:tblGrid>
        <w:gridCol w:w="637"/>
        <w:gridCol w:w="1843"/>
        <w:gridCol w:w="5029"/>
      </w:tblGrid>
      <w:tr w:rsidR="002122BD" w:rsidTr="00E3297D">
        <w:tc>
          <w:tcPr>
            <w:tcW w:w="637" w:type="dxa"/>
          </w:tcPr>
          <w:p w:rsidR="002122BD" w:rsidRDefault="002122BD" w:rsidP="00E3297D">
            <w:pPr>
              <w:numPr>
                <w:ilvl w:val="12"/>
                <w:numId w:val="0"/>
              </w:numPr>
              <w:jc w:val="center"/>
            </w:pPr>
            <w:r>
              <w:t>1.</w:t>
            </w:r>
          </w:p>
        </w:tc>
        <w:tc>
          <w:tcPr>
            <w:tcW w:w="1843" w:type="dxa"/>
          </w:tcPr>
          <w:p w:rsidR="002122BD" w:rsidRDefault="002122BD" w:rsidP="00E3297D">
            <w:pPr>
              <w:numPr>
                <w:ilvl w:val="12"/>
                <w:numId w:val="0"/>
              </w:numPr>
            </w:pPr>
            <w:r>
              <w:t>PN-B-06711</w:t>
            </w:r>
          </w:p>
        </w:tc>
        <w:tc>
          <w:tcPr>
            <w:tcW w:w="5029" w:type="dxa"/>
          </w:tcPr>
          <w:p w:rsidR="002122BD" w:rsidRDefault="002122BD" w:rsidP="00E3297D">
            <w:pPr>
              <w:numPr>
                <w:ilvl w:val="12"/>
                <w:numId w:val="0"/>
              </w:numPr>
            </w:pPr>
            <w:r>
              <w:t>Kruszywo mineralne. Piasek do betonów i zapraw</w:t>
            </w:r>
          </w:p>
        </w:tc>
      </w:tr>
      <w:tr w:rsidR="002122BD" w:rsidTr="00E3297D">
        <w:tc>
          <w:tcPr>
            <w:tcW w:w="637" w:type="dxa"/>
          </w:tcPr>
          <w:p w:rsidR="002122BD" w:rsidRDefault="002122BD" w:rsidP="00E3297D">
            <w:pPr>
              <w:numPr>
                <w:ilvl w:val="12"/>
                <w:numId w:val="0"/>
              </w:numPr>
              <w:jc w:val="center"/>
            </w:pPr>
            <w:r>
              <w:t>2.</w:t>
            </w:r>
          </w:p>
        </w:tc>
        <w:tc>
          <w:tcPr>
            <w:tcW w:w="1843" w:type="dxa"/>
          </w:tcPr>
          <w:p w:rsidR="002122BD" w:rsidRDefault="002122BD" w:rsidP="00E3297D">
            <w:pPr>
              <w:numPr>
                <w:ilvl w:val="12"/>
                <w:numId w:val="0"/>
              </w:numPr>
            </w:pPr>
            <w:r>
              <w:t>PN-B-06712</w:t>
            </w:r>
          </w:p>
        </w:tc>
        <w:tc>
          <w:tcPr>
            <w:tcW w:w="5029" w:type="dxa"/>
          </w:tcPr>
          <w:p w:rsidR="002122BD" w:rsidRDefault="002122BD" w:rsidP="00E3297D">
            <w:pPr>
              <w:numPr>
                <w:ilvl w:val="12"/>
                <w:numId w:val="0"/>
              </w:numPr>
            </w:pPr>
            <w:r>
              <w:t>Kruszywa mineralne do betonu zwykłego</w:t>
            </w:r>
          </w:p>
          <w:p w:rsidR="002122BD" w:rsidRDefault="002122BD" w:rsidP="00E3297D">
            <w:pPr>
              <w:numPr>
                <w:ilvl w:val="12"/>
                <w:numId w:val="0"/>
              </w:numPr>
            </w:pPr>
          </w:p>
        </w:tc>
      </w:tr>
      <w:tr w:rsidR="002122BD" w:rsidTr="00E3297D">
        <w:tc>
          <w:tcPr>
            <w:tcW w:w="637" w:type="dxa"/>
          </w:tcPr>
          <w:p w:rsidR="002122BD" w:rsidRDefault="002122BD" w:rsidP="00E3297D">
            <w:pPr>
              <w:numPr>
                <w:ilvl w:val="12"/>
                <w:numId w:val="0"/>
              </w:numPr>
              <w:jc w:val="center"/>
            </w:pPr>
            <w:r>
              <w:t>3.</w:t>
            </w:r>
          </w:p>
        </w:tc>
        <w:tc>
          <w:tcPr>
            <w:tcW w:w="1843" w:type="dxa"/>
          </w:tcPr>
          <w:p w:rsidR="002122BD" w:rsidRDefault="002122BD" w:rsidP="00E3297D">
            <w:pPr>
              <w:numPr>
                <w:ilvl w:val="12"/>
                <w:numId w:val="0"/>
              </w:numPr>
            </w:pPr>
            <w:r>
              <w:t>PN-B-10021</w:t>
            </w:r>
          </w:p>
        </w:tc>
        <w:tc>
          <w:tcPr>
            <w:tcW w:w="5029" w:type="dxa"/>
          </w:tcPr>
          <w:p w:rsidR="002122BD" w:rsidRDefault="002122BD" w:rsidP="00E3297D">
            <w:pPr>
              <w:numPr>
                <w:ilvl w:val="12"/>
                <w:numId w:val="0"/>
              </w:numPr>
            </w:pPr>
            <w:r>
              <w:t>Prefabrykaty budowlane z betonu. Metody pomiaru cech geometrycznych</w:t>
            </w:r>
          </w:p>
        </w:tc>
      </w:tr>
      <w:tr w:rsidR="002122BD" w:rsidTr="00E3297D">
        <w:tc>
          <w:tcPr>
            <w:tcW w:w="637" w:type="dxa"/>
          </w:tcPr>
          <w:p w:rsidR="002122BD" w:rsidRDefault="002122BD" w:rsidP="00E3297D">
            <w:pPr>
              <w:numPr>
                <w:ilvl w:val="12"/>
                <w:numId w:val="0"/>
              </w:numPr>
              <w:jc w:val="center"/>
              <w:rPr>
                <w:lang w:val="en-US"/>
              </w:rPr>
            </w:pPr>
            <w:r>
              <w:rPr>
                <w:lang w:val="en-US"/>
              </w:rPr>
              <w:t>4.</w:t>
            </w:r>
          </w:p>
        </w:tc>
        <w:tc>
          <w:tcPr>
            <w:tcW w:w="1843" w:type="dxa"/>
          </w:tcPr>
          <w:p w:rsidR="002122BD" w:rsidRDefault="002122BD" w:rsidP="00E3297D">
            <w:pPr>
              <w:numPr>
                <w:ilvl w:val="12"/>
                <w:numId w:val="0"/>
              </w:numPr>
              <w:rPr>
                <w:lang w:val="en-US"/>
              </w:rPr>
            </w:pPr>
            <w:r>
              <w:rPr>
                <w:lang w:val="en-US"/>
              </w:rPr>
              <w:t>PN-B-19701</w:t>
            </w:r>
          </w:p>
        </w:tc>
        <w:tc>
          <w:tcPr>
            <w:tcW w:w="5029" w:type="dxa"/>
          </w:tcPr>
          <w:p w:rsidR="002122BD" w:rsidRDefault="002122BD" w:rsidP="00E3297D">
            <w:pPr>
              <w:numPr>
                <w:ilvl w:val="12"/>
                <w:numId w:val="0"/>
              </w:numPr>
            </w:pPr>
            <w:r w:rsidRPr="000A3041">
              <w:t xml:space="preserve">Cement. </w:t>
            </w:r>
            <w:r>
              <w:t>Cement powszechnego użytku. Skład, wymagania i ocena zgodności</w:t>
            </w:r>
          </w:p>
        </w:tc>
      </w:tr>
      <w:tr w:rsidR="002122BD" w:rsidTr="00E3297D">
        <w:tc>
          <w:tcPr>
            <w:tcW w:w="637" w:type="dxa"/>
          </w:tcPr>
          <w:p w:rsidR="002122BD" w:rsidRDefault="002122BD" w:rsidP="00E3297D">
            <w:pPr>
              <w:numPr>
                <w:ilvl w:val="12"/>
                <w:numId w:val="0"/>
              </w:numPr>
              <w:jc w:val="center"/>
            </w:pPr>
            <w:r>
              <w:t>5.</w:t>
            </w:r>
          </w:p>
        </w:tc>
        <w:tc>
          <w:tcPr>
            <w:tcW w:w="1843" w:type="dxa"/>
          </w:tcPr>
          <w:p w:rsidR="002122BD" w:rsidRDefault="002122BD" w:rsidP="00E3297D">
            <w:pPr>
              <w:numPr>
                <w:ilvl w:val="12"/>
                <w:numId w:val="0"/>
              </w:numPr>
            </w:pPr>
            <w:r>
              <w:t>PN-B-32250</w:t>
            </w:r>
          </w:p>
        </w:tc>
        <w:tc>
          <w:tcPr>
            <w:tcW w:w="5029" w:type="dxa"/>
          </w:tcPr>
          <w:p w:rsidR="002122BD" w:rsidRDefault="002122BD" w:rsidP="00E3297D">
            <w:pPr>
              <w:numPr>
                <w:ilvl w:val="12"/>
                <w:numId w:val="0"/>
              </w:numPr>
            </w:pPr>
            <w:r>
              <w:t>Materiały budowlane. Woda do betonów i zapraw</w:t>
            </w:r>
          </w:p>
        </w:tc>
      </w:tr>
      <w:tr w:rsidR="002122BD" w:rsidTr="00E3297D">
        <w:tc>
          <w:tcPr>
            <w:tcW w:w="637" w:type="dxa"/>
          </w:tcPr>
          <w:p w:rsidR="002122BD" w:rsidRDefault="002122BD" w:rsidP="00E3297D">
            <w:pPr>
              <w:numPr>
                <w:ilvl w:val="12"/>
                <w:numId w:val="0"/>
              </w:numPr>
              <w:jc w:val="center"/>
            </w:pPr>
            <w:r>
              <w:t>6.</w:t>
            </w:r>
          </w:p>
        </w:tc>
        <w:tc>
          <w:tcPr>
            <w:tcW w:w="1843" w:type="dxa"/>
          </w:tcPr>
          <w:p w:rsidR="002122BD" w:rsidRDefault="002122BD" w:rsidP="00E3297D">
            <w:pPr>
              <w:numPr>
                <w:ilvl w:val="12"/>
                <w:numId w:val="0"/>
              </w:numPr>
            </w:pPr>
            <w:r>
              <w:t>BN-88/6731-08</w:t>
            </w:r>
          </w:p>
        </w:tc>
        <w:tc>
          <w:tcPr>
            <w:tcW w:w="5029" w:type="dxa"/>
          </w:tcPr>
          <w:p w:rsidR="002122BD" w:rsidRDefault="002122BD" w:rsidP="00E3297D">
            <w:pPr>
              <w:numPr>
                <w:ilvl w:val="12"/>
                <w:numId w:val="0"/>
              </w:numPr>
            </w:pPr>
            <w:r>
              <w:t>Cement. Transport i przechowywanie</w:t>
            </w:r>
          </w:p>
        </w:tc>
      </w:tr>
      <w:tr w:rsidR="002122BD" w:rsidTr="00E3297D">
        <w:tc>
          <w:tcPr>
            <w:tcW w:w="637" w:type="dxa"/>
          </w:tcPr>
          <w:p w:rsidR="002122BD" w:rsidRDefault="002122BD" w:rsidP="00E3297D">
            <w:pPr>
              <w:numPr>
                <w:ilvl w:val="12"/>
                <w:numId w:val="0"/>
              </w:numPr>
              <w:jc w:val="center"/>
            </w:pPr>
            <w:r>
              <w:t>7.</w:t>
            </w:r>
          </w:p>
        </w:tc>
        <w:tc>
          <w:tcPr>
            <w:tcW w:w="1843" w:type="dxa"/>
          </w:tcPr>
          <w:p w:rsidR="002122BD" w:rsidRDefault="002122BD" w:rsidP="00E3297D">
            <w:pPr>
              <w:numPr>
                <w:ilvl w:val="12"/>
                <w:numId w:val="0"/>
              </w:numPr>
            </w:pPr>
            <w:r>
              <w:t>BN-80/6775-03/01</w:t>
            </w:r>
          </w:p>
        </w:tc>
        <w:tc>
          <w:tcPr>
            <w:tcW w:w="5029" w:type="dxa"/>
          </w:tcPr>
          <w:p w:rsidR="002122BD" w:rsidRDefault="002122BD" w:rsidP="00E3297D">
            <w:pPr>
              <w:numPr>
                <w:ilvl w:val="12"/>
                <w:numId w:val="0"/>
              </w:numPr>
            </w:pPr>
            <w:r>
              <w:t>Prefabrykaty budowlane z betonu. Elementy nawierzchni dróg, ulic, parkingów i torowisk tramwajowych. Wspólne wymagania i badania</w:t>
            </w:r>
          </w:p>
        </w:tc>
      </w:tr>
      <w:tr w:rsidR="002122BD" w:rsidTr="00E3297D">
        <w:tc>
          <w:tcPr>
            <w:tcW w:w="637" w:type="dxa"/>
          </w:tcPr>
          <w:p w:rsidR="002122BD" w:rsidRDefault="002122BD" w:rsidP="00E3297D">
            <w:pPr>
              <w:numPr>
                <w:ilvl w:val="12"/>
                <w:numId w:val="0"/>
              </w:numPr>
              <w:jc w:val="center"/>
            </w:pPr>
            <w:r>
              <w:t>8.</w:t>
            </w:r>
          </w:p>
        </w:tc>
        <w:tc>
          <w:tcPr>
            <w:tcW w:w="1843" w:type="dxa"/>
          </w:tcPr>
          <w:p w:rsidR="002122BD" w:rsidRDefault="002122BD" w:rsidP="00E3297D">
            <w:pPr>
              <w:numPr>
                <w:ilvl w:val="12"/>
                <w:numId w:val="0"/>
              </w:numPr>
            </w:pPr>
            <w:r>
              <w:t>BN-80/6775-03/03</w:t>
            </w:r>
          </w:p>
        </w:tc>
        <w:tc>
          <w:tcPr>
            <w:tcW w:w="5029" w:type="dxa"/>
          </w:tcPr>
          <w:p w:rsidR="002122BD" w:rsidRDefault="002122BD" w:rsidP="00E3297D">
            <w:pPr>
              <w:numPr>
                <w:ilvl w:val="12"/>
                <w:numId w:val="0"/>
              </w:numPr>
            </w:pPr>
            <w:r>
              <w:t>Prefabrykaty budowlane z betonu. Elementy nawierzchni dróg, ulic, parkingów i torowisk tramwajowych. Płyty chodnikowe.</w:t>
            </w:r>
          </w:p>
        </w:tc>
      </w:tr>
      <w:tr w:rsidR="002122BD" w:rsidTr="00E3297D">
        <w:tc>
          <w:tcPr>
            <w:tcW w:w="637" w:type="dxa"/>
          </w:tcPr>
          <w:p w:rsidR="002122BD" w:rsidRDefault="002122BD" w:rsidP="00E3297D">
            <w:pPr>
              <w:numPr>
                <w:ilvl w:val="12"/>
                <w:numId w:val="0"/>
              </w:numPr>
              <w:jc w:val="center"/>
            </w:pPr>
            <w:r>
              <w:lastRenderedPageBreak/>
              <w:t>9.</w:t>
            </w:r>
          </w:p>
        </w:tc>
        <w:tc>
          <w:tcPr>
            <w:tcW w:w="1843" w:type="dxa"/>
          </w:tcPr>
          <w:p w:rsidR="002122BD" w:rsidRDefault="002122BD" w:rsidP="00E3297D">
            <w:pPr>
              <w:numPr>
                <w:ilvl w:val="12"/>
                <w:numId w:val="0"/>
              </w:numPr>
            </w:pPr>
            <w:r>
              <w:t>BN-64/8845-01</w:t>
            </w:r>
          </w:p>
        </w:tc>
        <w:tc>
          <w:tcPr>
            <w:tcW w:w="5029" w:type="dxa"/>
          </w:tcPr>
          <w:p w:rsidR="002122BD" w:rsidRDefault="002122BD" w:rsidP="00E3297D">
            <w:pPr>
              <w:numPr>
                <w:ilvl w:val="12"/>
                <w:numId w:val="0"/>
              </w:numPr>
            </w:pPr>
            <w:r>
              <w:t>Chodniki z płyt betonowych. Warunki techniczne wykonania i odbioru.</w:t>
            </w:r>
          </w:p>
        </w:tc>
      </w:tr>
    </w:tbl>
    <w:p w:rsidR="002122BD" w:rsidRDefault="002122BD" w:rsidP="002122BD">
      <w:pPr>
        <w:pStyle w:val="Nagwek2"/>
        <w:numPr>
          <w:ilvl w:val="12"/>
          <w:numId w:val="0"/>
        </w:numPr>
      </w:pPr>
      <w:r>
        <w:t>10.2. Inne dokumenty</w:t>
      </w:r>
    </w:p>
    <w:p w:rsidR="002122BD" w:rsidRDefault="002122BD" w:rsidP="002122BD">
      <w:pPr>
        <w:numPr>
          <w:ilvl w:val="12"/>
          <w:numId w:val="0"/>
        </w:numPr>
      </w:pPr>
      <w:r>
        <w:tab/>
        <w:t>Nie występują.</w:t>
      </w:r>
    </w:p>
    <w:p w:rsidR="002122BD" w:rsidRDefault="002122BD" w:rsidP="002122BD">
      <w:pPr>
        <w:numPr>
          <w:ilvl w:val="12"/>
          <w:numId w:val="0"/>
        </w:numPr>
        <w:spacing w:before="120"/>
      </w:pPr>
    </w:p>
    <w:p w:rsidR="00683496" w:rsidRPr="009040B8" w:rsidRDefault="00683496" w:rsidP="00683496">
      <w:pPr>
        <w:rPr>
          <w:rFonts w:ascii="Verdana" w:hAnsi="Verdana" w:cs="Arial"/>
        </w:rPr>
      </w:pPr>
    </w:p>
    <w:p w:rsidR="00683496" w:rsidRPr="009040B8" w:rsidRDefault="00683496" w:rsidP="00683496">
      <w:pPr>
        <w:rPr>
          <w:rFonts w:ascii="Verdana" w:hAnsi="Verdana" w:cs="Arial"/>
        </w:rPr>
      </w:pPr>
    </w:p>
    <w:p w:rsidR="00683496" w:rsidRPr="009040B8" w:rsidRDefault="00683496" w:rsidP="00683496">
      <w:pPr>
        <w:rPr>
          <w:rFonts w:ascii="Verdana" w:hAnsi="Verdana" w:cs="Arial"/>
        </w:rPr>
      </w:pPr>
    </w:p>
    <w:p w:rsidR="00683496" w:rsidRDefault="00683496"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Default="00234EE1" w:rsidP="00683496">
      <w:pPr>
        <w:rPr>
          <w:rFonts w:ascii="Arial" w:hAnsi="Arial" w:cs="Arial"/>
        </w:rPr>
      </w:pPr>
    </w:p>
    <w:p w:rsidR="00234EE1" w:rsidRPr="00796CE9" w:rsidRDefault="00234EE1" w:rsidP="00683496">
      <w:pPr>
        <w:rPr>
          <w:rFonts w:ascii="Arial" w:hAnsi="Arial" w:cs="Arial"/>
        </w:rPr>
      </w:pPr>
    </w:p>
    <w:p w:rsidR="00D36192" w:rsidRDefault="002122BD" w:rsidP="00D36192">
      <w:pPr>
        <w:pStyle w:val="Nagwek1"/>
        <w:spacing w:before="38"/>
        <w:ind w:right="682"/>
        <w:jc w:val="left"/>
        <w:rPr>
          <w:b w:val="0"/>
          <w:spacing w:val="-7"/>
          <w:sz w:val="28"/>
        </w:rPr>
      </w:pPr>
      <w:bookmarkStart w:id="450" w:name="SST_-_03.02.01a"/>
      <w:bookmarkStart w:id="451" w:name="_Hlk15765547"/>
      <w:bookmarkEnd w:id="450"/>
      <w:r w:rsidRPr="00D36192">
        <w:rPr>
          <w:spacing w:val="-1"/>
          <w:sz w:val="28"/>
          <w:szCs w:val="28"/>
        </w:rPr>
        <w:lastRenderedPageBreak/>
        <w:t>SST</w:t>
      </w:r>
      <w:r w:rsidRPr="00D36192">
        <w:rPr>
          <w:sz w:val="28"/>
          <w:szCs w:val="28"/>
        </w:rPr>
        <w:t xml:space="preserve"> -</w:t>
      </w:r>
      <w:r w:rsidRPr="00D36192">
        <w:rPr>
          <w:spacing w:val="-2"/>
          <w:sz w:val="28"/>
          <w:szCs w:val="28"/>
        </w:rPr>
        <w:t xml:space="preserve"> </w:t>
      </w:r>
      <w:r w:rsidRPr="00D36192">
        <w:rPr>
          <w:sz w:val="28"/>
          <w:szCs w:val="28"/>
        </w:rPr>
        <w:t>03.02.01a</w:t>
      </w:r>
      <w:bookmarkStart w:id="452" w:name="REGULACJA_PIONOWA_STUDZIENEK_KANALIZACYJ"/>
      <w:bookmarkEnd w:id="452"/>
      <w:r w:rsidR="00D36192">
        <w:rPr>
          <w:sz w:val="28"/>
          <w:szCs w:val="28"/>
        </w:rPr>
        <w:t xml:space="preserve">  </w:t>
      </w:r>
      <w:r>
        <w:rPr>
          <w:b w:val="0"/>
          <w:spacing w:val="-1"/>
          <w:sz w:val="28"/>
        </w:rPr>
        <w:t>REGULACJA</w:t>
      </w:r>
      <w:r>
        <w:rPr>
          <w:b w:val="0"/>
          <w:spacing w:val="-9"/>
          <w:sz w:val="28"/>
        </w:rPr>
        <w:t xml:space="preserve"> </w:t>
      </w:r>
      <w:r>
        <w:rPr>
          <w:b w:val="0"/>
          <w:spacing w:val="-1"/>
          <w:sz w:val="28"/>
        </w:rPr>
        <w:t>PIONOWA</w:t>
      </w:r>
      <w:r>
        <w:rPr>
          <w:b w:val="0"/>
          <w:spacing w:val="-10"/>
          <w:sz w:val="28"/>
        </w:rPr>
        <w:t xml:space="preserve"> </w:t>
      </w:r>
      <w:r>
        <w:rPr>
          <w:b w:val="0"/>
          <w:spacing w:val="-1"/>
          <w:sz w:val="28"/>
        </w:rPr>
        <w:t>STUDZIENEK</w:t>
      </w:r>
      <w:r>
        <w:rPr>
          <w:b w:val="0"/>
          <w:spacing w:val="-7"/>
          <w:sz w:val="28"/>
        </w:rPr>
        <w:t xml:space="preserve"> </w:t>
      </w:r>
      <w:r w:rsidR="00D36192">
        <w:rPr>
          <w:b w:val="0"/>
          <w:spacing w:val="-7"/>
          <w:sz w:val="28"/>
        </w:rPr>
        <w:t xml:space="preserve">   </w:t>
      </w:r>
    </w:p>
    <w:p w:rsidR="002122BD" w:rsidRPr="00D36192" w:rsidRDefault="00D36192" w:rsidP="00D36192">
      <w:pPr>
        <w:pStyle w:val="Nagwek1"/>
        <w:spacing w:before="38"/>
        <w:ind w:right="682"/>
        <w:jc w:val="left"/>
        <w:rPr>
          <w:b w:val="0"/>
          <w:bCs/>
          <w:sz w:val="28"/>
          <w:szCs w:val="28"/>
        </w:rPr>
      </w:pPr>
      <w:r>
        <w:rPr>
          <w:b w:val="0"/>
          <w:spacing w:val="-7"/>
          <w:sz w:val="28"/>
        </w:rPr>
        <w:t xml:space="preserve">                                 </w:t>
      </w:r>
      <w:r w:rsidR="002122BD">
        <w:rPr>
          <w:b w:val="0"/>
          <w:spacing w:val="-1"/>
          <w:sz w:val="28"/>
        </w:rPr>
        <w:t>KANALIZACYJNYCH</w:t>
      </w:r>
    </w:p>
    <w:bookmarkEnd w:id="451"/>
    <w:p w:rsidR="002122BD" w:rsidRDefault="002122BD" w:rsidP="002122BD">
      <w:pPr>
        <w:rPr>
          <w:b/>
          <w:bCs/>
          <w:sz w:val="28"/>
          <w:szCs w:val="28"/>
        </w:rPr>
      </w:pPr>
    </w:p>
    <w:p w:rsidR="002122BD" w:rsidRDefault="002122BD" w:rsidP="002122BD">
      <w:pPr>
        <w:pStyle w:val="Nagwek2"/>
        <w:keepNext w:val="0"/>
        <w:widowControl w:val="0"/>
        <w:numPr>
          <w:ilvl w:val="0"/>
          <w:numId w:val="88"/>
        </w:numPr>
        <w:tabs>
          <w:tab w:val="left" w:pos="620"/>
        </w:tabs>
        <w:spacing w:before="192" w:after="0"/>
        <w:ind w:hanging="519"/>
        <w:rPr>
          <w:b w:val="0"/>
          <w:bCs/>
        </w:rPr>
      </w:pPr>
      <w:bookmarkStart w:id="453" w:name="1._WSTĘP."/>
      <w:bookmarkEnd w:id="453"/>
      <w:r>
        <w:rPr>
          <w:spacing w:val="-1"/>
        </w:rPr>
        <w:t>WSTĘP.</w:t>
      </w:r>
    </w:p>
    <w:p w:rsidR="002122BD" w:rsidRDefault="002122BD" w:rsidP="002122BD">
      <w:pPr>
        <w:spacing w:before="10"/>
        <w:rPr>
          <w:b/>
          <w:bCs/>
        </w:rPr>
      </w:pPr>
    </w:p>
    <w:p w:rsidR="002122BD" w:rsidRDefault="002122BD" w:rsidP="002122BD">
      <w:pPr>
        <w:pStyle w:val="Nagwek3"/>
        <w:keepNext w:val="0"/>
        <w:widowControl w:val="0"/>
        <w:numPr>
          <w:ilvl w:val="1"/>
          <w:numId w:val="88"/>
        </w:numPr>
        <w:tabs>
          <w:tab w:val="left" w:pos="520"/>
        </w:tabs>
        <w:spacing w:before="0" w:after="0"/>
        <w:rPr>
          <w:b/>
          <w:bCs/>
        </w:rPr>
      </w:pPr>
      <w:bookmarkStart w:id="454" w:name="1.1._Przedmiot_SST"/>
      <w:bookmarkEnd w:id="454"/>
      <w:r>
        <w:rPr>
          <w:spacing w:val="-1"/>
        </w:rPr>
        <w:t>Przedmiot</w:t>
      </w:r>
      <w:r>
        <w:rPr>
          <w:spacing w:val="-7"/>
        </w:rPr>
        <w:t xml:space="preserve"> </w:t>
      </w:r>
      <w:r>
        <w:t>SST</w:t>
      </w:r>
    </w:p>
    <w:p w:rsidR="002122BD" w:rsidRDefault="002122BD" w:rsidP="002122BD">
      <w:pPr>
        <w:pStyle w:val="Tekstpodstawowy"/>
        <w:spacing w:before="60"/>
        <w:ind w:left="100" w:right="116"/>
        <w:jc w:val="both"/>
      </w:pPr>
      <w:r>
        <w:rPr>
          <w:spacing w:val="-1"/>
        </w:rPr>
        <w:t>Przedmiotem</w:t>
      </w:r>
      <w:r>
        <w:rPr>
          <w:spacing w:val="33"/>
        </w:rPr>
        <w:t xml:space="preserve"> </w:t>
      </w:r>
      <w:r>
        <w:rPr>
          <w:spacing w:val="-1"/>
        </w:rPr>
        <w:t>niniejszej</w:t>
      </w:r>
      <w:r>
        <w:rPr>
          <w:spacing w:val="33"/>
        </w:rPr>
        <w:t xml:space="preserve"> </w:t>
      </w:r>
      <w:r>
        <w:rPr>
          <w:spacing w:val="-1"/>
        </w:rPr>
        <w:t>szczegółowej</w:t>
      </w:r>
      <w:r>
        <w:rPr>
          <w:spacing w:val="33"/>
        </w:rPr>
        <w:t xml:space="preserve"> </w:t>
      </w:r>
      <w:r>
        <w:rPr>
          <w:spacing w:val="-1"/>
        </w:rPr>
        <w:t>specyfikacji</w:t>
      </w:r>
      <w:r>
        <w:rPr>
          <w:spacing w:val="34"/>
        </w:rPr>
        <w:t xml:space="preserve"> </w:t>
      </w:r>
      <w:r>
        <w:rPr>
          <w:spacing w:val="-1"/>
        </w:rPr>
        <w:t>technicznej</w:t>
      </w:r>
      <w:r>
        <w:rPr>
          <w:spacing w:val="35"/>
        </w:rPr>
        <w:t xml:space="preserve"> </w:t>
      </w:r>
      <w:r>
        <w:rPr>
          <w:spacing w:val="-1"/>
        </w:rPr>
        <w:t>(SST)</w:t>
      </w:r>
      <w:r>
        <w:rPr>
          <w:spacing w:val="32"/>
        </w:rPr>
        <w:t xml:space="preserve"> </w:t>
      </w:r>
      <w:r>
        <w:t>są</w:t>
      </w:r>
      <w:r>
        <w:rPr>
          <w:spacing w:val="31"/>
        </w:rPr>
        <w:t xml:space="preserve"> </w:t>
      </w:r>
      <w:r>
        <w:rPr>
          <w:spacing w:val="-1"/>
        </w:rPr>
        <w:t>wymagania</w:t>
      </w:r>
      <w:r>
        <w:rPr>
          <w:spacing w:val="33"/>
        </w:rPr>
        <w:t xml:space="preserve"> </w:t>
      </w:r>
      <w:r>
        <w:rPr>
          <w:spacing w:val="-1"/>
        </w:rPr>
        <w:t>ogólne</w:t>
      </w:r>
      <w:r>
        <w:rPr>
          <w:spacing w:val="71"/>
          <w:w w:val="99"/>
        </w:rPr>
        <w:t xml:space="preserve"> </w:t>
      </w:r>
      <w:r>
        <w:rPr>
          <w:spacing w:val="-1"/>
        </w:rPr>
        <w:t>dotyczące</w:t>
      </w:r>
      <w:r>
        <w:rPr>
          <w:spacing w:val="8"/>
        </w:rPr>
        <w:t xml:space="preserve"> </w:t>
      </w:r>
      <w:r>
        <w:rPr>
          <w:spacing w:val="-1"/>
        </w:rPr>
        <w:t>wykonania</w:t>
      </w:r>
      <w:r>
        <w:rPr>
          <w:spacing w:val="9"/>
        </w:rPr>
        <w:t xml:space="preserve"> </w:t>
      </w:r>
      <w:r>
        <w:t>i</w:t>
      </w:r>
      <w:r>
        <w:rPr>
          <w:spacing w:val="6"/>
        </w:rPr>
        <w:t xml:space="preserve"> </w:t>
      </w:r>
      <w:r>
        <w:rPr>
          <w:spacing w:val="-1"/>
        </w:rPr>
        <w:t>odbioru</w:t>
      </w:r>
      <w:r>
        <w:rPr>
          <w:spacing w:val="7"/>
        </w:rPr>
        <w:t xml:space="preserve"> </w:t>
      </w:r>
      <w:r>
        <w:t>robót</w:t>
      </w:r>
      <w:r>
        <w:rPr>
          <w:spacing w:val="5"/>
        </w:rPr>
        <w:t xml:space="preserve"> </w:t>
      </w:r>
      <w:r>
        <w:rPr>
          <w:spacing w:val="-1"/>
        </w:rPr>
        <w:t>drogowych</w:t>
      </w:r>
      <w:r w:rsidR="00E07AC4">
        <w:rPr>
          <w:spacing w:val="-1"/>
        </w:rPr>
        <w:t>.</w:t>
      </w:r>
      <w:r>
        <w:rPr>
          <w:spacing w:val="9"/>
        </w:rPr>
        <w:t xml:space="preserve"> </w:t>
      </w:r>
    </w:p>
    <w:p w:rsidR="002122BD" w:rsidRDefault="002122BD" w:rsidP="002122BD">
      <w:pPr>
        <w:spacing w:before="10"/>
      </w:pPr>
    </w:p>
    <w:p w:rsidR="002122BD" w:rsidRDefault="002122BD" w:rsidP="002122BD">
      <w:pPr>
        <w:pStyle w:val="Nagwek3"/>
        <w:keepNext w:val="0"/>
        <w:widowControl w:val="0"/>
        <w:numPr>
          <w:ilvl w:val="1"/>
          <w:numId w:val="88"/>
        </w:numPr>
        <w:tabs>
          <w:tab w:val="left" w:pos="520"/>
        </w:tabs>
        <w:spacing w:before="0" w:after="0"/>
        <w:rPr>
          <w:b/>
          <w:bCs/>
        </w:rPr>
      </w:pPr>
      <w:bookmarkStart w:id="455" w:name="1.2._Zakres_stosowania_SST"/>
      <w:bookmarkEnd w:id="455"/>
      <w:r>
        <w:rPr>
          <w:spacing w:val="-1"/>
        </w:rPr>
        <w:t>Zakres</w:t>
      </w:r>
      <w:r>
        <w:rPr>
          <w:spacing w:val="-2"/>
        </w:rPr>
        <w:t xml:space="preserve"> </w:t>
      </w:r>
      <w:r>
        <w:rPr>
          <w:spacing w:val="-1"/>
        </w:rPr>
        <w:t>stosowania</w:t>
      </w:r>
      <w:r>
        <w:rPr>
          <w:spacing w:val="-2"/>
        </w:rPr>
        <w:t xml:space="preserve"> </w:t>
      </w:r>
      <w:r>
        <w:t>SST</w:t>
      </w:r>
    </w:p>
    <w:p w:rsidR="002122BD" w:rsidRDefault="002122BD" w:rsidP="002122BD">
      <w:pPr>
        <w:pStyle w:val="Tekstpodstawowy"/>
        <w:spacing w:before="60"/>
        <w:ind w:left="100" w:right="119" w:firstLine="540"/>
      </w:pPr>
      <w:r>
        <w:rPr>
          <w:spacing w:val="-1"/>
        </w:rPr>
        <w:t>Szczegółowa</w:t>
      </w:r>
      <w:r>
        <w:t xml:space="preserve"> </w:t>
      </w:r>
      <w:r>
        <w:rPr>
          <w:spacing w:val="7"/>
        </w:rPr>
        <w:t xml:space="preserve"> </w:t>
      </w:r>
      <w:r>
        <w:rPr>
          <w:spacing w:val="-1"/>
        </w:rPr>
        <w:t>specyfikacja</w:t>
      </w:r>
      <w:r>
        <w:t xml:space="preserve"> </w:t>
      </w:r>
      <w:r>
        <w:rPr>
          <w:spacing w:val="8"/>
        </w:rPr>
        <w:t xml:space="preserve"> </w:t>
      </w:r>
      <w:r>
        <w:rPr>
          <w:spacing w:val="-1"/>
        </w:rPr>
        <w:t>techniczna</w:t>
      </w:r>
      <w:r>
        <w:t xml:space="preserve"> </w:t>
      </w:r>
      <w:r>
        <w:rPr>
          <w:spacing w:val="7"/>
        </w:rPr>
        <w:t xml:space="preserve"> </w:t>
      </w:r>
      <w:r>
        <w:rPr>
          <w:spacing w:val="-1"/>
        </w:rPr>
        <w:t>stosowana</w:t>
      </w:r>
      <w:r>
        <w:t xml:space="preserve"> </w:t>
      </w:r>
      <w:r>
        <w:rPr>
          <w:spacing w:val="7"/>
        </w:rPr>
        <w:t xml:space="preserve"> </w:t>
      </w:r>
      <w:r>
        <w:rPr>
          <w:spacing w:val="-1"/>
        </w:rPr>
        <w:t>jest</w:t>
      </w:r>
      <w:r>
        <w:t xml:space="preserve"> </w:t>
      </w:r>
      <w:r>
        <w:rPr>
          <w:spacing w:val="6"/>
        </w:rPr>
        <w:t xml:space="preserve"> </w:t>
      </w:r>
      <w:r>
        <w:rPr>
          <w:spacing w:val="-1"/>
        </w:rPr>
        <w:t>jako</w:t>
      </w:r>
      <w:r>
        <w:t xml:space="preserve"> </w:t>
      </w:r>
      <w:r>
        <w:rPr>
          <w:spacing w:val="6"/>
        </w:rPr>
        <w:t xml:space="preserve"> </w:t>
      </w:r>
      <w:r>
        <w:rPr>
          <w:spacing w:val="-1"/>
        </w:rPr>
        <w:t>dokument</w:t>
      </w:r>
      <w:r>
        <w:t xml:space="preserve"> </w:t>
      </w:r>
      <w:r>
        <w:rPr>
          <w:spacing w:val="8"/>
        </w:rPr>
        <w:t xml:space="preserve"> </w:t>
      </w:r>
      <w:r>
        <w:rPr>
          <w:spacing w:val="-1"/>
        </w:rPr>
        <w:t>przetargowy</w:t>
      </w:r>
      <w:r>
        <w:t xml:space="preserve"> </w:t>
      </w:r>
      <w:r>
        <w:rPr>
          <w:spacing w:val="5"/>
        </w:rPr>
        <w:t xml:space="preserve"> </w:t>
      </w:r>
      <w:r>
        <w:t>i</w:t>
      </w:r>
      <w:r>
        <w:rPr>
          <w:spacing w:val="77"/>
          <w:w w:val="99"/>
        </w:rPr>
        <w:t xml:space="preserve"> </w:t>
      </w:r>
      <w:r>
        <w:rPr>
          <w:spacing w:val="-1"/>
        </w:rPr>
        <w:t>kontraktowy</w:t>
      </w:r>
      <w:r>
        <w:rPr>
          <w:spacing w:val="-6"/>
        </w:rPr>
        <w:t xml:space="preserve"> </w:t>
      </w:r>
      <w:r>
        <w:rPr>
          <w:spacing w:val="-1"/>
        </w:rPr>
        <w:t>przy</w:t>
      </w:r>
      <w:r>
        <w:rPr>
          <w:spacing w:val="-6"/>
        </w:rPr>
        <w:t xml:space="preserve"> </w:t>
      </w:r>
      <w:r>
        <w:rPr>
          <w:spacing w:val="-1"/>
        </w:rPr>
        <w:t>zlecaniu</w:t>
      </w:r>
      <w:r>
        <w:rPr>
          <w:spacing w:val="-2"/>
        </w:rPr>
        <w:t xml:space="preserve"> </w:t>
      </w:r>
      <w:r>
        <w:t>i</w:t>
      </w:r>
      <w:r>
        <w:rPr>
          <w:spacing w:val="-7"/>
        </w:rPr>
        <w:t xml:space="preserve"> </w:t>
      </w:r>
      <w:r>
        <w:rPr>
          <w:spacing w:val="-1"/>
        </w:rPr>
        <w:t>realizacji</w:t>
      </w:r>
      <w:r>
        <w:rPr>
          <w:spacing w:val="-5"/>
        </w:rPr>
        <w:t xml:space="preserve"> </w:t>
      </w:r>
      <w:r>
        <w:t>robót</w:t>
      </w:r>
      <w:r>
        <w:rPr>
          <w:spacing w:val="-6"/>
        </w:rPr>
        <w:t xml:space="preserve"> </w:t>
      </w:r>
      <w:r>
        <w:t>na</w:t>
      </w:r>
      <w:r>
        <w:rPr>
          <w:spacing w:val="-6"/>
        </w:rPr>
        <w:t xml:space="preserve"> </w:t>
      </w:r>
      <w:r>
        <w:rPr>
          <w:spacing w:val="-1"/>
        </w:rPr>
        <w:t>drogach</w:t>
      </w:r>
      <w:r>
        <w:rPr>
          <w:spacing w:val="-5"/>
        </w:rPr>
        <w:t xml:space="preserve"> </w:t>
      </w:r>
      <w:r>
        <w:rPr>
          <w:spacing w:val="-1"/>
        </w:rPr>
        <w:t>powiatowych.</w:t>
      </w:r>
    </w:p>
    <w:p w:rsidR="002122BD" w:rsidRDefault="002122BD" w:rsidP="002122BD">
      <w:pPr>
        <w:spacing w:before="10"/>
      </w:pPr>
    </w:p>
    <w:p w:rsidR="002122BD" w:rsidRDefault="002122BD" w:rsidP="002122BD">
      <w:pPr>
        <w:pStyle w:val="Nagwek3"/>
        <w:keepNext w:val="0"/>
        <w:widowControl w:val="0"/>
        <w:numPr>
          <w:ilvl w:val="1"/>
          <w:numId w:val="88"/>
        </w:numPr>
        <w:tabs>
          <w:tab w:val="left" w:pos="520"/>
        </w:tabs>
        <w:spacing w:before="0" w:after="0"/>
        <w:rPr>
          <w:b/>
          <w:bCs/>
        </w:rPr>
      </w:pPr>
      <w:bookmarkStart w:id="456" w:name="1.3._Zakres_robót_objętych_SST"/>
      <w:bookmarkEnd w:id="456"/>
      <w:r>
        <w:rPr>
          <w:spacing w:val="-1"/>
        </w:rPr>
        <w:t>Zakres</w:t>
      </w:r>
      <w:r>
        <w:rPr>
          <w:spacing w:val="-2"/>
        </w:rPr>
        <w:t xml:space="preserve"> </w:t>
      </w:r>
      <w:r>
        <w:rPr>
          <w:spacing w:val="-1"/>
        </w:rPr>
        <w:t>robót</w:t>
      </w:r>
      <w:r>
        <w:rPr>
          <w:spacing w:val="-3"/>
        </w:rPr>
        <w:t xml:space="preserve"> </w:t>
      </w:r>
      <w:r>
        <w:rPr>
          <w:spacing w:val="-1"/>
        </w:rPr>
        <w:t>objętych</w:t>
      </w:r>
      <w:r>
        <w:rPr>
          <w:spacing w:val="-3"/>
        </w:rPr>
        <w:t xml:space="preserve"> </w:t>
      </w:r>
      <w:r>
        <w:t>SST</w:t>
      </w:r>
    </w:p>
    <w:p w:rsidR="002122BD" w:rsidRDefault="002122BD" w:rsidP="002122BD">
      <w:pPr>
        <w:pStyle w:val="Tekstpodstawowy"/>
        <w:spacing w:before="60"/>
        <w:ind w:right="110"/>
        <w:jc w:val="both"/>
      </w:pPr>
      <w:r>
        <w:rPr>
          <w:spacing w:val="-1"/>
        </w:rPr>
        <w:t>Ustalenia</w:t>
      </w:r>
      <w:r>
        <w:rPr>
          <w:spacing w:val="17"/>
        </w:rPr>
        <w:t xml:space="preserve"> </w:t>
      </w:r>
      <w:r>
        <w:rPr>
          <w:spacing w:val="-1"/>
        </w:rPr>
        <w:t>zawarte</w:t>
      </w:r>
      <w:r>
        <w:rPr>
          <w:spacing w:val="17"/>
        </w:rPr>
        <w:t xml:space="preserve"> </w:t>
      </w:r>
      <w:r>
        <w:t>w</w:t>
      </w:r>
      <w:r>
        <w:rPr>
          <w:spacing w:val="16"/>
        </w:rPr>
        <w:t xml:space="preserve"> </w:t>
      </w:r>
      <w:r>
        <w:rPr>
          <w:spacing w:val="-1"/>
        </w:rPr>
        <w:t>niniejszej</w:t>
      </w:r>
      <w:r>
        <w:rPr>
          <w:spacing w:val="16"/>
        </w:rPr>
        <w:t xml:space="preserve"> </w:t>
      </w:r>
      <w:r>
        <w:rPr>
          <w:spacing w:val="-1"/>
        </w:rPr>
        <w:t>specyfikacji</w:t>
      </w:r>
      <w:r>
        <w:rPr>
          <w:spacing w:val="16"/>
        </w:rPr>
        <w:t xml:space="preserve"> </w:t>
      </w:r>
      <w:r>
        <w:rPr>
          <w:spacing w:val="-1"/>
        </w:rPr>
        <w:t>dotyczą</w:t>
      </w:r>
      <w:r>
        <w:rPr>
          <w:spacing w:val="20"/>
        </w:rPr>
        <w:t xml:space="preserve"> </w:t>
      </w:r>
      <w:r>
        <w:rPr>
          <w:spacing w:val="-1"/>
        </w:rPr>
        <w:t>zasad</w:t>
      </w:r>
      <w:r>
        <w:rPr>
          <w:spacing w:val="16"/>
        </w:rPr>
        <w:t xml:space="preserve"> </w:t>
      </w:r>
      <w:r>
        <w:rPr>
          <w:spacing w:val="-1"/>
        </w:rPr>
        <w:t>prowadzenia</w:t>
      </w:r>
      <w:r>
        <w:rPr>
          <w:spacing w:val="17"/>
        </w:rPr>
        <w:t xml:space="preserve"> </w:t>
      </w:r>
      <w:r>
        <w:t>robót</w:t>
      </w:r>
      <w:r>
        <w:rPr>
          <w:spacing w:val="57"/>
          <w:w w:val="99"/>
        </w:rPr>
        <w:t xml:space="preserve"> </w:t>
      </w:r>
      <w:r>
        <w:rPr>
          <w:spacing w:val="-1"/>
        </w:rPr>
        <w:t>związanych</w:t>
      </w:r>
      <w:r>
        <w:rPr>
          <w:spacing w:val="51"/>
        </w:rPr>
        <w:t xml:space="preserve"> </w:t>
      </w:r>
      <w:r>
        <w:t>z</w:t>
      </w:r>
      <w:r>
        <w:rPr>
          <w:spacing w:val="45"/>
        </w:rPr>
        <w:t xml:space="preserve"> </w:t>
      </w:r>
      <w:r>
        <w:rPr>
          <w:spacing w:val="-1"/>
        </w:rPr>
        <w:t>regulacją</w:t>
      </w:r>
      <w:r>
        <w:rPr>
          <w:spacing w:val="48"/>
        </w:rPr>
        <w:t xml:space="preserve"> </w:t>
      </w:r>
      <w:r>
        <w:rPr>
          <w:spacing w:val="-1"/>
        </w:rPr>
        <w:t>pionową</w:t>
      </w:r>
      <w:r>
        <w:rPr>
          <w:spacing w:val="47"/>
        </w:rPr>
        <w:t xml:space="preserve"> </w:t>
      </w:r>
      <w:r>
        <w:rPr>
          <w:spacing w:val="-1"/>
        </w:rPr>
        <w:t>studni</w:t>
      </w:r>
      <w:r>
        <w:rPr>
          <w:spacing w:val="45"/>
        </w:rPr>
        <w:t xml:space="preserve"> </w:t>
      </w:r>
      <w:r>
        <w:rPr>
          <w:spacing w:val="-1"/>
        </w:rPr>
        <w:t>kanalizacyjnych</w:t>
      </w:r>
      <w:r>
        <w:rPr>
          <w:spacing w:val="52"/>
        </w:rPr>
        <w:t xml:space="preserve"> </w:t>
      </w:r>
      <w:r>
        <w:rPr>
          <w:spacing w:val="-1"/>
        </w:rPr>
        <w:t>urządzeń</w:t>
      </w:r>
      <w:r>
        <w:rPr>
          <w:spacing w:val="48"/>
        </w:rPr>
        <w:t xml:space="preserve"> </w:t>
      </w:r>
      <w:r>
        <w:rPr>
          <w:spacing w:val="-1"/>
        </w:rPr>
        <w:t>podziemnych,</w:t>
      </w:r>
      <w:r>
        <w:rPr>
          <w:spacing w:val="57"/>
        </w:rPr>
        <w:t xml:space="preserve"> </w:t>
      </w:r>
      <w:r>
        <w:rPr>
          <w:spacing w:val="-1"/>
        </w:rPr>
        <w:t>zaworów</w:t>
      </w:r>
      <w:r>
        <w:rPr>
          <w:spacing w:val="-5"/>
        </w:rPr>
        <w:t xml:space="preserve"> </w:t>
      </w:r>
      <w:r>
        <w:rPr>
          <w:spacing w:val="-1"/>
        </w:rPr>
        <w:t>wodociągowych</w:t>
      </w:r>
      <w:r>
        <w:t xml:space="preserve"> i</w:t>
      </w:r>
      <w:r>
        <w:rPr>
          <w:spacing w:val="-6"/>
        </w:rPr>
        <w:t xml:space="preserve"> </w:t>
      </w:r>
      <w:r>
        <w:rPr>
          <w:spacing w:val="-1"/>
        </w:rPr>
        <w:t>gazowych.</w:t>
      </w:r>
    </w:p>
    <w:p w:rsidR="002122BD" w:rsidRDefault="002122BD" w:rsidP="002122BD">
      <w:pPr>
        <w:pStyle w:val="Tekstpodstawowy"/>
        <w:jc w:val="both"/>
      </w:pPr>
      <w:r>
        <w:rPr>
          <w:spacing w:val="-1"/>
        </w:rPr>
        <w:t>Rodzaj</w:t>
      </w:r>
      <w:r>
        <w:rPr>
          <w:spacing w:val="-6"/>
        </w:rPr>
        <w:t xml:space="preserve"> </w:t>
      </w:r>
      <w:r>
        <w:t>robót</w:t>
      </w:r>
      <w:r>
        <w:rPr>
          <w:spacing w:val="-7"/>
        </w:rPr>
        <w:t xml:space="preserve"> </w:t>
      </w:r>
      <w:r>
        <w:t>:</w:t>
      </w:r>
    </w:p>
    <w:p w:rsidR="002122BD" w:rsidRDefault="002122BD" w:rsidP="002122BD">
      <w:pPr>
        <w:pStyle w:val="Tekstpodstawowy"/>
        <w:widowControl w:val="0"/>
        <w:numPr>
          <w:ilvl w:val="2"/>
          <w:numId w:val="88"/>
        </w:numPr>
        <w:tabs>
          <w:tab w:val="left" w:pos="840"/>
        </w:tabs>
        <w:spacing w:after="0"/>
        <w:ind w:hanging="199"/>
        <w:jc w:val="both"/>
      </w:pPr>
      <w:r>
        <w:rPr>
          <w:spacing w:val="-1"/>
        </w:rPr>
        <w:t>regulacja</w:t>
      </w:r>
      <w:r>
        <w:rPr>
          <w:spacing w:val="-9"/>
        </w:rPr>
        <w:t xml:space="preserve"> </w:t>
      </w:r>
      <w:r>
        <w:rPr>
          <w:spacing w:val="-1"/>
        </w:rPr>
        <w:t>włazów</w:t>
      </w:r>
      <w:r>
        <w:rPr>
          <w:spacing w:val="-10"/>
        </w:rPr>
        <w:t xml:space="preserve"> </w:t>
      </w:r>
      <w:r>
        <w:rPr>
          <w:spacing w:val="-1"/>
        </w:rPr>
        <w:t>kanałowych;</w:t>
      </w:r>
    </w:p>
    <w:p w:rsidR="002122BD" w:rsidRDefault="002122BD" w:rsidP="002122BD">
      <w:pPr>
        <w:pStyle w:val="Tekstpodstawowy"/>
        <w:widowControl w:val="0"/>
        <w:numPr>
          <w:ilvl w:val="2"/>
          <w:numId w:val="88"/>
        </w:numPr>
        <w:tabs>
          <w:tab w:val="left" w:pos="840"/>
        </w:tabs>
        <w:spacing w:after="0"/>
        <w:ind w:hanging="199"/>
        <w:jc w:val="both"/>
      </w:pPr>
      <w:r>
        <w:rPr>
          <w:spacing w:val="-1"/>
        </w:rPr>
        <w:t>regulacja</w:t>
      </w:r>
      <w:r>
        <w:rPr>
          <w:spacing w:val="-9"/>
        </w:rPr>
        <w:t xml:space="preserve"> </w:t>
      </w:r>
      <w:r>
        <w:rPr>
          <w:spacing w:val="-1"/>
        </w:rPr>
        <w:t>zaworów</w:t>
      </w:r>
      <w:r>
        <w:rPr>
          <w:spacing w:val="-9"/>
        </w:rPr>
        <w:t xml:space="preserve"> </w:t>
      </w:r>
      <w:r>
        <w:rPr>
          <w:spacing w:val="-1"/>
        </w:rPr>
        <w:t>wodociągowych.</w:t>
      </w:r>
    </w:p>
    <w:p w:rsidR="002122BD" w:rsidRDefault="002122BD" w:rsidP="002122BD">
      <w:pPr>
        <w:spacing w:before="10"/>
      </w:pPr>
    </w:p>
    <w:p w:rsidR="002122BD" w:rsidRDefault="002122BD" w:rsidP="002122BD">
      <w:pPr>
        <w:pStyle w:val="Nagwek3"/>
        <w:keepNext w:val="0"/>
        <w:widowControl w:val="0"/>
        <w:numPr>
          <w:ilvl w:val="1"/>
          <w:numId w:val="88"/>
        </w:numPr>
        <w:tabs>
          <w:tab w:val="left" w:pos="520"/>
        </w:tabs>
        <w:spacing w:before="0" w:after="0"/>
        <w:rPr>
          <w:b/>
          <w:bCs/>
        </w:rPr>
      </w:pPr>
      <w:bookmarkStart w:id="457" w:name="1.4._Określenia_podstawowe"/>
      <w:bookmarkEnd w:id="457"/>
      <w:r>
        <w:rPr>
          <w:spacing w:val="-1"/>
        </w:rPr>
        <w:t>Określenia</w:t>
      </w:r>
      <w:r>
        <w:rPr>
          <w:spacing w:val="-7"/>
        </w:rPr>
        <w:t xml:space="preserve"> </w:t>
      </w:r>
      <w:r>
        <w:t>podstawowe</w:t>
      </w:r>
    </w:p>
    <w:p w:rsidR="002122BD" w:rsidRDefault="002122BD" w:rsidP="002122BD">
      <w:pPr>
        <w:pStyle w:val="Tekstpodstawowy"/>
        <w:widowControl w:val="0"/>
        <w:numPr>
          <w:ilvl w:val="2"/>
          <w:numId w:val="87"/>
        </w:numPr>
        <w:tabs>
          <w:tab w:val="left" w:pos="640"/>
        </w:tabs>
        <w:spacing w:before="60" w:after="0"/>
        <w:ind w:right="298"/>
      </w:pPr>
      <w:r>
        <w:rPr>
          <w:spacing w:val="-1"/>
        </w:rPr>
        <w:t>Studzienka</w:t>
      </w:r>
      <w:r>
        <w:rPr>
          <w:spacing w:val="-7"/>
        </w:rPr>
        <w:t xml:space="preserve"> </w:t>
      </w:r>
      <w:r>
        <w:rPr>
          <w:spacing w:val="-1"/>
        </w:rPr>
        <w:t>kanalizacyjna</w:t>
      </w:r>
      <w:r>
        <w:rPr>
          <w:spacing w:val="-6"/>
        </w:rPr>
        <w:t xml:space="preserve"> </w:t>
      </w:r>
      <w:r>
        <w:t>–</w:t>
      </w:r>
      <w:r>
        <w:rPr>
          <w:spacing w:val="-7"/>
        </w:rPr>
        <w:t xml:space="preserve"> </w:t>
      </w:r>
      <w:r>
        <w:rPr>
          <w:spacing w:val="-1"/>
        </w:rPr>
        <w:t>urządzenie</w:t>
      </w:r>
      <w:r>
        <w:rPr>
          <w:spacing w:val="-5"/>
        </w:rPr>
        <w:t xml:space="preserve"> </w:t>
      </w:r>
      <w:r>
        <w:rPr>
          <w:spacing w:val="-1"/>
        </w:rPr>
        <w:t>połączone</w:t>
      </w:r>
      <w:r>
        <w:rPr>
          <w:spacing w:val="-7"/>
        </w:rPr>
        <w:t xml:space="preserve"> </w:t>
      </w:r>
      <w:r>
        <w:t>z</w:t>
      </w:r>
      <w:r>
        <w:rPr>
          <w:spacing w:val="-9"/>
        </w:rPr>
        <w:t xml:space="preserve"> </w:t>
      </w:r>
      <w:r>
        <w:rPr>
          <w:spacing w:val="-1"/>
        </w:rPr>
        <w:t>kanałem,</w:t>
      </w:r>
      <w:r>
        <w:rPr>
          <w:spacing w:val="-5"/>
        </w:rPr>
        <w:t xml:space="preserve"> </w:t>
      </w:r>
      <w:r>
        <w:rPr>
          <w:spacing w:val="-1"/>
        </w:rPr>
        <w:t>przeznaczone</w:t>
      </w:r>
      <w:r>
        <w:rPr>
          <w:spacing w:val="-7"/>
        </w:rPr>
        <w:t xml:space="preserve"> </w:t>
      </w:r>
      <w:r>
        <w:t>do</w:t>
      </w:r>
      <w:r>
        <w:rPr>
          <w:spacing w:val="-8"/>
        </w:rPr>
        <w:t xml:space="preserve"> </w:t>
      </w:r>
      <w:r>
        <w:rPr>
          <w:spacing w:val="-1"/>
        </w:rPr>
        <w:t>kontroli</w:t>
      </w:r>
      <w:r>
        <w:rPr>
          <w:spacing w:val="77"/>
          <w:w w:val="99"/>
        </w:rPr>
        <w:t xml:space="preserve"> </w:t>
      </w:r>
      <w:r>
        <w:rPr>
          <w:spacing w:val="-1"/>
        </w:rPr>
        <w:t>lub</w:t>
      </w:r>
      <w:r>
        <w:rPr>
          <w:spacing w:val="-5"/>
        </w:rPr>
        <w:t xml:space="preserve"> </w:t>
      </w:r>
      <w:r>
        <w:rPr>
          <w:spacing w:val="-1"/>
        </w:rPr>
        <w:t>prawidłowej</w:t>
      </w:r>
      <w:r>
        <w:rPr>
          <w:spacing w:val="-5"/>
        </w:rPr>
        <w:t xml:space="preserve"> </w:t>
      </w:r>
      <w:r>
        <w:rPr>
          <w:spacing w:val="-1"/>
        </w:rPr>
        <w:t>eksploatacji</w:t>
      </w:r>
      <w:r>
        <w:rPr>
          <w:spacing w:val="-4"/>
        </w:rPr>
        <w:t xml:space="preserve"> </w:t>
      </w:r>
      <w:r>
        <w:rPr>
          <w:spacing w:val="-1"/>
        </w:rPr>
        <w:t>kanału</w:t>
      </w:r>
      <w:r>
        <w:rPr>
          <w:spacing w:val="-5"/>
        </w:rPr>
        <w:t xml:space="preserve"> </w:t>
      </w:r>
      <w:r>
        <w:t>.</w:t>
      </w:r>
    </w:p>
    <w:p w:rsidR="002122BD" w:rsidRDefault="002122BD" w:rsidP="002122BD">
      <w:pPr>
        <w:pStyle w:val="Tekstpodstawowy"/>
        <w:widowControl w:val="0"/>
        <w:numPr>
          <w:ilvl w:val="2"/>
          <w:numId w:val="87"/>
        </w:numPr>
        <w:tabs>
          <w:tab w:val="left" w:pos="640"/>
        </w:tabs>
        <w:spacing w:after="0"/>
        <w:ind w:right="298"/>
      </w:pPr>
      <w:r>
        <w:rPr>
          <w:spacing w:val="-1"/>
        </w:rPr>
        <w:t>Studzienka</w:t>
      </w:r>
      <w:r>
        <w:rPr>
          <w:spacing w:val="-5"/>
        </w:rPr>
        <w:t xml:space="preserve"> </w:t>
      </w:r>
      <w:r>
        <w:rPr>
          <w:spacing w:val="-1"/>
        </w:rPr>
        <w:t>rewizyjna</w:t>
      </w:r>
      <w:r>
        <w:rPr>
          <w:spacing w:val="-2"/>
        </w:rPr>
        <w:t xml:space="preserve"> </w:t>
      </w:r>
      <w:r>
        <w:t>(</w:t>
      </w:r>
      <w:r>
        <w:rPr>
          <w:spacing w:val="-6"/>
        </w:rPr>
        <w:t xml:space="preserve"> </w:t>
      </w:r>
      <w:r>
        <w:rPr>
          <w:spacing w:val="-1"/>
        </w:rPr>
        <w:t>kontrolna</w:t>
      </w:r>
      <w:r>
        <w:rPr>
          <w:spacing w:val="-6"/>
        </w:rPr>
        <w:t xml:space="preserve"> </w:t>
      </w:r>
      <w:r>
        <w:t>)</w:t>
      </w:r>
      <w:r>
        <w:rPr>
          <w:spacing w:val="-5"/>
        </w:rPr>
        <w:t xml:space="preserve"> </w:t>
      </w:r>
      <w:r>
        <w:t>–</w:t>
      </w:r>
      <w:r>
        <w:rPr>
          <w:spacing w:val="-6"/>
        </w:rPr>
        <w:t xml:space="preserve"> </w:t>
      </w:r>
      <w:r>
        <w:rPr>
          <w:spacing w:val="-1"/>
        </w:rPr>
        <w:t>urządzenie</w:t>
      </w:r>
      <w:r>
        <w:rPr>
          <w:spacing w:val="-4"/>
        </w:rPr>
        <w:t xml:space="preserve"> </w:t>
      </w:r>
      <w:r>
        <w:t>do</w:t>
      </w:r>
      <w:r>
        <w:rPr>
          <w:spacing w:val="-5"/>
        </w:rPr>
        <w:t xml:space="preserve"> </w:t>
      </w:r>
      <w:r>
        <w:rPr>
          <w:spacing w:val="-1"/>
        </w:rPr>
        <w:t>kontroli</w:t>
      </w:r>
      <w:r>
        <w:rPr>
          <w:spacing w:val="-5"/>
        </w:rPr>
        <w:t xml:space="preserve"> </w:t>
      </w:r>
      <w:r>
        <w:rPr>
          <w:spacing w:val="-1"/>
        </w:rPr>
        <w:t>kanałów</w:t>
      </w:r>
      <w:r>
        <w:rPr>
          <w:spacing w:val="-3"/>
        </w:rPr>
        <w:t xml:space="preserve"> </w:t>
      </w:r>
      <w:proofErr w:type="spellStart"/>
      <w:r>
        <w:rPr>
          <w:spacing w:val="-1"/>
        </w:rPr>
        <w:t>nieprzełazowych</w:t>
      </w:r>
      <w:proofErr w:type="spellEnd"/>
      <w:r>
        <w:rPr>
          <w:spacing w:val="-3"/>
        </w:rPr>
        <w:t xml:space="preserve"> </w:t>
      </w:r>
      <w:r>
        <w:t>,</w:t>
      </w:r>
      <w:r>
        <w:rPr>
          <w:spacing w:val="81"/>
        </w:rPr>
        <w:t xml:space="preserve"> </w:t>
      </w:r>
      <w:r>
        <w:rPr>
          <w:spacing w:val="-1"/>
        </w:rPr>
        <w:t>ich</w:t>
      </w:r>
      <w:r>
        <w:rPr>
          <w:spacing w:val="-4"/>
        </w:rPr>
        <w:t xml:space="preserve"> </w:t>
      </w:r>
      <w:r>
        <w:rPr>
          <w:spacing w:val="-1"/>
        </w:rPr>
        <w:t>konserwacji</w:t>
      </w:r>
      <w:r>
        <w:rPr>
          <w:spacing w:val="-4"/>
        </w:rPr>
        <w:t xml:space="preserve"> </w:t>
      </w:r>
      <w:r>
        <w:t>i</w:t>
      </w:r>
      <w:r>
        <w:rPr>
          <w:spacing w:val="-6"/>
        </w:rPr>
        <w:t xml:space="preserve"> </w:t>
      </w:r>
      <w:r>
        <w:rPr>
          <w:spacing w:val="-1"/>
        </w:rPr>
        <w:t>przewietrzania</w:t>
      </w:r>
      <w:r>
        <w:rPr>
          <w:spacing w:val="-4"/>
        </w:rPr>
        <w:t xml:space="preserve"> </w:t>
      </w:r>
      <w:r>
        <w:t>.</w:t>
      </w:r>
    </w:p>
    <w:p w:rsidR="002122BD" w:rsidRDefault="002122BD" w:rsidP="002122BD">
      <w:pPr>
        <w:pStyle w:val="Tekstpodstawowy"/>
        <w:widowControl w:val="0"/>
        <w:numPr>
          <w:ilvl w:val="2"/>
          <w:numId w:val="87"/>
        </w:numPr>
        <w:tabs>
          <w:tab w:val="left" w:pos="640"/>
        </w:tabs>
        <w:spacing w:after="0"/>
        <w:ind w:right="298"/>
      </w:pPr>
      <w:r>
        <w:rPr>
          <w:spacing w:val="-1"/>
        </w:rPr>
        <w:t>Wpust</w:t>
      </w:r>
      <w:r>
        <w:rPr>
          <w:spacing w:val="-3"/>
        </w:rPr>
        <w:t xml:space="preserve"> </w:t>
      </w:r>
      <w:r>
        <w:rPr>
          <w:spacing w:val="-1"/>
        </w:rPr>
        <w:t>uliczny</w:t>
      </w:r>
      <w:r>
        <w:rPr>
          <w:spacing w:val="-3"/>
        </w:rPr>
        <w:t xml:space="preserve"> </w:t>
      </w:r>
      <w:r>
        <w:t>(</w:t>
      </w:r>
      <w:r>
        <w:rPr>
          <w:spacing w:val="-3"/>
        </w:rPr>
        <w:t xml:space="preserve"> </w:t>
      </w:r>
      <w:r>
        <w:rPr>
          <w:spacing w:val="-1"/>
        </w:rPr>
        <w:t>wpust</w:t>
      </w:r>
      <w:r>
        <w:rPr>
          <w:spacing w:val="-5"/>
        </w:rPr>
        <w:t xml:space="preserve"> </w:t>
      </w:r>
      <w:r>
        <w:rPr>
          <w:spacing w:val="-1"/>
        </w:rPr>
        <w:t>ściekowy</w:t>
      </w:r>
      <w:r>
        <w:rPr>
          <w:spacing w:val="-3"/>
        </w:rPr>
        <w:t xml:space="preserve"> </w:t>
      </w:r>
      <w:r>
        <w:t>,</w:t>
      </w:r>
      <w:r>
        <w:rPr>
          <w:spacing w:val="-3"/>
        </w:rPr>
        <w:t xml:space="preserve"> </w:t>
      </w:r>
      <w:r>
        <w:rPr>
          <w:spacing w:val="-1"/>
        </w:rPr>
        <w:t>studzienka</w:t>
      </w:r>
      <w:r>
        <w:rPr>
          <w:spacing w:val="-3"/>
        </w:rPr>
        <w:t xml:space="preserve"> </w:t>
      </w:r>
      <w:r>
        <w:rPr>
          <w:spacing w:val="-1"/>
        </w:rPr>
        <w:t>ściekowa</w:t>
      </w:r>
      <w:r>
        <w:rPr>
          <w:spacing w:val="-4"/>
        </w:rPr>
        <w:t xml:space="preserve"> </w:t>
      </w:r>
      <w:r>
        <w:t>)</w:t>
      </w:r>
      <w:r>
        <w:rPr>
          <w:spacing w:val="-3"/>
        </w:rPr>
        <w:t xml:space="preserve"> </w:t>
      </w:r>
      <w:r>
        <w:t>–</w:t>
      </w:r>
      <w:r>
        <w:rPr>
          <w:spacing w:val="-4"/>
        </w:rPr>
        <w:t xml:space="preserve"> </w:t>
      </w:r>
      <w:r>
        <w:rPr>
          <w:spacing w:val="-1"/>
        </w:rPr>
        <w:t>urządzenie</w:t>
      </w:r>
      <w:r>
        <w:t xml:space="preserve"> do</w:t>
      </w:r>
      <w:r>
        <w:rPr>
          <w:spacing w:val="-3"/>
        </w:rPr>
        <w:t xml:space="preserve"> </w:t>
      </w:r>
      <w:r>
        <w:rPr>
          <w:spacing w:val="-1"/>
        </w:rPr>
        <w:t>przejęcia wód</w:t>
      </w:r>
      <w:r>
        <w:rPr>
          <w:spacing w:val="77"/>
        </w:rPr>
        <w:t xml:space="preserve"> </w:t>
      </w:r>
      <w:r>
        <w:rPr>
          <w:spacing w:val="-1"/>
        </w:rPr>
        <w:t>opadowych</w:t>
      </w:r>
      <w:r>
        <w:rPr>
          <w:spacing w:val="-5"/>
        </w:rPr>
        <w:t xml:space="preserve"> </w:t>
      </w:r>
      <w:r>
        <w:t>z</w:t>
      </w:r>
      <w:r>
        <w:rPr>
          <w:spacing w:val="-4"/>
        </w:rPr>
        <w:t xml:space="preserve"> </w:t>
      </w:r>
      <w:r>
        <w:rPr>
          <w:spacing w:val="-1"/>
        </w:rPr>
        <w:t>powierzchni</w:t>
      </w:r>
      <w:r>
        <w:rPr>
          <w:spacing w:val="-3"/>
        </w:rPr>
        <w:t xml:space="preserve"> </w:t>
      </w:r>
      <w:r>
        <w:t>i</w:t>
      </w:r>
      <w:r>
        <w:rPr>
          <w:spacing w:val="-6"/>
        </w:rPr>
        <w:t xml:space="preserve"> </w:t>
      </w:r>
      <w:r>
        <w:rPr>
          <w:spacing w:val="-1"/>
        </w:rPr>
        <w:t>odprowadzenia</w:t>
      </w:r>
      <w:r>
        <w:rPr>
          <w:spacing w:val="-4"/>
        </w:rPr>
        <w:t xml:space="preserve"> </w:t>
      </w:r>
      <w:r>
        <w:rPr>
          <w:spacing w:val="-1"/>
        </w:rPr>
        <w:t>poprzez</w:t>
      </w:r>
      <w:r>
        <w:rPr>
          <w:spacing w:val="-5"/>
        </w:rPr>
        <w:t xml:space="preserve"> </w:t>
      </w:r>
      <w:proofErr w:type="spellStart"/>
      <w:r>
        <w:rPr>
          <w:spacing w:val="-1"/>
        </w:rPr>
        <w:t>przykanalik</w:t>
      </w:r>
      <w:proofErr w:type="spellEnd"/>
      <w:r>
        <w:rPr>
          <w:spacing w:val="51"/>
        </w:rPr>
        <w:t xml:space="preserve"> </w:t>
      </w:r>
      <w:r>
        <w:t>do</w:t>
      </w:r>
      <w:r>
        <w:rPr>
          <w:spacing w:val="-6"/>
        </w:rPr>
        <w:t xml:space="preserve"> </w:t>
      </w:r>
      <w:r>
        <w:rPr>
          <w:spacing w:val="-1"/>
        </w:rPr>
        <w:t>kanalizacji</w:t>
      </w:r>
      <w:r>
        <w:rPr>
          <w:spacing w:val="73"/>
          <w:w w:val="99"/>
        </w:rPr>
        <w:t xml:space="preserve"> </w:t>
      </w:r>
      <w:r>
        <w:rPr>
          <w:spacing w:val="-1"/>
        </w:rPr>
        <w:t>deszczowej</w:t>
      </w:r>
      <w:r>
        <w:rPr>
          <w:spacing w:val="-5"/>
        </w:rPr>
        <w:t xml:space="preserve"> </w:t>
      </w:r>
      <w:r>
        <w:rPr>
          <w:spacing w:val="-1"/>
        </w:rPr>
        <w:t>lub</w:t>
      </w:r>
      <w:r>
        <w:rPr>
          <w:spacing w:val="-5"/>
        </w:rPr>
        <w:t xml:space="preserve"> </w:t>
      </w:r>
      <w:r>
        <w:rPr>
          <w:spacing w:val="-1"/>
        </w:rPr>
        <w:t>ogólnospławnej</w:t>
      </w:r>
      <w:r>
        <w:rPr>
          <w:spacing w:val="-5"/>
        </w:rPr>
        <w:t xml:space="preserve"> </w:t>
      </w:r>
      <w:r>
        <w:t>.</w:t>
      </w:r>
    </w:p>
    <w:p w:rsidR="002122BD" w:rsidRDefault="002122BD" w:rsidP="002122BD">
      <w:pPr>
        <w:pStyle w:val="Tekstpodstawowy"/>
        <w:widowControl w:val="0"/>
        <w:numPr>
          <w:ilvl w:val="2"/>
          <w:numId w:val="87"/>
        </w:numPr>
        <w:tabs>
          <w:tab w:val="left" w:pos="640"/>
        </w:tabs>
        <w:spacing w:after="0"/>
        <w:ind w:right="1124"/>
      </w:pPr>
      <w:r>
        <w:rPr>
          <w:spacing w:val="-1"/>
        </w:rPr>
        <w:t>Właz</w:t>
      </w:r>
      <w:r>
        <w:rPr>
          <w:spacing w:val="-6"/>
        </w:rPr>
        <w:t xml:space="preserve"> </w:t>
      </w:r>
      <w:r>
        <w:rPr>
          <w:spacing w:val="-1"/>
        </w:rPr>
        <w:t>studzienki</w:t>
      </w:r>
      <w:r>
        <w:rPr>
          <w:spacing w:val="-3"/>
        </w:rPr>
        <w:t xml:space="preserve"> </w:t>
      </w:r>
      <w:r>
        <w:t>–</w:t>
      </w:r>
      <w:r>
        <w:rPr>
          <w:spacing w:val="-6"/>
        </w:rPr>
        <w:t xml:space="preserve"> </w:t>
      </w:r>
      <w:r>
        <w:rPr>
          <w:spacing w:val="-1"/>
        </w:rPr>
        <w:t>element</w:t>
      </w:r>
      <w:r>
        <w:rPr>
          <w:spacing w:val="-5"/>
        </w:rPr>
        <w:t xml:space="preserve"> </w:t>
      </w:r>
      <w:r>
        <w:rPr>
          <w:spacing w:val="-1"/>
        </w:rPr>
        <w:t>żeliwny</w:t>
      </w:r>
      <w:r>
        <w:rPr>
          <w:spacing w:val="-6"/>
        </w:rPr>
        <w:t xml:space="preserve"> </w:t>
      </w:r>
      <w:r>
        <w:rPr>
          <w:spacing w:val="-1"/>
        </w:rPr>
        <w:t>przeznaczony</w:t>
      </w:r>
      <w:r>
        <w:rPr>
          <w:spacing w:val="-5"/>
        </w:rPr>
        <w:t xml:space="preserve"> </w:t>
      </w:r>
      <w:r>
        <w:t>do</w:t>
      </w:r>
      <w:r>
        <w:rPr>
          <w:spacing w:val="-6"/>
        </w:rPr>
        <w:t xml:space="preserve"> </w:t>
      </w:r>
      <w:r>
        <w:rPr>
          <w:spacing w:val="-1"/>
        </w:rPr>
        <w:t>przykrycia podziemnych</w:t>
      </w:r>
      <w:r>
        <w:rPr>
          <w:spacing w:val="43"/>
        </w:rPr>
        <w:t xml:space="preserve"> </w:t>
      </w:r>
      <w:r>
        <w:rPr>
          <w:spacing w:val="-1"/>
        </w:rPr>
        <w:t>studzienek</w:t>
      </w:r>
      <w:r>
        <w:rPr>
          <w:spacing w:val="-5"/>
        </w:rPr>
        <w:t xml:space="preserve"> </w:t>
      </w:r>
      <w:r>
        <w:rPr>
          <w:spacing w:val="-1"/>
        </w:rPr>
        <w:t>rewizyjnych</w:t>
      </w:r>
      <w:r>
        <w:rPr>
          <w:spacing w:val="-2"/>
        </w:rPr>
        <w:t xml:space="preserve"> </w:t>
      </w:r>
      <w:r>
        <w:t>,</w:t>
      </w:r>
      <w:r>
        <w:rPr>
          <w:spacing w:val="-6"/>
        </w:rPr>
        <w:t xml:space="preserve"> </w:t>
      </w:r>
      <w:r>
        <w:rPr>
          <w:spacing w:val="-1"/>
        </w:rPr>
        <w:t>umożliwiający</w:t>
      </w:r>
      <w:r>
        <w:rPr>
          <w:spacing w:val="-4"/>
        </w:rPr>
        <w:t xml:space="preserve"> </w:t>
      </w:r>
      <w:r>
        <w:rPr>
          <w:spacing w:val="-1"/>
        </w:rPr>
        <w:t>dostęp</w:t>
      </w:r>
      <w:r>
        <w:rPr>
          <w:spacing w:val="-5"/>
        </w:rPr>
        <w:t xml:space="preserve"> </w:t>
      </w:r>
      <w:r>
        <w:t>do</w:t>
      </w:r>
      <w:r>
        <w:rPr>
          <w:spacing w:val="-5"/>
        </w:rPr>
        <w:t xml:space="preserve"> </w:t>
      </w:r>
      <w:r>
        <w:rPr>
          <w:spacing w:val="-1"/>
        </w:rPr>
        <w:t>urządzeń</w:t>
      </w:r>
      <w:r>
        <w:rPr>
          <w:spacing w:val="-4"/>
        </w:rPr>
        <w:t xml:space="preserve"> </w:t>
      </w:r>
      <w:r>
        <w:rPr>
          <w:spacing w:val="-1"/>
        </w:rPr>
        <w:t xml:space="preserve">kanalizacyjnych </w:t>
      </w:r>
      <w:r>
        <w:t>.</w:t>
      </w:r>
    </w:p>
    <w:p w:rsidR="002122BD" w:rsidRDefault="002122BD" w:rsidP="002122BD">
      <w:pPr>
        <w:pStyle w:val="Tekstpodstawowy"/>
        <w:widowControl w:val="0"/>
        <w:numPr>
          <w:ilvl w:val="2"/>
          <w:numId w:val="87"/>
        </w:numPr>
        <w:tabs>
          <w:tab w:val="left" w:pos="640"/>
        </w:tabs>
        <w:spacing w:after="0"/>
        <w:ind w:right="521"/>
      </w:pPr>
      <w:r>
        <w:rPr>
          <w:spacing w:val="-1"/>
        </w:rPr>
        <w:t>Kratka</w:t>
      </w:r>
      <w:r>
        <w:rPr>
          <w:spacing w:val="-3"/>
        </w:rPr>
        <w:t xml:space="preserve"> </w:t>
      </w:r>
      <w:r>
        <w:rPr>
          <w:spacing w:val="-1"/>
        </w:rPr>
        <w:t>ściekowa</w:t>
      </w:r>
      <w:r>
        <w:rPr>
          <w:spacing w:val="-5"/>
        </w:rPr>
        <w:t xml:space="preserve"> </w:t>
      </w:r>
      <w:r>
        <w:t>–</w:t>
      </w:r>
      <w:r>
        <w:rPr>
          <w:spacing w:val="-3"/>
        </w:rPr>
        <w:t xml:space="preserve"> </w:t>
      </w:r>
      <w:r>
        <w:rPr>
          <w:spacing w:val="-1"/>
        </w:rPr>
        <w:t>urządzenie przez</w:t>
      </w:r>
      <w:r>
        <w:rPr>
          <w:spacing w:val="-3"/>
        </w:rPr>
        <w:t xml:space="preserve"> </w:t>
      </w:r>
      <w:r>
        <w:rPr>
          <w:spacing w:val="-1"/>
        </w:rPr>
        <w:t>które</w:t>
      </w:r>
      <w:r>
        <w:rPr>
          <w:spacing w:val="-4"/>
        </w:rPr>
        <w:t xml:space="preserve"> </w:t>
      </w:r>
      <w:r>
        <w:t>wody</w:t>
      </w:r>
      <w:r>
        <w:rPr>
          <w:spacing w:val="-4"/>
        </w:rPr>
        <w:t xml:space="preserve"> </w:t>
      </w:r>
      <w:r>
        <w:rPr>
          <w:spacing w:val="-1"/>
        </w:rPr>
        <w:t>opadowe</w:t>
      </w:r>
      <w:r>
        <w:rPr>
          <w:spacing w:val="-4"/>
        </w:rPr>
        <w:t xml:space="preserve"> </w:t>
      </w:r>
      <w:r>
        <w:rPr>
          <w:spacing w:val="-1"/>
        </w:rPr>
        <w:t>przedostają</w:t>
      </w:r>
      <w:r>
        <w:rPr>
          <w:spacing w:val="-5"/>
        </w:rPr>
        <w:t xml:space="preserve"> </w:t>
      </w:r>
      <w:r>
        <w:rPr>
          <w:spacing w:val="-1"/>
        </w:rPr>
        <w:t>się</w:t>
      </w:r>
      <w:r>
        <w:rPr>
          <w:spacing w:val="-2"/>
        </w:rPr>
        <w:t xml:space="preserve"> </w:t>
      </w:r>
      <w:r>
        <w:t>od</w:t>
      </w:r>
      <w:r>
        <w:rPr>
          <w:spacing w:val="-4"/>
        </w:rPr>
        <w:t xml:space="preserve"> </w:t>
      </w:r>
      <w:r>
        <w:t>góry</w:t>
      </w:r>
      <w:r>
        <w:rPr>
          <w:spacing w:val="-4"/>
        </w:rPr>
        <w:t xml:space="preserve"> </w:t>
      </w:r>
      <w:r>
        <w:t>do</w:t>
      </w:r>
      <w:r>
        <w:rPr>
          <w:spacing w:val="75"/>
        </w:rPr>
        <w:t xml:space="preserve"> </w:t>
      </w:r>
      <w:r>
        <w:rPr>
          <w:spacing w:val="-1"/>
        </w:rPr>
        <w:t>wpustu</w:t>
      </w:r>
      <w:r>
        <w:rPr>
          <w:spacing w:val="-4"/>
        </w:rPr>
        <w:t xml:space="preserve"> </w:t>
      </w:r>
      <w:r>
        <w:rPr>
          <w:spacing w:val="-1"/>
        </w:rPr>
        <w:t>ulicznego</w:t>
      </w:r>
      <w:r>
        <w:rPr>
          <w:spacing w:val="-3"/>
        </w:rPr>
        <w:t xml:space="preserve"> </w:t>
      </w:r>
      <w:r>
        <w:t>.</w:t>
      </w:r>
    </w:p>
    <w:p w:rsidR="002122BD" w:rsidRDefault="002122BD" w:rsidP="002122BD">
      <w:pPr>
        <w:pStyle w:val="Tekstpodstawowy"/>
        <w:widowControl w:val="0"/>
        <w:numPr>
          <w:ilvl w:val="2"/>
          <w:numId w:val="87"/>
        </w:numPr>
        <w:tabs>
          <w:tab w:val="left" w:pos="640"/>
        </w:tabs>
        <w:spacing w:after="0"/>
        <w:ind w:left="700" w:right="119" w:hanging="600"/>
      </w:pPr>
      <w:r>
        <w:rPr>
          <w:spacing w:val="-1"/>
        </w:rPr>
        <w:t>Właz</w:t>
      </w:r>
      <w:r>
        <w:rPr>
          <w:spacing w:val="-5"/>
        </w:rPr>
        <w:t xml:space="preserve"> </w:t>
      </w:r>
      <w:r>
        <w:rPr>
          <w:spacing w:val="-1"/>
        </w:rPr>
        <w:t>kanałowy</w:t>
      </w:r>
      <w:r>
        <w:rPr>
          <w:spacing w:val="-6"/>
        </w:rPr>
        <w:t xml:space="preserve"> </w:t>
      </w:r>
      <w:r>
        <w:t>–</w:t>
      </w:r>
      <w:r>
        <w:rPr>
          <w:spacing w:val="-6"/>
        </w:rPr>
        <w:t xml:space="preserve"> </w:t>
      </w:r>
      <w:r>
        <w:rPr>
          <w:spacing w:val="-1"/>
        </w:rPr>
        <w:t>element</w:t>
      </w:r>
      <w:r>
        <w:rPr>
          <w:spacing w:val="-3"/>
        </w:rPr>
        <w:t xml:space="preserve"> </w:t>
      </w:r>
      <w:r>
        <w:rPr>
          <w:spacing w:val="-1"/>
        </w:rPr>
        <w:t>żeliwny</w:t>
      </w:r>
      <w:r>
        <w:rPr>
          <w:spacing w:val="-6"/>
        </w:rPr>
        <w:t xml:space="preserve"> </w:t>
      </w:r>
      <w:r>
        <w:rPr>
          <w:spacing w:val="-1"/>
        </w:rPr>
        <w:t>przeznaczony</w:t>
      </w:r>
      <w:r>
        <w:rPr>
          <w:spacing w:val="-5"/>
        </w:rPr>
        <w:t xml:space="preserve"> </w:t>
      </w:r>
      <w:r>
        <w:t>do</w:t>
      </w:r>
      <w:r>
        <w:rPr>
          <w:spacing w:val="-6"/>
        </w:rPr>
        <w:t xml:space="preserve"> </w:t>
      </w:r>
      <w:r>
        <w:rPr>
          <w:spacing w:val="-1"/>
        </w:rPr>
        <w:t>przykrycia</w:t>
      </w:r>
      <w:r>
        <w:rPr>
          <w:spacing w:val="-2"/>
        </w:rPr>
        <w:t xml:space="preserve"> </w:t>
      </w:r>
      <w:r>
        <w:rPr>
          <w:spacing w:val="-1"/>
        </w:rPr>
        <w:t>podziemnych</w:t>
      </w:r>
      <w:r>
        <w:rPr>
          <w:spacing w:val="-3"/>
        </w:rPr>
        <w:t xml:space="preserve"> </w:t>
      </w:r>
      <w:r>
        <w:rPr>
          <w:spacing w:val="-1"/>
        </w:rPr>
        <w:t>studzienek</w:t>
      </w:r>
      <w:r>
        <w:rPr>
          <w:spacing w:val="57"/>
        </w:rPr>
        <w:t xml:space="preserve"> </w:t>
      </w:r>
      <w:r>
        <w:rPr>
          <w:spacing w:val="-1"/>
        </w:rPr>
        <w:t>rewizyjnych</w:t>
      </w:r>
      <w:r>
        <w:rPr>
          <w:spacing w:val="-3"/>
        </w:rPr>
        <w:t xml:space="preserve"> </w:t>
      </w:r>
      <w:r>
        <w:rPr>
          <w:spacing w:val="-1"/>
        </w:rPr>
        <w:t>lub</w:t>
      </w:r>
      <w:r>
        <w:rPr>
          <w:spacing w:val="-4"/>
        </w:rPr>
        <w:t xml:space="preserve"> </w:t>
      </w:r>
      <w:r>
        <w:rPr>
          <w:spacing w:val="-1"/>
        </w:rPr>
        <w:t>komór</w:t>
      </w:r>
      <w:r>
        <w:rPr>
          <w:spacing w:val="-4"/>
        </w:rPr>
        <w:t xml:space="preserve"> </w:t>
      </w:r>
      <w:r>
        <w:rPr>
          <w:spacing w:val="-1"/>
        </w:rPr>
        <w:t xml:space="preserve">kanalizacyjnych </w:t>
      </w:r>
      <w:r>
        <w:t>,</w:t>
      </w:r>
      <w:r>
        <w:rPr>
          <w:spacing w:val="-5"/>
        </w:rPr>
        <w:t xml:space="preserve"> </w:t>
      </w:r>
      <w:r>
        <w:rPr>
          <w:spacing w:val="-1"/>
        </w:rPr>
        <w:t>umożliwiających</w:t>
      </w:r>
      <w:r>
        <w:rPr>
          <w:spacing w:val="-3"/>
        </w:rPr>
        <w:t xml:space="preserve"> </w:t>
      </w:r>
      <w:r>
        <w:rPr>
          <w:spacing w:val="-1"/>
        </w:rPr>
        <w:t>dostęp</w:t>
      </w:r>
      <w:r>
        <w:rPr>
          <w:spacing w:val="-5"/>
        </w:rPr>
        <w:t xml:space="preserve"> </w:t>
      </w:r>
      <w:r>
        <w:t>do</w:t>
      </w:r>
      <w:r>
        <w:rPr>
          <w:spacing w:val="-5"/>
        </w:rPr>
        <w:t xml:space="preserve"> </w:t>
      </w:r>
      <w:r>
        <w:rPr>
          <w:spacing w:val="-1"/>
        </w:rPr>
        <w:t>urządzeń</w:t>
      </w:r>
      <w:r>
        <w:rPr>
          <w:spacing w:val="47"/>
        </w:rPr>
        <w:t xml:space="preserve"> </w:t>
      </w:r>
      <w:r>
        <w:rPr>
          <w:spacing w:val="-1"/>
        </w:rPr>
        <w:t>kanalizacyjnych</w:t>
      </w:r>
      <w:r>
        <w:rPr>
          <w:spacing w:val="-6"/>
        </w:rPr>
        <w:t xml:space="preserve"> </w:t>
      </w:r>
      <w:r>
        <w:t>.</w:t>
      </w:r>
    </w:p>
    <w:p w:rsidR="002122BD" w:rsidRDefault="002122BD" w:rsidP="002122BD">
      <w:pPr>
        <w:pStyle w:val="Tekstpodstawowy"/>
        <w:widowControl w:val="0"/>
        <w:numPr>
          <w:ilvl w:val="2"/>
          <w:numId w:val="87"/>
        </w:numPr>
        <w:tabs>
          <w:tab w:val="left" w:pos="640"/>
        </w:tabs>
        <w:spacing w:after="0"/>
        <w:ind w:right="403"/>
      </w:pPr>
      <w:r>
        <w:rPr>
          <w:spacing w:val="-1"/>
        </w:rPr>
        <w:t>Pozostałe</w:t>
      </w:r>
      <w:r>
        <w:rPr>
          <w:spacing w:val="-4"/>
        </w:rPr>
        <w:t xml:space="preserve"> </w:t>
      </w:r>
      <w:r>
        <w:rPr>
          <w:spacing w:val="-1"/>
        </w:rPr>
        <w:t>określenia</w:t>
      </w:r>
      <w:r>
        <w:rPr>
          <w:spacing w:val="51"/>
        </w:rPr>
        <w:t xml:space="preserve"> </w:t>
      </w:r>
      <w:r>
        <w:rPr>
          <w:spacing w:val="-1"/>
        </w:rPr>
        <w:t>podstawowe</w:t>
      </w:r>
      <w:r>
        <w:rPr>
          <w:spacing w:val="-6"/>
        </w:rPr>
        <w:t xml:space="preserve"> </w:t>
      </w:r>
      <w:r>
        <w:t>są</w:t>
      </w:r>
      <w:r>
        <w:rPr>
          <w:spacing w:val="-5"/>
        </w:rPr>
        <w:t xml:space="preserve"> </w:t>
      </w:r>
      <w:r>
        <w:rPr>
          <w:spacing w:val="-1"/>
        </w:rPr>
        <w:t>zgodne</w:t>
      </w:r>
      <w:r>
        <w:rPr>
          <w:spacing w:val="-6"/>
        </w:rPr>
        <w:t xml:space="preserve"> </w:t>
      </w:r>
      <w:r>
        <w:t>z</w:t>
      </w:r>
      <w:r>
        <w:rPr>
          <w:spacing w:val="-4"/>
        </w:rPr>
        <w:t xml:space="preserve"> </w:t>
      </w:r>
      <w:r>
        <w:rPr>
          <w:spacing w:val="-1"/>
        </w:rPr>
        <w:t>obowiązującymi</w:t>
      </w:r>
      <w:r>
        <w:t xml:space="preserve"> ,</w:t>
      </w:r>
      <w:r>
        <w:rPr>
          <w:spacing w:val="-5"/>
        </w:rPr>
        <w:t xml:space="preserve"> </w:t>
      </w:r>
      <w:r>
        <w:rPr>
          <w:spacing w:val="-1"/>
        </w:rPr>
        <w:t>odpowiednimi</w:t>
      </w:r>
      <w:r>
        <w:rPr>
          <w:spacing w:val="69"/>
          <w:w w:val="99"/>
        </w:rPr>
        <w:t xml:space="preserve"> </w:t>
      </w:r>
      <w:r>
        <w:rPr>
          <w:spacing w:val="-1"/>
        </w:rPr>
        <w:t>polskimi</w:t>
      </w:r>
      <w:r>
        <w:rPr>
          <w:spacing w:val="-5"/>
        </w:rPr>
        <w:t xml:space="preserve"> </w:t>
      </w:r>
      <w:r>
        <w:rPr>
          <w:spacing w:val="-1"/>
        </w:rPr>
        <w:t xml:space="preserve">normami </w:t>
      </w:r>
      <w:r>
        <w:t>i</w:t>
      </w:r>
      <w:r>
        <w:rPr>
          <w:spacing w:val="-6"/>
        </w:rPr>
        <w:t xml:space="preserve"> </w:t>
      </w:r>
      <w:r>
        <w:t>z</w:t>
      </w:r>
      <w:r>
        <w:rPr>
          <w:spacing w:val="-6"/>
        </w:rPr>
        <w:t xml:space="preserve"> </w:t>
      </w:r>
      <w:r>
        <w:rPr>
          <w:spacing w:val="-1"/>
        </w:rPr>
        <w:t>definicjami</w:t>
      </w:r>
      <w:r>
        <w:rPr>
          <w:spacing w:val="-3"/>
        </w:rPr>
        <w:t xml:space="preserve"> </w:t>
      </w:r>
      <w:r>
        <w:rPr>
          <w:spacing w:val="-1"/>
        </w:rPr>
        <w:t>podanymi</w:t>
      </w:r>
      <w:r>
        <w:rPr>
          <w:spacing w:val="-2"/>
        </w:rPr>
        <w:t xml:space="preserve"> </w:t>
      </w:r>
      <w:r>
        <w:t>w</w:t>
      </w:r>
      <w:r>
        <w:rPr>
          <w:spacing w:val="-6"/>
        </w:rPr>
        <w:t xml:space="preserve"> </w:t>
      </w:r>
      <w:r>
        <w:t>SST</w:t>
      </w:r>
      <w:r>
        <w:rPr>
          <w:spacing w:val="-6"/>
        </w:rPr>
        <w:t xml:space="preserve"> </w:t>
      </w:r>
      <w:r>
        <w:t>D-00.00.00</w:t>
      </w:r>
      <w:r>
        <w:rPr>
          <w:spacing w:val="-5"/>
        </w:rPr>
        <w:t xml:space="preserve"> </w:t>
      </w:r>
      <w:r>
        <w:rPr>
          <w:spacing w:val="-1"/>
        </w:rPr>
        <w:t>„Wymagania</w:t>
      </w:r>
      <w:r>
        <w:rPr>
          <w:spacing w:val="-3"/>
        </w:rPr>
        <w:t xml:space="preserve"> </w:t>
      </w:r>
      <w:r>
        <w:rPr>
          <w:spacing w:val="-1"/>
        </w:rPr>
        <w:t>ogólne”</w:t>
      </w:r>
      <w:r>
        <w:rPr>
          <w:spacing w:val="43"/>
          <w:w w:val="99"/>
        </w:rPr>
        <w:t xml:space="preserve"> </w:t>
      </w:r>
      <w:r>
        <w:t>pkt</w:t>
      </w:r>
      <w:r>
        <w:rPr>
          <w:spacing w:val="-1"/>
        </w:rPr>
        <w:t xml:space="preserve"> </w:t>
      </w:r>
      <w:r>
        <w:t>1.4</w:t>
      </w:r>
      <w:r>
        <w:rPr>
          <w:spacing w:val="-2"/>
        </w:rPr>
        <w:t xml:space="preserve"> </w:t>
      </w:r>
      <w:r>
        <w:t>.</w:t>
      </w:r>
    </w:p>
    <w:p w:rsidR="002122BD" w:rsidRDefault="002122BD" w:rsidP="002122BD">
      <w:pPr>
        <w:spacing w:before="10"/>
      </w:pPr>
    </w:p>
    <w:p w:rsidR="002122BD" w:rsidRDefault="002122BD" w:rsidP="002122BD">
      <w:pPr>
        <w:pStyle w:val="Nagwek3"/>
        <w:ind w:left="100"/>
        <w:rPr>
          <w:b/>
          <w:bCs/>
        </w:rPr>
      </w:pPr>
      <w:bookmarkStart w:id="458" w:name="1.5._Ogólne_wymagania_dotyczące_robót"/>
      <w:bookmarkEnd w:id="458"/>
      <w:r>
        <w:t>1.5.</w:t>
      </w:r>
      <w:r>
        <w:rPr>
          <w:spacing w:val="54"/>
        </w:rPr>
        <w:t xml:space="preserve"> </w:t>
      </w:r>
      <w:r>
        <w:rPr>
          <w:spacing w:val="-1"/>
        </w:rPr>
        <w:t>Ogólne wymagania</w:t>
      </w:r>
      <w:r>
        <w:rPr>
          <w:spacing w:val="-3"/>
        </w:rPr>
        <w:t xml:space="preserve"> </w:t>
      </w:r>
      <w:r>
        <w:rPr>
          <w:spacing w:val="-1"/>
        </w:rPr>
        <w:t>dotyczące</w:t>
      </w:r>
      <w:r>
        <w:rPr>
          <w:spacing w:val="-2"/>
        </w:rPr>
        <w:t xml:space="preserve"> </w:t>
      </w:r>
      <w:r>
        <w:rPr>
          <w:spacing w:val="-1"/>
        </w:rPr>
        <w:t>robót</w:t>
      </w:r>
    </w:p>
    <w:p w:rsidR="002122BD" w:rsidRDefault="002122BD" w:rsidP="002122BD">
      <w:pPr>
        <w:pStyle w:val="Tekstpodstawowy"/>
        <w:spacing w:before="60"/>
        <w:ind w:right="298"/>
      </w:pPr>
      <w:r>
        <w:rPr>
          <w:spacing w:val="-1"/>
        </w:rPr>
        <w:t>Ogólne</w:t>
      </w:r>
      <w:r>
        <w:rPr>
          <w:spacing w:val="-5"/>
        </w:rPr>
        <w:t xml:space="preserve"> </w:t>
      </w:r>
      <w:r>
        <w:rPr>
          <w:spacing w:val="-1"/>
        </w:rPr>
        <w:t>wymagania</w:t>
      </w:r>
      <w:r>
        <w:rPr>
          <w:spacing w:val="-3"/>
        </w:rPr>
        <w:t xml:space="preserve"> </w:t>
      </w:r>
      <w:r>
        <w:rPr>
          <w:spacing w:val="-1"/>
        </w:rPr>
        <w:t>dotyczące</w:t>
      </w:r>
      <w:r>
        <w:rPr>
          <w:spacing w:val="-5"/>
        </w:rPr>
        <w:t xml:space="preserve"> </w:t>
      </w:r>
      <w:r>
        <w:t>robót</w:t>
      </w:r>
      <w:r>
        <w:rPr>
          <w:spacing w:val="-5"/>
        </w:rPr>
        <w:t xml:space="preserve"> </w:t>
      </w:r>
      <w:r>
        <w:rPr>
          <w:spacing w:val="-1"/>
        </w:rPr>
        <w:t>podano</w:t>
      </w:r>
      <w:r>
        <w:rPr>
          <w:spacing w:val="-6"/>
        </w:rPr>
        <w:t xml:space="preserve"> </w:t>
      </w:r>
      <w:r>
        <w:t>w</w:t>
      </w:r>
      <w:r>
        <w:rPr>
          <w:spacing w:val="-7"/>
        </w:rPr>
        <w:t xml:space="preserve"> </w:t>
      </w:r>
      <w:r>
        <w:t>SST</w:t>
      </w:r>
      <w:r>
        <w:rPr>
          <w:spacing w:val="-7"/>
        </w:rPr>
        <w:t xml:space="preserve"> </w:t>
      </w:r>
      <w:r>
        <w:t>D-00.00.00</w:t>
      </w:r>
      <w:r>
        <w:rPr>
          <w:spacing w:val="-6"/>
        </w:rPr>
        <w:t xml:space="preserve"> </w:t>
      </w:r>
      <w:r>
        <w:rPr>
          <w:spacing w:val="-1"/>
        </w:rPr>
        <w:t>„Wymagania</w:t>
      </w:r>
      <w:r>
        <w:rPr>
          <w:spacing w:val="-3"/>
        </w:rPr>
        <w:t xml:space="preserve"> </w:t>
      </w:r>
      <w:r>
        <w:rPr>
          <w:spacing w:val="-1"/>
        </w:rPr>
        <w:t>ogólne”</w:t>
      </w:r>
      <w:r>
        <w:rPr>
          <w:spacing w:val="47"/>
          <w:w w:val="99"/>
        </w:rPr>
        <w:t xml:space="preserve"> </w:t>
      </w:r>
      <w:r>
        <w:t>pkt</w:t>
      </w:r>
      <w:r>
        <w:rPr>
          <w:spacing w:val="-3"/>
        </w:rPr>
        <w:t xml:space="preserve"> </w:t>
      </w:r>
      <w:r>
        <w:t>1.5.</w:t>
      </w:r>
    </w:p>
    <w:p w:rsidR="002122BD" w:rsidRDefault="002122BD" w:rsidP="002122BD">
      <w:pPr>
        <w:sectPr w:rsidR="002122BD" w:rsidSect="00B718AA">
          <w:pgSz w:w="11900" w:h="16840"/>
          <w:pgMar w:top="1380" w:right="1300" w:bottom="1276" w:left="1320" w:header="708" w:footer="708" w:gutter="0"/>
          <w:cols w:space="708"/>
        </w:sectPr>
      </w:pPr>
    </w:p>
    <w:p w:rsidR="002122BD" w:rsidRDefault="002122BD" w:rsidP="002122BD">
      <w:pPr>
        <w:pStyle w:val="Nagwek2"/>
        <w:keepNext w:val="0"/>
        <w:widowControl w:val="0"/>
        <w:numPr>
          <w:ilvl w:val="0"/>
          <w:numId w:val="88"/>
        </w:numPr>
        <w:tabs>
          <w:tab w:val="left" w:pos="360"/>
        </w:tabs>
        <w:spacing w:before="37" w:after="0"/>
        <w:ind w:left="359" w:hanging="259"/>
        <w:rPr>
          <w:b w:val="0"/>
          <w:bCs/>
        </w:rPr>
      </w:pPr>
      <w:bookmarkStart w:id="459" w:name="2._MATERIAŁY"/>
      <w:bookmarkEnd w:id="459"/>
      <w:r>
        <w:rPr>
          <w:spacing w:val="-1"/>
        </w:rPr>
        <w:lastRenderedPageBreak/>
        <w:t>MATERIAŁY</w:t>
      </w:r>
    </w:p>
    <w:p w:rsidR="002122BD" w:rsidRDefault="002122BD" w:rsidP="002122BD">
      <w:pPr>
        <w:spacing w:before="10"/>
        <w:rPr>
          <w:b/>
          <w:bCs/>
        </w:rPr>
      </w:pPr>
    </w:p>
    <w:p w:rsidR="002122BD" w:rsidRDefault="002122BD" w:rsidP="002122BD">
      <w:pPr>
        <w:pStyle w:val="Nagwek3"/>
        <w:keepNext w:val="0"/>
        <w:widowControl w:val="0"/>
        <w:numPr>
          <w:ilvl w:val="1"/>
          <w:numId w:val="88"/>
        </w:numPr>
        <w:tabs>
          <w:tab w:val="left" w:pos="640"/>
        </w:tabs>
        <w:spacing w:before="0" w:after="0"/>
        <w:ind w:left="640" w:hanging="540"/>
        <w:rPr>
          <w:b/>
          <w:bCs/>
        </w:rPr>
      </w:pPr>
      <w:bookmarkStart w:id="460" w:name="2.1._Ogólne_wymagania_dotyczące_materiał"/>
      <w:bookmarkEnd w:id="460"/>
      <w:r>
        <w:rPr>
          <w:spacing w:val="-1"/>
        </w:rPr>
        <w:t>Ogólne</w:t>
      </w:r>
      <w:r>
        <w:rPr>
          <w:spacing w:val="-5"/>
        </w:rPr>
        <w:t xml:space="preserve"> </w:t>
      </w:r>
      <w:r>
        <w:rPr>
          <w:spacing w:val="-1"/>
        </w:rPr>
        <w:t>wymagania</w:t>
      </w:r>
      <w:r>
        <w:rPr>
          <w:spacing w:val="-6"/>
        </w:rPr>
        <w:t xml:space="preserve"> </w:t>
      </w:r>
      <w:r>
        <w:rPr>
          <w:spacing w:val="-1"/>
        </w:rPr>
        <w:t>dotyczące</w:t>
      </w:r>
      <w:r>
        <w:rPr>
          <w:spacing w:val="-5"/>
        </w:rPr>
        <w:t xml:space="preserve"> </w:t>
      </w:r>
      <w:r>
        <w:rPr>
          <w:spacing w:val="-1"/>
        </w:rPr>
        <w:t>materiałów</w:t>
      </w:r>
    </w:p>
    <w:p w:rsidR="002122BD" w:rsidRDefault="002122BD" w:rsidP="002122BD">
      <w:pPr>
        <w:pStyle w:val="Tekstpodstawowy"/>
        <w:spacing w:before="60"/>
        <w:ind w:right="521"/>
      </w:pPr>
      <w:r>
        <w:rPr>
          <w:spacing w:val="-1"/>
        </w:rPr>
        <w:t>Ogólne</w:t>
      </w:r>
      <w:r>
        <w:rPr>
          <w:spacing w:val="-5"/>
        </w:rPr>
        <w:t xml:space="preserve"> </w:t>
      </w:r>
      <w:r>
        <w:rPr>
          <w:spacing w:val="-1"/>
        </w:rPr>
        <w:t>wymagania</w:t>
      </w:r>
      <w:r>
        <w:rPr>
          <w:spacing w:val="-2"/>
        </w:rPr>
        <w:t xml:space="preserve"> </w:t>
      </w:r>
      <w:r>
        <w:rPr>
          <w:spacing w:val="-1"/>
        </w:rPr>
        <w:t>dotyczące</w:t>
      </w:r>
      <w:r>
        <w:rPr>
          <w:spacing w:val="-4"/>
        </w:rPr>
        <w:t xml:space="preserve"> </w:t>
      </w:r>
      <w:r>
        <w:rPr>
          <w:spacing w:val="-1"/>
        </w:rPr>
        <w:t>materiałów</w:t>
      </w:r>
      <w:r>
        <w:rPr>
          <w:spacing w:val="-3"/>
        </w:rPr>
        <w:t xml:space="preserve"> </w:t>
      </w:r>
      <w:r>
        <w:t>,</w:t>
      </w:r>
      <w:r>
        <w:rPr>
          <w:spacing w:val="-6"/>
        </w:rPr>
        <w:t xml:space="preserve"> </w:t>
      </w:r>
      <w:r>
        <w:rPr>
          <w:spacing w:val="-1"/>
        </w:rPr>
        <w:t>ich</w:t>
      </w:r>
      <w:r>
        <w:rPr>
          <w:spacing w:val="-4"/>
        </w:rPr>
        <w:t xml:space="preserve"> </w:t>
      </w:r>
      <w:r>
        <w:rPr>
          <w:spacing w:val="-1"/>
        </w:rPr>
        <w:t>pozyskiwania</w:t>
      </w:r>
      <w:r>
        <w:rPr>
          <w:spacing w:val="-4"/>
        </w:rPr>
        <w:t xml:space="preserve"> </w:t>
      </w:r>
      <w:r>
        <w:t>i</w:t>
      </w:r>
      <w:r>
        <w:rPr>
          <w:spacing w:val="-4"/>
        </w:rPr>
        <w:t xml:space="preserve"> </w:t>
      </w:r>
      <w:r>
        <w:rPr>
          <w:spacing w:val="-1"/>
        </w:rPr>
        <w:t>składowania</w:t>
      </w:r>
      <w:r>
        <w:rPr>
          <w:spacing w:val="-4"/>
        </w:rPr>
        <w:t xml:space="preserve"> </w:t>
      </w:r>
      <w:r>
        <w:t>,</w:t>
      </w:r>
      <w:r>
        <w:rPr>
          <w:spacing w:val="-5"/>
        </w:rPr>
        <w:t xml:space="preserve"> </w:t>
      </w:r>
      <w:r>
        <w:rPr>
          <w:spacing w:val="-1"/>
        </w:rPr>
        <w:t>podano</w:t>
      </w:r>
      <w:r>
        <w:rPr>
          <w:spacing w:val="61"/>
        </w:rPr>
        <w:t xml:space="preserve"> </w:t>
      </w:r>
      <w:r>
        <w:t>W</w:t>
      </w:r>
      <w:r>
        <w:rPr>
          <w:spacing w:val="-3"/>
        </w:rPr>
        <w:t xml:space="preserve"> </w:t>
      </w:r>
      <w:r>
        <w:rPr>
          <w:spacing w:val="-1"/>
        </w:rPr>
        <w:t>SST</w:t>
      </w:r>
      <w:r>
        <w:rPr>
          <w:spacing w:val="-4"/>
        </w:rPr>
        <w:t xml:space="preserve"> </w:t>
      </w:r>
      <w:r>
        <w:t>D-00.00.00</w:t>
      </w:r>
      <w:r>
        <w:rPr>
          <w:spacing w:val="-3"/>
        </w:rPr>
        <w:t xml:space="preserve"> </w:t>
      </w:r>
      <w:r>
        <w:rPr>
          <w:spacing w:val="-1"/>
        </w:rPr>
        <w:t>„Wymagania ogólne</w:t>
      </w:r>
      <w:r>
        <w:rPr>
          <w:spacing w:val="-2"/>
        </w:rPr>
        <w:t xml:space="preserve"> </w:t>
      </w:r>
      <w:r>
        <w:t>”</w:t>
      </w:r>
      <w:r>
        <w:rPr>
          <w:spacing w:val="-4"/>
        </w:rPr>
        <w:t xml:space="preserve"> </w:t>
      </w:r>
      <w:r>
        <w:t>pkt</w:t>
      </w:r>
      <w:r>
        <w:rPr>
          <w:spacing w:val="-4"/>
        </w:rPr>
        <w:t xml:space="preserve"> </w:t>
      </w:r>
      <w:r>
        <w:t>2</w:t>
      </w:r>
      <w:r>
        <w:rPr>
          <w:spacing w:val="-3"/>
        </w:rPr>
        <w:t xml:space="preserve"> </w:t>
      </w:r>
      <w:r>
        <w:t>.</w:t>
      </w:r>
    </w:p>
    <w:p w:rsidR="002122BD" w:rsidRDefault="002122BD" w:rsidP="002122BD">
      <w:pPr>
        <w:spacing w:before="10"/>
      </w:pPr>
    </w:p>
    <w:p w:rsidR="002122BD" w:rsidRDefault="002122BD" w:rsidP="002122BD">
      <w:pPr>
        <w:pStyle w:val="Nagwek3"/>
        <w:keepNext w:val="0"/>
        <w:widowControl w:val="0"/>
        <w:numPr>
          <w:ilvl w:val="1"/>
          <w:numId w:val="88"/>
        </w:numPr>
        <w:tabs>
          <w:tab w:val="left" w:pos="520"/>
        </w:tabs>
        <w:spacing w:before="0" w:after="0"/>
        <w:rPr>
          <w:b/>
          <w:bCs/>
        </w:rPr>
      </w:pPr>
      <w:bookmarkStart w:id="461" w:name="2.2._Materiały_do_wykonania_regulacji_pi"/>
      <w:bookmarkEnd w:id="461"/>
      <w:r>
        <w:rPr>
          <w:spacing w:val="-1"/>
        </w:rPr>
        <w:t>Materiały</w:t>
      </w:r>
      <w:r>
        <w:rPr>
          <w:spacing w:val="-2"/>
        </w:rPr>
        <w:t xml:space="preserve"> </w:t>
      </w:r>
      <w:r>
        <w:rPr>
          <w:spacing w:val="-1"/>
        </w:rPr>
        <w:t>do</w:t>
      </w:r>
      <w:r>
        <w:rPr>
          <w:spacing w:val="-5"/>
        </w:rPr>
        <w:t xml:space="preserve"> </w:t>
      </w:r>
      <w:r>
        <w:rPr>
          <w:spacing w:val="-1"/>
        </w:rPr>
        <w:t>wykonania</w:t>
      </w:r>
      <w:r>
        <w:rPr>
          <w:spacing w:val="-3"/>
        </w:rPr>
        <w:t xml:space="preserve"> </w:t>
      </w:r>
      <w:r>
        <w:rPr>
          <w:spacing w:val="-1"/>
        </w:rPr>
        <w:t>regulacji</w:t>
      </w:r>
      <w:r>
        <w:rPr>
          <w:spacing w:val="-4"/>
        </w:rPr>
        <w:t xml:space="preserve"> </w:t>
      </w:r>
      <w:r>
        <w:rPr>
          <w:spacing w:val="-1"/>
        </w:rPr>
        <w:t>pionowej</w:t>
      </w:r>
      <w:r>
        <w:rPr>
          <w:spacing w:val="-4"/>
        </w:rPr>
        <w:t xml:space="preserve"> </w:t>
      </w:r>
      <w:r>
        <w:rPr>
          <w:spacing w:val="-1"/>
        </w:rPr>
        <w:t>studzienki</w:t>
      </w:r>
      <w:r>
        <w:rPr>
          <w:spacing w:val="-4"/>
        </w:rPr>
        <w:t xml:space="preserve"> </w:t>
      </w:r>
      <w:r>
        <w:rPr>
          <w:spacing w:val="-1"/>
        </w:rPr>
        <w:t>kanalizacyjnej</w:t>
      </w:r>
    </w:p>
    <w:p w:rsidR="002122BD" w:rsidRDefault="002122BD" w:rsidP="002122BD">
      <w:pPr>
        <w:pStyle w:val="Tekstpodstawowy"/>
        <w:spacing w:before="60"/>
        <w:ind w:left="100" w:right="119" w:firstLine="282"/>
      </w:pPr>
      <w:r>
        <w:rPr>
          <w:spacing w:val="-1"/>
        </w:rPr>
        <w:t>Materiałami</w:t>
      </w:r>
      <w:r>
        <w:t xml:space="preserve"> </w:t>
      </w:r>
      <w:r>
        <w:rPr>
          <w:spacing w:val="9"/>
        </w:rPr>
        <w:t xml:space="preserve"> </w:t>
      </w:r>
      <w:r>
        <w:rPr>
          <w:spacing w:val="-1"/>
        </w:rPr>
        <w:t>stosowanymi</w:t>
      </w:r>
      <w:r>
        <w:t xml:space="preserve"> </w:t>
      </w:r>
      <w:r>
        <w:rPr>
          <w:spacing w:val="11"/>
        </w:rPr>
        <w:t xml:space="preserve"> </w:t>
      </w:r>
      <w:r>
        <w:t xml:space="preserve">przy </w:t>
      </w:r>
      <w:r>
        <w:rPr>
          <w:spacing w:val="7"/>
        </w:rPr>
        <w:t xml:space="preserve"> </w:t>
      </w:r>
      <w:r>
        <w:rPr>
          <w:spacing w:val="-1"/>
        </w:rPr>
        <w:t>wykonywaniu</w:t>
      </w:r>
      <w:r>
        <w:t xml:space="preserve"> </w:t>
      </w:r>
      <w:r>
        <w:rPr>
          <w:spacing w:val="10"/>
        </w:rPr>
        <w:t xml:space="preserve"> </w:t>
      </w:r>
      <w:r>
        <w:rPr>
          <w:spacing w:val="-1"/>
        </w:rPr>
        <w:t>regulacji</w:t>
      </w:r>
      <w:r>
        <w:t xml:space="preserve"> </w:t>
      </w:r>
      <w:r>
        <w:rPr>
          <w:spacing w:val="5"/>
        </w:rPr>
        <w:t xml:space="preserve"> </w:t>
      </w:r>
      <w:r>
        <w:rPr>
          <w:spacing w:val="-1"/>
        </w:rPr>
        <w:t>pionowej</w:t>
      </w:r>
      <w:r>
        <w:t xml:space="preserve"> </w:t>
      </w:r>
      <w:r>
        <w:rPr>
          <w:spacing w:val="8"/>
        </w:rPr>
        <w:t xml:space="preserve"> </w:t>
      </w:r>
      <w:r>
        <w:rPr>
          <w:spacing w:val="-1"/>
        </w:rPr>
        <w:t>studzienek</w:t>
      </w:r>
      <w:r>
        <w:t xml:space="preserve"> </w:t>
      </w:r>
      <w:r>
        <w:rPr>
          <w:spacing w:val="8"/>
        </w:rPr>
        <w:t xml:space="preserve"> </w:t>
      </w:r>
      <w:r>
        <w:rPr>
          <w:spacing w:val="-1"/>
        </w:rPr>
        <w:t>urządzeń</w:t>
      </w:r>
      <w:r>
        <w:rPr>
          <w:spacing w:val="55"/>
        </w:rPr>
        <w:t xml:space="preserve"> </w:t>
      </w:r>
      <w:r>
        <w:rPr>
          <w:spacing w:val="-1"/>
        </w:rPr>
        <w:t>podziemnych</w:t>
      </w:r>
      <w:r>
        <w:rPr>
          <w:spacing w:val="-7"/>
        </w:rPr>
        <w:t xml:space="preserve"> </w:t>
      </w:r>
      <w:r>
        <w:rPr>
          <w:spacing w:val="-1"/>
        </w:rPr>
        <w:t>to:</w:t>
      </w:r>
    </w:p>
    <w:p w:rsidR="002122BD" w:rsidRDefault="002122BD" w:rsidP="002122BD">
      <w:pPr>
        <w:pStyle w:val="Tekstpodstawowy"/>
        <w:spacing w:before="18" w:line="295" w:lineRule="exact"/>
      </w:pPr>
      <w:r>
        <w:rPr>
          <w:rFonts w:ascii="Courier New" w:eastAsia="Courier New" w:hAnsi="Courier New" w:cs="Courier New"/>
        </w:rPr>
        <w:t></w:t>
      </w:r>
      <w:r>
        <w:rPr>
          <w:rFonts w:ascii="Courier New" w:eastAsia="Courier New" w:hAnsi="Courier New" w:cs="Courier New"/>
          <w:spacing w:val="-83"/>
        </w:rPr>
        <w:t xml:space="preserve"> </w:t>
      </w:r>
      <w:r>
        <w:rPr>
          <w:spacing w:val="-1"/>
        </w:rPr>
        <w:t>elementy</w:t>
      </w:r>
      <w:r>
        <w:rPr>
          <w:spacing w:val="-33"/>
        </w:rPr>
        <w:t xml:space="preserve"> </w:t>
      </w:r>
      <w:r>
        <w:rPr>
          <w:spacing w:val="-1"/>
        </w:rPr>
        <w:t>deskowania,</w:t>
      </w:r>
    </w:p>
    <w:p w:rsidR="002122BD" w:rsidRDefault="002122BD" w:rsidP="002122BD">
      <w:pPr>
        <w:pStyle w:val="Tekstpodstawowy"/>
        <w:spacing w:line="294" w:lineRule="exact"/>
      </w:pPr>
      <w:r>
        <w:rPr>
          <w:rFonts w:ascii="Courier New" w:eastAsia="Courier New" w:hAnsi="Courier New" w:cs="Courier New"/>
        </w:rPr>
        <w:t></w:t>
      </w:r>
      <w:r>
        <w:rPr>
          <w:rFonts w:ascii="Courier New" w:eastAsia="Courier New" w:hAnsi="Courier New" w:cs="Courier New"/>
          <w:spacing w:val="-55"/>
        </w:rPr>
        <w:t xml:space="preserve"> </w:t>
      </w:r>
      <w:r>
        <w:rPr>
          <w:spacing w:val="-1"/>
        </w:rPr>
        <w:t>beton</w:t>
      </w:r>
      <w:r>
        <w:rPr>
          <w:spacing w:val="-20"/>
        </w:rPr>
        <w:t xml:space="preserve"> </w:t>
      </w:r>
      <w:r>
        <w:t>i</w:t>
      </w:r>
      <w:r>
        <w:rPr>
          <w:spacing w:val="-20"/>
        </w:rPr>
        <w:t xml:space="preserve"> </w:t>
      </w:r>
      <w:r>
        <w:rPr>
          <w:spacing w:val="-1"/>
        </w:rPr>
        <w:t>jego</w:t>
      </w:r>
      <w:r>
        <w:rPr>
          <w:spacing w:val="-21"/>
        </w:rPr>
        <w:t xml:space="preserve"> </w:t>
      </w:r>
      <w:r>
        <w:rPr>
          <w:spacing w:val="-1"/>
        </w:rPr>
        <w:t>składniki,</w:t>
      </w:r>
    </w:p>
    <w:p w:rsidR="002122BD" w:rsidRDefault="002122BD" w:rsidP="002122BD">
      <w:pPr>
        <w:pStyle w:val="Tekstpodstawowy"/>
        <w:spacing w:line="294" w:lineRule="exact"/>
      </w:pPr>
      <w:r>
        <w:rPr>
          <w:rFonts w:ascii="Courier New" w:eastAsia="Courier New" w:hAnsi="Courier New" w:cs="Courier New"/>
        </w:rPr>
        <w:t></w:t>
      </w:r>
      <w:r>
        <w:rPr>
          <w:rFonts w:ascii="Courier New" w:eastAsia="Courier New" w:hAnsi="Courier New" w:cs="Courier New"/>
          <w:spacing w:val="-84"/>
        </w:rPr>
        <w:t xml:space="preserve"> </w:t>
      </w:r>
      <w:r>
        <w:rPr>
          <w:spacing w:val="-1"/>
        </w:rPr>
        <w:t>elementy</w:t>
      </w:r>
      <w:r>
        <w:rPr>
          <w:spacing w:val="-33"/>
        </w:rPr>
        <w:t xml:space="preserve"> </w:t>
      </w:r>
      <w:r>
        <w:rPr>
          <w:spacing w:val="-1"/>
        </w:rPr>
        <w:t>prefabrykowane,</w:t>
      </w:r>
    </w:p>
    <w:p w:rsidR="002122BD" w:rsidRDefault="002122BD" w:rsidP="002122BD">
      <w:pPr>
        <w:pStyle w:val="Tekstpodstawowy"/>
        <w:spacing w:line="295" w:lineRule="exact"/>
      </w:pPr>
      <w:r>
        <w:rPr>
          <w:rFonts w:ascii="Courier New" w:eastAsia="Courier New" w:hAnsi="Courier New" w:cs="Courier New"/>
        </w:rPr>
        <w:t></w:t>
      </w:r>
      <w:r>
        <w:rPr>
          <w:rFonts w:ascii="Courier New" w:eastAsia="Courier New" w:hAnsi="Courier New" w:cs="Courier New"/>
          <w:spacing w:val="-58"/>
        </w:rPr>
        <w:t xml:space="preserve"> </w:t>
      </w:r>
      <w:r>
        <w:rPr>
          <w:spacing w:val="-1"/>
        </w:rPr>
        <w:t>żwir,</w:t>
      </w:r>
      <w:r>
        <w:rPr>
          <w:spacing w:val="-22"/>
        </w:rPr>
        <w:t xml:space="preserve"> </w:t>
      </w:r>
      <w:r>
        <w:rPr>
          <w:spacing w:val="-1"/>
        </w:rPr>
        <w:t>piasek,</w:t>
      </w:r>
      <w:r>
        <w:rPr>
          <w:spacing w:val="-21"/>
        </w:rPr>
        <w:t xml:space="preserve"> </w:t>
      </w:r>
      <w:r>
        <w:rPr>
          <w:spacing w:val="-1"/>
        </w:rPr>
        <w:t>zaprawa</w:t>
      </w:r>
      <w:r>
        <w:rPr>
          <w:spacing w:val="-22"/>
        </w:rPr>
        <w:t xml:space="preserve"> </w:t>
      </w:r>
      <w:r>
        <w:rPr>
          <w:spacing w:val="-1"/>
        </w:rPr>
        <w:t>cementowa.</w:t>
      </w:r>
    </w:p>
    <w:p w:rsidR="002122BD" w:rsidRDefault="002122BD" w:rsidP="002122BD">
      <w:pPr>
        <w:pStyle w:val="Nagwek2"/>
        <w:keepNext w:val="0"/>
        <w:widowControl w:val="0"/>
        <w:numPr>
          <w:ilvl w:val="0"/>
          <w:numId w:val="88"/>
        </w:numPr>
        <w:tabs>
          <w:tab w:val="left" w:pos="360"/>
        </w:tabs>
        <w:spacing w:before="221" w:after="0"/>
        <w:ind w:left="359" w:hanging="259"/>
        <w:rPr>
          <w:b w:val="0"/>
          <w:bCs/>
        </w:rPr>
      </w:pPr>
      <w:bookmarkStart w:id="462" w:name="3._SPRZĘT"/>
      <w:bookmarkEnd w:id="462"/>
      <w:r>
        <w:rPr>
          <w:spacing w:val="-1"/>
        </w:rPr>
        <w:t>SPRZĘT</w:t>
      </w:r>
    </w:p>
    <w:p w:rsidR="002122BD" w:rsidRDefault="002122BD" w:rsidP="002122BD">
      <w:pPr>
        <w:pStyle w:val="Nagwek3"/>
        <w:keepNext w:val="0"/>
        <w:widowControl w:val="0"/>
        <w:numPr>
          <w:ilvl w:val="1"/>
          <w:numId w:val="88"/>
        </w:numPr>
        <w:tabs>
          <w:tab w:val="left" w:pos="640"/>
        </w:tabs>
        <w:spacing w:before="59" w:after="0"/>
        <w:ind w:left="640" w:hanging="540"/>
        <w:rPr>
          <w:b/>
          <w:bCs/>
        </w:rPr>
      </w:pPr>
      <w:r>
        <w:rPr>
          <w:spacing w:val="-1"/>
        </w:rPr>
        <w:t>Ogólne</w:t>
      </w:r>
      <w:r>
        <w:rPr>
          <w:spacing w:val="-5"/>
        </w:rPr>
        <w:t xml:space="preserve"> </w:t>
      </w:r>
      <w:r>
        <w:rPr>
          <w:spacing w:val="-1"/>
        </w:rPr>
        <w:t>wymagania</w:t>
      </w:r>
      <w:r>
        <w:rPr>
          <w:spacing w:val="-5"/>
        </w:rPr>
        <w:t xml:space="preserve"> </w:t>
      </w:r>
      <w:r>
        <w:rPr>
          <w:spacing w:val="-1"/>
        </w:rPr>
        <w:t>dotyczące</w:t>
      </w:r>
      <w:r>
        <w:rPr>
          <w:spacing w:val="-4"/>
        </w:rPr>
        <w:t xml:space="preserve"> </w:t>
      </w:r>
      <w:r>
        <w:rPr>
          <w:spacing w:val="-1"/>
        </w:rPr>
        <w:t>sprzętu</w:t>
      </w:r>
    </w:p>
    <w:p w:rsidR="002122BD" w:rsidRDefault="002122BD" w:rsidP="002122BD">
      <w:pPr>
        <w:pStyle w:val="Tekstpodstawowy"/>
        <w:ind w:left="700" w:right="119" w:hanging="60"/>
      </w:pPr>
      <w:r>
        <w:rPr>
          <w:spacing w:val="-1"/>
        </w:rPr>
        <w:t>Ogólne</w:t>
      </w:r>
      <w:r>
        <w:rPr>
          <w:spacing w:val="-5"/>
        </w:rPr>
        <w:t xml:space="preserve"> </w:t>
      </w:r>
      <w:r>
        <w:rPr>
          <w:spacing w:val="-1"/>
        </w:rPr>
        <w:t>wymagania</w:t>
      </w:r>
      <w:r>
        <w:rPr>
          <w:spacing w:val="-2"/>
        </w:rPr>
        <w:t xml:space="preserve"> </w:t>
      </w:r>
      <w:r>
        <w:rPr>
          <w:spacing w:val="-1"/>
        </w:rPr>
        <w:t>dotyczące</w:t>
      </w:r>
      <w:r>
        <w:rPr>
          <w:spacing w:val="-4"/>
        </w:rPr>
        <w:t xml:space="preserve"> </w:t>
      </w:r>
      <w:r>
        <w:rPr>
          <w:spacing w:val="-1"/>
        </w:rPr>
        <w:t>sprzętu</w:t>
      </w:r>
      <w:r>
        <w:rPr>
          <w:spacing w:val="-5"/>
        </w:rPr>
        <w:t xml:space="preserve"> </w:t>
      </w:r>
      <w:r>
        <w:rPr>
          <w:spacing w:val="-1"/>
        </w:rPr>
        <w:t>podano</w:t>
      </w:r>
      <w:r>
        <w:rPr>
          <w:spacing w:val="-5"/>
        </w:rPr>
        <w:t xml:space="preserve"> </w:t>
      </w:r>
      <w:r>
        <w:t>w</w:t>
      </w:r>
      <w:r>
        <w:rPr>
          <w:spacing w:val="50"/>
        </w:rPr>
        <w:t xml:space="preserve"> </w:t>
      </w:r>
      <w:r>
        <w:rPr>
          <w:spacing w:val="-1"/>
        </w:rPr>
        <w:t>SST</w:t>
      </w:r>
      <w:r>
        <w:rPr>
          <w:spacing w:val="-6"/>
        </w:rPr>
        <w:t xml:space="preserve"> </w:t>
      </w:r>
      <w:r>
        <w:t>D-00.00.00</w:t>
      </w:r>
      <w:r>
        <w:rPr>
          <w:spacing w:val="-5"/>
        </w:rPr>
        <w:t xml:space="preserve"> </w:t>
      </w:r>
      <w:r>
        <w:rPr>
          <w:spacing w:val="-1"/>
        </w:rPr>
        <w:t>„Wymagania</w:t>
      </w:r>
      <w:r>
        <w:rPr>
          <w:spacing w:val="-4"/>
        </w:rPr>
        <w:t xml:space="preserve"> </w:t>
      </w:r>
      <w:r>
        <w:rPr>
          <w:spacing w:val="-1"/>
        </w:rPr>
        <w:t>ogólne”</w:t>
      </w:r>
      <w:r>
        <w:rPr>
          <w:spacing w:val="61"/>
          <w:w w:val="99"/>
        </w:rPr>
        <w:t xml:space="preserve"> </w:t>
      </w:r>
      <w:r>
        <w:t>pkt</w:t>
      </w:r>
      <w:r>
        <w:rPr>
          <w:spacing w:val="57"/>
        </w:rPr>
        <w:t xml:space="preserve"> </w:t>
      </w:r>
      <w:r>
        <w:t>3.</w:t>
      </w:r>
    </w:p>
    <w:p w:rsidR="002122BD" w:rsidRDefault="002122BD" w:rsidP="002122BD">
      <w:pPr>
        <w:pStyle w:val="Nagwek3"/>
        <w:keepNext w:val="0"/>
        <w:widowControl w:val="0"/>
        <w:numPr>
          <w:ilvl w:val="1"/>
          <w:numId w:val="88"/>
        </w:numPr>
        <w:tabs>
          <w:tab w:val="left" w:pos="640"/>
        </w:tabs>
        <w:spacing w:before="0" w:after="0"/>
        <w:ind w:left="640" w:hanging="540"/>
        <w:rPr>
          <w:b/>
          <w:bCs/>
        </w:rPr>
      </w:pPr>
      <w:r>
        <w:rPr>
          <w:spacing w:val="-1"/>
        </w:rPr>
        <w:t>Sprzęt</w:t>
      </w:r>
      <w:r>
        <w:t xml:space="preserve"> </w:t>
      </w:r>
      <w:r>
        <w:rPr>
          <w:spacing w:val="-1"/>
        </w:rPr>
        <w:t>stosowany</w:t>
      </w:r>
      <w:r>
        <w:rPr>
          <w:spacing w:val="-5"/>
        </w:rPr>
        <w:t xml:space="preserve"> </w:t>
      </w:r>
      <w:r>
        <w:t>do</w:t>
      </w:r>
      <w:r>
        <w:rPr>
          <w:spacing w:val="-3"/>
        </w:rPr>
        <w:t xml:space="preserve"> </w:t>
      </w:r>
      <w:r>
        <w:rPr>
          <w:spacing w:val="-1"/>
        </w:rPr>
        <w:t>wykonania</w:t>
      </w:r>
      <w:r>
        <w:rPr>
          <w:spacing w:val="-2"/>
        </w:rPr>
        <w:t xml:space="preserve"> </w:t>
      </w:r>
      <w:r>
        <w:rPr>
          <w:spacing w:val="-1"/>
        </w:rPr>
        <w:t>regulacji</w:t>
      </w:r>
      <w:r>
        <w:rPr>
          <w:spacing w:val="-2"/>
        </w:rPr>
        <w:t xml:space="preserve"> </w:t>
      </w:r>
      <w:r>
        <w:rPr>
          <w:spacing w:val="-1"/>
        </w:rPr>
        <w:t>pionowej</w:t>
      </w:r>
      <w:r>
        <w:rPr>
          <w:spacing w:val="-3"/>
        </w:rPr>
        <w:t xml:space="preserve"> </w:t>
      </w:r>
      <w:r>
        <w:rPr>
          <w:spacing w:val="-1"/>
        </w:rPr>
        <w:t>urządzeń</w:t>
      </w:r>
    </w:p>
    <w:p w:rsidR="002122BD" w:rsidRDefault="002122BD" w:rsidP="002122BD">
      <w:pPr>
        <w:pStyle w:val="Tekstpodstawowy"/>
        <w:ind w:right="119"/>
      </w:pPr>
      <w:r>
        <w:rPr>
          <w:spacing w:val="-1"/>
        </w:rPr>
        <w:t>Wykonawca</w:t>
      </w:r>
      <w:r>
        <w:rPr>
          <w:spacing w:val="-3"/>
        </w:rPr>
        <w:t xml:space="preserve"> </w:t>
      </w:r>
      <w:r>
        <w:rPr>
          <w:spacing w:val="-1"/>
        </w:rPr>
        <w:t>przystępujący</w:t>
      </w:r>
      <w:r>
        <w:rPr>
          <w:spacing w:val="-6"/>
        </w:rPr>
        <w:t xml:space="preserve"> </w:t>
      </w:r>
      <w:r>
        <w:t>do</w:t>
      </w:r>
      <w:r>
        <w:rPr>
          <w:spacing w:val="-5"/>
        </w:rPr>
        <w:t xml:space="preserve"> </w:t>
      </w:r>
      <w:r>
        <w:rPr>
          <w:spacing w:val="-1"/>
        </w:rPr>
        <w:t>wykonania</w:t>
      </w:r>
      <w:r>
        <w:rPr>
          <w:spacing w:val="-3"/>
        </w:rPr>
        <w:t xml:space="preserve"> </w:t>
      </w:r>
      <w:r>
        <w:rPr>
          <w:spacing w:val="-1"/>
        </w:rPr>
        <w:t>naprawy</w:t>
      </w:r>
      <w:r>
        <w:rPr>
          <w:spacing w:val="-6"/>
        </w:rPr>
        <w:t xml:space="preserve"> </w:t>
      </w:r>
      <w:r>
        <w:rPr>
          <w:spacing w:val="-1"/>
        </w:rPr>
        <w:t>powinien</w:t>
      </w:r>
      <w:r>
        <w:rPr>
          <w:spacing w:val="-4"/>
        </w:rPr>
        <w:t xml:space="preserve"> </w:t>
      </w:r>
      <w:r>
        <w:rPr>
          <w:spacing w:val="-1"/>
        </w:rPr>
        <w:t>wykazać</w:t>
      </w:r>
      <w:r>
        <w:rPr>
          <w:spacing w:val="-5"/>
        </w:rPr>
        <w:t xml:space="preserve"> </w:t>
      </w:r>
      <w:r>
        <w:rPr>
          <w:spacing w:val="-1"/>
        </w:rPr>
        <w:t>się</w:t>
      </w:r>
      <w:r>
        <w:rPr>
          <w:spacing w:val="-7"/>
        </w:rPr>
        <w:t xml:space="preserve"> </w:t>
      </w:r>
      <w:r>
        <w:rPr>
          <w:spacing w:val="-1"/>
        </w:rPr>
        <w:t>możliwością</w:t>
      </w:r>
      <w:r>
        <w:rPr>
          <w:spacing w:val="65"/>
          <w:w w:val="99"/>
        </w:rPr>
        <w:t xml:space="preserve"> </w:t>
      </w:r>
      <w:r>
        <w:rPr>
          <w:spacing w:val="-1"/>
        </w:rPr>
        <w:t>korzystania</w:t>
      </w:r>
      <w:r>
        <w:rPr>
          <w:spacing w:val="-5"/>
        </w:rPr>
        <w:t xml:space="preserve"> </w:t>
      </w:r>
      <w:r>
        <w:t>z</w:t>
      </w:r>
      <w:r>
        <w:rPr>
          <w:spacing w:val="-5"/>
        </w:rPr>
        <w:t xml:space="preserve"> </w:t>
      </w:r>
      <w:r>
        <w:rPr>
          <w:spacing w:val="-1"/>
        </w:rPr>
        <w:t>następującego</w:t>
      </w:r>
      <w:r>
        <w:rPr>
          <w:spacing w:val="-4"/>
        </w:rPr>
        <w:t xml:space="preserve"> </w:t>
      </w:r>
      <w:r>
        <w:rPr>
          <w:spacing w:val="-1"/>
        </w:rPr>
        <w:t>sprzętu</w:t>
      </w:r>
      <w:r>
        <w:rPr>
          <w:spacing w:val="-5"/>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t>piły</w:t>
      </w:r>
      <w:r>
        <w:rPr>
          <w:spacing w:val="-5"/>
        </w:rPr>
        <w:t xml:space="preserve"> </w:t>
      </w:r>
      <w:r>
        <w:rPr>
          <w:spacing w:val="-1"/>
        </w:rPr>
        <w:t>tarczowej</w:t>
      </w:r>
      <w:r>
        <w:rPr>
          <w:spacing w:val="-3"/>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młota</w:t>
      </w:r>
      <w:r>
        <w:rPr>
          <w:spacing w:val="-6"/>
        </w:rPr>
        <w:t xml:space="preserve"> </w:t>
      </w:r>
      <w:r>
        <w:rPr>
          <w:spacing w:val="-1"/>
        </w:rPr>
        <w:t>pneumatycznego</w:t>
      </w:r>
      <w:r>
        <w:rPr>
          <w:spacing w:val="-7"/>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zagęszczarki</w:t>
      </w:r>
      <w:r>
        <w:rPr>
          <w:spacing w:val="-8"/>
        </w:rPr>
        <w:t xml:space="preserve"> </w:t>
      </w:r>
      <w:r>
        <w:rPr>
          <w:spacing w:val="-1"/>
        </w:rPr>
        <w:t>wibracyjnej</w:t>
      </w:r>
      <w:r>
        <w:rPr>
          <w:spacing w:val="-7"/>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sprzętu</w:t>
      </w:r>
      <w:r>
        <w:rPr>
          <w:spacing w:val="-4"/>
        </w:rPr>
        <w:t xml:space="preserve"> </w:t>
      </w:r>
      <w:r>
        <w:rPr>
          <w:spacing w:val="-1"/>
        </w:rPr>
        <w:t>pomocniczego</w:t>
      </w:r>
      <w:r>
        <w:rPr>
          <w:spacing w:val="-4"/>
        </w:rPr>
        <w:t xml:space="preserve"> </w:t>
      </w:r>
      <w:r>
        <w:rPr>
          <w:spacing w:val="-1"/>
        </w:rPr>
        <w:t>(szczotka</w:t>
      </w:r>
      <w:r>
        <w:rPr>
          <w:spacing w:val="-4"/>
        </w:rPr>
        <w:t xml:space="preserve"> </w:t>
      </w:r>
      <w:r>
        <w:t>,</w:t>
      </w:r>
      <w:r>
        <w:rPr>
          <w:spacing w:val="-5"/>
        </w:rPr>
        <w:t xml:space="preserve"> </w:t>
      </w:r>
      <w:r>
        <w:rPr>
          <w:spacing w:val="-1"/>
        </w:rPr>
        <w:t>łopata</w:t>
      </w:r>
      <w:r>
        <w:rPr>
          <w:spacing w:val="-3"/>
        </w:rPr>
        <w:t xml:space="preserve"> </w:t>
      </w:r>
      <w:r>
        <w:t>,</w:t>
      </w:r>
      <w:r>
        <w:rPr>
          <w:spacing w:val="-4"/>
        </w:rPr>
        <w:t xml:space="preserve"> </w:t>
      </w:r>
      <w:r>
        <w:rPr>
          <w:spacing w:val="-1"/>
        </w:rPr>
        <w:t>szablon</w:t>
      </w:r>
      <w:r>
        <w:rPr>
          <w:spacing w:val="-5"/>
        </w:rPr>
        <w:t xml:space="preserve"> </w:t>
      </w:r>
      <w:r>
        <w:rPr>
          <w:spacing w:val="-1"/>
        </w:rPr>
        <w:t>itp.)</w:t>
      </w:r>
    </w:p>
    <w:p w:rsidR="002122BD" w:rsidRDefault="002122BD" w:rsidP="002122BD">
      <w:pPr>
        <w:spacing w:before="9"/>
      </w:pPr>
    </w:p>
    <w:p w:rsidR="002122BD" w:rsidRDefault="002122BD" w:rsidP="002122BD">
      <w:pPr>
        <w:pStyle w:val="Nagwek2"/>
        <w:keepNext w:val="0"/>
        <w:widowControl w:val="0"/>
        <w:numPr>
          <w:ilvl w:val="0"/>
          <w:numId w:val="88"/>
        </w:numPr>
        <w:tabs>
          <w:tab w:val="left" w:pos="360"/>
        </w:tabs>
        <w:spacing w:before="0" w:after="0"/>
        <w:ind w:left="359" w:hanging="259"/>
        <w:rPr>
          <w:b w:val="0"/>
          <w:bCs/>
        </w:rPr>
      </w:pPr>
      <w:bookmarkStart w:id="463" w:name="4._TRANSPORT"/>
      <w:bookmarkEnd w:id="463"/>
      <w:r>
        <w:rPr>
          <w:spacing w:val="-1"/>
        </w:rPr>
        <w:t>TRANSPORT</w:t>
      </w:r>
    </w:p>
    <w:p w:rsidR="002122BD" w:rsidRDefault="002122BD" w:rsidP="002122BD">
      <w:pPr>
        <w:pStyle w:val="Nagwek3"/>
        <w:keepNext w:val="0"/>
        <w:widowControl w:val="0"/>
        <w:numPr>
          <w:ilvl w:val="1"/>
          <w:numId w:val="88"/>
        </w:numPr>
        <w:tabs>
          <w:tab w:val="left" w:pos="808"/>
        </w:tabs>
        <w:spacing w:before="59" w:after="0"/>
        <w:ind w:left="808" w:hanging="708"/>
        <w:rPr>
          <w:b/>
          <w:bCs/>
        </w:rPr>
      </w:pPr>
      <w:r>
        <w:rPr>
          <w:spacing w:val="-1"/>
        </w:rPr>
        <w:t>Ogólne</w:t>
      </w:r>
      <w:r>
        <w:rPr>
          <w:spacing w:val="-5"/>
        </w:rPr>
        <w:t xml:space="preserve"> </w:t>
      </w:r>
      <w:r>
        <w:rPr>
          <w:spacing w:val="-1"/>
        </w:rPr>
        <w:t>wymagania</w:t>
      </w:r>
      <w:r>
        <w:rPr>
          <w:spacing w:val="-5"/>
        </w:rPr>
        <w:t xml:space="preserve"> </w:t>
      </w:r>
      <w:r>
        <w:rPr>
          <w:spacing w:val="-1"/>
        </w:rPr>
        <w:t>dotyczące</w:t>
      </w:r>
      <w:r>
        <w:rPr>
          <w:spacing w:val="-5"/>
        </w:rPr>
        <w:t xml:space="preserve"> </w:t>
      </w:r>
      <w:r>
        <w:rPr>
          <w:spacing w:val="-1"/>
        </w:rPr>
        <w:t>transportu</w:t>
      </w:r>
    </w:p>
    <w:p w:rsidR="002122BD" w:rsidRDefault="002122BD" w:rsidP="002122BD">
      <w:pPr>
        <w:pStyle w:val="Tekstpodstawowy"/>
        <w:ind w:right="119"/>
      </w:pPr>
      <w:r>
        <w:rPr>
          <w:spacing w:val="-1"/>
        </w:rPr>
        <w:t>Ogólne</w:t>
      </w:r>
      <w:r>
        <w:t xml:space="preserve"> </w:t>
      </w:r>
      <w:r>
        <w:rPr>
          <w:spacing w:val="2"/>
        </w:rPr>
        <w:t xml:space="preserve"> </w:t>
      </w:r>
      <w:r>
        <w:rPr>
          <w:spacing w:val="-1"/>
        </w:rPr>
        <w:t>wymagania</w:t>
      </w:r>
      <w:r>
        <w:t xml:space="preserve"> </w:t>
      </w:r>
      <w:r>
        <w:rPr>
          <w:spacing w:val="3"/>
        </w:rPr>
        <w:t xml:space="preserve"> </w:t>
      </w:r>
      <w:r>
        <w:rPr>
          <w:spacing w:val="-1"/>
        </w:rPr>
        <w:t>dotyczące</w:t>
      </w:r>
      <w:r>
        <w:t xml:space="preserve"> </w:t>
      </w:r>
      <w:r>
        <w:rPr>
          <w:spacing w:val="2"/>
        </w:rPr>
        <w:t xml:space="preserve"> </w:t>
      </w:r>
      <w:r>
        <w:rPr>
          <w:spacing w:val="-1"/>
        </w:rPr>
        <w:t>transportu</w:t>
      </w:r>
      <w:r>
        <w:t xml:space="preserve"> </w:t>
      </w:r>
      <w:r>
        <w:rPr>
          <w:spacing w:val="3"/>
        </w:rPr>
        <w:t xml:space="preserve"> </w:t>
      </w:r>
      <w:r>
        <w:rPr>
          <w:spacing w:val="-1"/>
        </w:rPr>
        <w:t>podano</w:t>
      </w:r>
      <w:r>
        <w:t xml:space="preserve">  w </w:t>
      </w:r>
      <w:r>
        <w:rPr>
          <w:spacing w:val="1"/>
        </w:rPr>
        <w:t xml:space="preserve"> </w:t>
      </w:r>
      <w:r>
        <w:rPr>
          <w:spacing w:val="-1"/>
        </w:rPr>
        <w:t>SST</w:t>
      </w:r>
      <w:r>
        <w:t xml:space="preserve"> </w:t>
      </w:r>
      <w:r>
        <w:rPr>
          <w:spacing w:val="2"/>
        </w:rPr>
        <w:t xml:space="preserve"> </w:t>
      </w:r>
      <w:r>
        <w:rPr>
          <w:spacing w:val="-1"/>
        </w:rPr>
        <w:t>D-</w:t>
      </w:r>
      <w:r>
        <w:t xml:space="preserve">  00.00.00  </w:t>
      </w:r>
      <w:r>
        <w:rPr>
          <w:spacing w:val="-1"/>
        </w:rPr>
        <w:t>„Wymagania</w:t>
      </w:r>
      <w:r>
        <w:rPr>
          <w:spacing w:val="55"/>
          <w:w w:val="99"/>
        </w:rPr>
        <w:t xml:space="preserve"> </w:t>
      </w:r>
      <w:r>
        <w:rPr>
          <w:spacing w:val="-1"/>
        </w:rPr>
        <w:t>ogólne”</w:t>
      </w:r>
      <w:r>
        <w:rPr>
          <w:spacing w:val="-3"/>
        </w:rPr>
        <w:t xml:space="preserve"> </w:t>
      </w:r>
      <w:r>
        <w:t>pkt</w:t>
      </w:r>
      <w:r>
        <w:rPr>
          <w:spacing w:val="-5"/>
        </w:rPr>
        <w:t xml:space="preserve"> </w:t>
      </w:r>
      <w:r>
        <w:t>4</w:t>
      </w:r>
      <w:r>
        <w:rPr>
          <w:spacing w:val="-3"/>
        </w:rPr>
        <w:t xml:space="preserve"> </w:t>
      </w:r>
      <w:r>
        <w:t>.</w:t>
      </w:r>
    </w:p>
    <w:p w:rsidR="002122BD" w:rsidRDefault="002122BD" w:rsidP="002122BD">
      <w:pPr>
        <w:pStyle w:val="Nagwek3"/>
        <w:keepNext w:val="0"/>
        <w:widowControl w:val="0"/>
        <w:numPr>
          <w:ilvl w:val="1"/>
          <w:numId w:val="88"/>
        </w:numPr>
        <w:tabs>
          <w:tab w:val="left" w:pos="808"/>
        </w:tabs>
        <w:spacing w:before="0" w:after="0"/>
        <w:ind w:left="808" w:hanging="708"/>
        <w:rPr>
          <w:b/>
          <w:bCs/>
        </w:rPr>
      </w:pPr>
      <w:r>
        <w:rPr>
          <w:spacing w:val="-1"/>
        </w:rPr>
        <w:t>Transport</w:t>
      </w:r>
      <w:r>
        <w:rPr>
          <w:spacing w:val="50"/>
        </w:rPr>
        <w:t xml:space="preserve"> </w:t>
      </w:r>
      <w:r>
        <w:rPr>
          <w:spacing w:val="-1"/>
        </w:rPr>
        <w:t>materiałów</w:t>
      </w:r>
    </w:p>
    <w:p w:rsidR="002122BD" w:rsidRDefault="002122BD" w:rsidP="002122BD">
      <w:pPr>
        <w:pStyle w:val="Tekstpodstawowy"/>
        <w:ind w:right="119"/>
      </w:pPr>
      <w:r>
        <w:t xml:space="preserve">Nowe </w:t>
      </w:r>
      <w:r>
        <w:rPr>
          <w:spacing w:val="35"/>
        </w:rPr>
        <w:t xml:space="preserve"> </w:t>
      </w:r>
      <w:r>
        <w:rPr>
          <w:spacing w:val="-1"/>
        </w:rPr>
        <w:t>materiały</w:t>
      </w:r>
      <w:r>
        <w:t xml:space="preserve"> </w:t>
      </w:r>
      <w:r>
        <w:rPr>
          <w:spacing w:val="37"/>
        </w:rPr>
        <w:t xml:space="preserve"> </w:t>
      </w:r>
      <w:r>
        <w:t xml:space="preserve">do </w:t>
      </w:r>
      <w:r>
        <w:rPr>
          <w:spacing w:val="35"/>
        </w:rPr>
        <w:t xml:space="preserve"> </w:t>
      </w:r>
      <w:r>
        <w:rPr>
          <w:spacing w:val="-1"/>
        </w:rPr>
        <w:t>wykonania</w:t>
      </w:r>
      <w:r>
        <w:t xml:space="preserve"> </w:t>
      </w:r>
      <w:r>
        <w:rPr>
          <w:spacing w:val="38"/>
        </w:rPr>
        <w:t xml:space="preserve"> </w:t>
      </w:r>
      <w:r>
        <w:t xml:space="preserve">naprawy </w:t>
      </w:r>
      <w:r>
        <w:rPr>
          <w:spacing w:val="35"/>
        </w:rPr>
        <w:t xml:space="preserve"> </w:t>
      </w:r>
      <w:r>
        <w:rPr>
          <w:spacing w:val="-1"/>
        </w:rPr>
        <w:t>można</w:t>
      </w:r>
      <w:r>
        <w:t xml:space="preserve"> </w:t>
      </w:r>
      <w:r>
        <w:rPr>
          <w:spacing w:val="37"/>
        </w:rPr>
        <w:t xml:space="preserve"> </w:t>
      </w:r>
      <w:r>
        <w:rPr>
          <w:spacing w:val="-1"/>
        </w:rPr>
        <w:t>dostarczać</w:t>
      </w:r>
      <w:r>
        <w:t xml:space="preserve"> </w:t>
      </w:r>
      <w:r>
        <w:rPr>
          <w:spacing w:val="39"/>
        </w:rPr>
        <w:t xml:space="preserve"> </w:t>
      </w:r>
      <w:r>
        <w:rPr>
          <w:spacing w:val="-2"/>
        </w:rPr>
        <w:t>dowolnymi</w:t>
      </w:r>
      <w:r>
        <w:t xml:space="preserve"> </w:t>
      </w:r>
      <w:r>
        <w:rPr>
          <w:spacing w:val="40"/>
        </w:rPr>
        <w:t xml:space="preserve"> </w:t>
      </w:r>
      <w:r>
        <w:rPr>
          <w:spacing w:val="-1"/>
        </w:rPr>
        <w:t>środkami</w:t>
      </w:r>
      <w:r>
        <w:rPr>
          <w:spacing w:val="51"/>
          <w:w w:val="99"/>
        </w:rPr>
        <w:t xml:space="preserve"> </w:t>
      </w:r>
      <w:r>
        <w:rPr>
          <w:spacing w:val="-1"/>
        </w:rPr>
        <w:t>transportu</w:t>
      </w:r>
      <w:r>
        <w:rPr>
          <w:spacing w:val="-6"/>
        </w:rPr>
        <w:t xml:space="preserve"> </w:t>
      </w:r>
      <w:r>
        <w:t>.</w:t>
      </w:r>
    </w:p>
    <w:p w:rsidR="002122BD" w:rsidRDefault="002122BD" w:rsidP="002122BD">
      <w:pPr>
        <w:spacing w:before="11"/>
      </w:pPr>
    </w:p>
    <w:p w:rsidR="002122BD" w:rsidRDefault="002122BD" w:rsidP="002122BD">
      <w:pPr>
        <w:pStyle w:val="Nagwek2"/>
        <w:keepNext w:val="0"/>
        <w:widowControl w:val="0"/>
        <w:numPr>
          <w:ilvl w:val="0"/>
          <w:numId w:val="88"/>
        </w:numPr>
        <w:tabs>
          <w:tab w:val="left" w:pos="360"/>
        </w:tabs>
        <w:spacing w:before="0" w:after="0"/>
        <w:ind w:left="359" w:hanging="259"/>
        <w:rPr>
          <w:b w:val="0"/>
          <w:bCs/>
        </w:rPr>
      </w:pPr>
      <w:bookmarkStart w:id="464" w:name="5._Wykonanie_robót"/>
      <w:bookmarkEnd w:id="464"/>
      <w:r>
        <w:rPr>
          <w:spacing w:val="-1"/>
        </w:rPr>
        <w:t>Wykonanie</w:t>
      </w:r>
      <w:r>
        <w:rPr>
          <w:spacing w:val="-3"/>
        </w:rPr>
        <w:t xml:space="preserve"> </w:t>
      </w:r>
      <w:r>
        <w:rPr>
          <w:spacing w:val="-1"/>
        </w:rPr>
        <w:t>robót</w:t>
      </w:r>
    </w:p>
    <w:p w:rsidR="002122BD" w:rsidRDefault="002122BD" w:rsidP="002122BD">
      <w:pPr>
        <w:pStyle w:val="Nagwek3"/>
        <w:keepNext w:val="0"/>
        <w:widowControl w:val="0"/>
        <w:numPr>
          <w:ilvl w:val="1"/>
          <w:numId w:val="88"/>
        </w:numPr>
        <w:tabs>
          <w:tab w:val="left" w:pos="808"/>
        </w:tabs>
        <w:spacing w:before="59" w:after="0"/>
        <w:ind w:left="808" w:hanging="708"/>
        <w:rPr>
          <w:b/>
          <w:bCs/>
        </w:rPr>
      </w:pPr>
      <w:r>
        <w:rPr>
          <w:spacing w:val="-1"/>
        </w:rPr>
        <w:t>Ogólne</w:t>
      </w:r>
      <w:r>
        <w:rPr>
          <w:spacing w:val="-2"/>
        </w:rPr>
        <w:t xml:space="preserve"> </w:t>
      </w:r>
      <w:r>
        <w:rPr>
          <w:spacing w:val="-1"/>
        </w:rPr>
        <w:t>zasady</w:t>
      </w:r>
      <w:r>
        <w:rPr>
          <w:spacing w:val="-2"/>
        </w:rPr>
        <w:t xml:space="preserve"> </w:t>
      </w:r>
      <w:r>
        <w:rPr>
          <w:spacing w:val="-1"/>
        </w:rPr>
        <w:t>wykonania</w:t>
      </w:r>
      <w:r>
        <w:rPr>
          <w:spacing w:val="-3"/>
        </w:rPr>
        <w:t xml:space="preserve"> </w:t>
      </w:r>
      <w:r>
        <w:rPr>
          <w:spacing w:val="-1"/>
        </w:rPr>
        <w:t>robót</w:t>
      </w:r>
    </w:p>
    <w:p w:rsidR="002122BD" w:rsidRDefault="002122BD" w:rsidP="002122BD">
      <w:pPr>
        <w:pStyle w:val="Tekstpodstawowy"/>
        <w:ind w:right="575"/>
      </w:pPr>
      <w:r>
        <w:rPr>
          <w:spacing w:val="-1"/>
        </w:rPr>
        <w:t>Ogólne</w:t>
      </w:r>
      <w:r>
        <w:rPr>
          <w:spacing w:val="-4"/>
        </w:rPr>
        <w:t xml:space="preserve"> </w:t>
      </w:r>
      <w:r>
        <w:rPr>
          <w:spacing w:val="-1"/>
        </w:rPr>
        <w:t>zasady</w:t>
      </w:r>
      <w:r>
        <w:rPr>
          <w:spacing w:val="-5"/>
        </w:rPr>
        <w:t xml:space="preserve"> </w:t>
      </w:r>
      <w:r>
        <w:rPr>
          <w:spacing w:val="-1"/>
        </w:rPr>
        <w:t>wykonania</w:t>
      </w:r>
      <w:r>
        <w:rPr>
          <w:spacing w:val="-4"/>
        </w:rPr>
        <w:t xml:space="preserve"> </w:t>
      </w:r>
      <w:r>
        <w:t>robót</w:t>
      </w:r>
      <w:r>
        <w:rPr>
          <w:spacing w:val="-4"/>
        </w:rPr>
        <w:t xml:space="preserve"> </w:t>
      </w:r>
      <w:r>
        <w:rPr>
          <w:spacing w:val="-1"/>
        </w:rPr>
        <w:t>podano</w:t>
      </w:r>
      <w:r>
        <w:rPr>
          <w:spacing w:val="-5"/>
        </w:rPr>
        <w:t xml:space="preserve"> </w:t>
      </w:r>
      <w:r>
        <w:t>w</w:t>
      </w:r>
      <w:r>
        <w:rPr>
          <w:spacing w:val="-5"/>
        </w:rPr>
        <w:t xml:space="preserve"> </w:t>
      </w:r>
      <w:r>
        <w:rPr>
          <w:spacing w:val="-1"/>
        </w:rPr>
        <w:t>SST</w:t>
      </w:r>
      <w:r>
        <w:rPr>
          <w:spacing w:val="-4"/>
        </w:rPr>
        <w:t xml:space="preserve"> </w:t>
      </w:r>
      <w:r>
        <w:rPr>
          <w:spacing w:val="-1"/>
        </w:rPr>
        <w:t>D-00.00.00</w:t>
      </w:r>
      <w:r>
        <w:rPr>
          <w:spacing w:val="-5"/>
        </w:rPr>
        <w:t xml:space="preserve"> </w:t>
      </w:r>
      <w:r>
        <w:rPr>
          <w:spacing w:val="-1"/>
        </w:rPr>
        <w:t>„Wymagania</w:t>
      </w:r>
      <w:r>
        <w:rPr>
          <w:spacing w:val="-3"/>
        </w:rPr>
        <w:t xml:space="preserve"> </w:t>
      </w:r>
      <w:r>
        <w:rPr>
          <w:spacing w:val="-1"/>
        </w:rPr>
        <w:t>ogólne”</w:t>
      </w:r>
      <w:r>
        <w:rPr>
          <w:spacing w:val="69"/>
          <w:w w:val="99"/>
        </w:rPr>
        <w:t xml:space="preserve"> </w:t>
      </w:r>
      <w:r>
        <w:t>pkt</w:t>
      </w:r>
      <w:r>
        <w:rPr>
          <w:spacing w:val="58"/>
        </w:rPr>
        <w:t xml:space="preserve"> </w:t>
      </w:r>
      <w:r>
        <w:t>5</w:t>
      </w:r>
      <w:r>
        <w:rPr>
          <w:spacing w:val="-1"/>
        </w:rPr>
        <w:t xml:space="preserve"> </w:t>
      </w:r>
      <w:r>
        <w:t>.</w:t>
      </w:r>
    </w:p>
    <w:p w:rsidR="002122BD" w:rsidRDefault="002122BD" w:rsidP="002122BD">
      <w:pPr>
        <w:spacing w:before="10"/>
      </w:pPr>
    </w:p>
    <w:p w:rsidR="002122BD" w:rsidRDefault="002122BD" w:rsidP="002122BD">
      <w:pPr>
        <w:pStyle w:val="Nagwek3"/>
        <w:keepNext w:val="0"/>
        <w:widowControl w:val="0"/>
        <w:numPr>
          <w:ilvl w:val="1"/>
          <w:numId w:val="88"/>
        </w:numPr>
        <w:tabs>
          <w:tab w:val="left" w:pos="580"/>
        </w:tabs>
        <w:spacing w:before="0" w:after="0"/>
        <w:ind w:left="580"/>
        <w:rPr>
          <w:b/>
          <w:bCs/>
        </w:rPr>
      </w:pPr>
      <w:bookmarkStart w:id="465" w:name="5.2._Wykonanie_regulacji_pionowej_studzi"/>
      <w:bookmarkEnd w:id="465"/>
      <w:r>
        <w:rPr>
          <w:spacing w:val="-1"/>
        </w:rPr>
        <w:t>Wykonanie</w:t>
      </w:r>
      <w:r>
        <w:rPr>
          <w:spacing w:val="-5"/>
        </w:rPr>
        <w:t xml:space="preserve"> </w:t>
      </w:r>
      <w:r>
        <w:rPr>
          <w:spacing w:val="-1"/>
        </w:rPr>
        <w:t>regulacji</w:t>
      </w:r>
      <w:r>
        <w:rPr>
          <w:spacing w:val="-3"/>
        </w:rPr>
        <w:t xml:space="preserve"> </w:t>
      </w:r>
      <w:r>
        <w:rPr>
          <w:spacing w:val="-1"/>
        </w:rPr>
        <w:t>pionowej</w:t>
      </w:r>
      <w:r>
        <w:rPr>
          <w:spacing w:val="-4"/>
        </w:rPr>
        <w:t xml:space="preserve"> </w:t>
      </w:r>
      <w:r>
        <w:rPr>
          <w:spacing w:val="-1"/>
        </w:rPr>
        <w:t>studzienek</w:t>
      </w:r>
      <w:r>
        <w:rPr>
          <w:spacing w:val="-2"/>
        </w:rPr>
        <w:t xml:space="preserve"> </w:t>
      </w:r>
      <w:r>
        <w:rPr>
          <w:spacing w:val="-1"/>
        </w:rPr>
        <w:t>urządzeń</w:t>
      </w:r>
      <w:r>
        <w:rPr>
          <w:spacing w:val="-2"/>
        </w:rPr>
        <w:t xml:space="preserve"> </w:t>
      </w:r>
      <w:r>
        <w:rPr>
          <w:spacing w:val="-1"/>
        </w:rPr>
        <w:t>podziemnych</w:t>
      </w:r>
      <w:r>
        <w:rPr>
          <w:spacing w:val="-4"/>
        </w:rPr>
        <w:t xml:space="preserve"> </w:t>
      </w:r>
      <w:r>
        <w:t>i</w:t>
      </w:r>
      <w:r>
        <w:rPr>
          <w:spacing w:val="-5"/>
        </w:rPr>
        <w:t xml:space="preserve"> </w:t>
      </w:r>
      <w:r>
        <w:rPr>
          <w:spacing w:val="-1"/>
        </w:rPr>
        <w:t>zaworów</w:t>
      </w:r>
    </w:p>
    <w:p w:rsidR="002122BD" w:rsidRDefault="002122BD" w:rsidP="002122BD">
      <w:pPr>
        <w:pStyle w:val="Tekstpodstawowy"/>
        <w:spacing w:before="60"/>
        <w:ind w:left="100" w:right="110" w:firstLine="426"/>
        <w:jc w:val="both"/>
      </w:pPr>
      <w:r>
        <w:rPr>
          <w:spacing w:val="-1"/>
        </w:rPr>
        <w:t>Istniejące</w:t>
      </w:r>
      <w:r>
        <w:rPr>
          <w:spacing w:val="24"/>
        </w:rPr>
        <w:t xml:space="preserve"> </w:t>
      </w:r>
      <w:r>
        <w:rPr>
          <w:spacing w:val="-1"/>
        </w:rPr>
        <w:t>studzienki</w:t>
      </w:r>
      <w:r>
        <w:rPr>
          <w:spacing w:val="24"/>
        </w:rPr>
        <w:t xml:space="preserve"> </w:t>
      </w:r>
      <w:r>
        <w:rPr>
          <w:spacing w:val="-1"/>
        </w:rPr>
        <w:t>urządzeń</w:t>
      </w:r>
      <w:r>
        <w:rPr>
          <w:spacing w:val="24"/>
        </w:rPr>
        <w:t xml:space="preserve"> </w:t>
      </w:r>
      <w:r>
        <w:rPr>
          <w:spacing w:val="-1"/>
        </w:rPr>
        <w:t>podziemnych</w:t>
      </w:r>
      <w:r>
        <w:rPr>
          <w:spacing w:val="29"/>
        </w:rPr>
        <w:t xml:space="preserve"> </w:t>
      </w:r>
      <w:r>
        <w:t>i</w:t>
      </w:r>
      <w:r>
        <w:rPr>
          <w:spacing w:val="21"/>
        </w:rPr>
        <w:t xml:space="preserve"> </w:t>
      </w:r>
      <w:r>
        <w:rPr>
          <w:spacing w:val="-1"/>
        </w:rPr>
        <w:t>zawory</w:t>
      </w:r>
      <w:r>
        <w:rPr>
          <w:spacing w:val="23"/>
        </w:rPr>
        <w:t xml:space="preserve"> </w:t>
      </w:r>
      <w:r>
        <w:rPr>
          <w:spacing w:val="-1"/>
        </w:rPr>
        <w:t>należy</w:t>
      </w:r>
      <w:r>
        <w:rPr>
          <w:spacing w:val="23"/>
        </w:rPr>
        <w:t xml:space="preserve"> </w:t>
      </w:r>
      <w:r>
        <w:rPr>
          <w:spacing w:val="-1"/>
        </w:rPr>
        <w:t>wyregulować</w:t>
      </w:r>
      <w:r>
        <w:rPr>
          <w:spacing w:val="63"/>
          <w:w w:val="99"/>
        </w:rPr>
        <w:t xml:space="preserve"> </w:t>
      </w:r>
      <w:r>
        <w:rPr>
          <w:spacing w:val="-1"/>
        </w:rPr>
        <w:t>wysokościowo</w:t>
      </w:r>
      <w:r>
        <w:rPr>
          <w:spacing w:val="4"/>
        </w:rPr>
        <w:t xml:space="preserve"> </w:t>
      </w:r>
      <w:r>
        <w:rPr>
          <w:spacing w:val="-1"/>
        </w:rPr>
        <w:t>tak,</w:t>
      </w:r>
      <w:r>
        <w:rPr>
          <w:spacing w:val="3"/>
        </w:rPr>
        <w:t xml:space="preserve"> </w:t>
      </w:r>
      <w:r>
        <w:t xml:space="preserve">aby </w:t>
      </w:r>
      <w:r>
        <w:rPr>
          <w:spacing w:val="-1"/>
        </w:rPr>
        <w:t>ich</w:t>
      </w:r>
      <w:r>
        <w:rPr>
          <w:spacing w:val="3"/>
        </w:rPr>
        <w:t xml:space="preserve"> </w:t>
      </w:r>
      <w:r>
        <w:rPr>
          <w:spacing w:val="-1"/>
        </w:rPr>
        <w:t>rzędne</w:t>
      </w:r>
      <w:r>
        <w:rPr>
          <w:spacing w:val="2"/>
        </w:rPr>
        <w:t xml:space="preserve"> </w:t>
      </w:r>
      <w:r>
        <w:rPr>
          <w:spacing w:val="-1"/>
        </w:rPr>
        <w:t>były</w:t>
      </w:r>
      <w:r>
        <w:rPr>
          <w:spacing w:val="4"/>
        </w:rPr>
        <w:t xml:space="preserve"> </w:t>
      </w:r>
      <w:r>
        <w:t>równe  z</w:t>
      </w:r>
      <w:r>
        <w:rPr>
          <w:spacing w:val="2"/>
        </w:rPr>
        <w:t xml:space="preserve"> </w:t>
      </w:r>
      <w:r>
        <w:rPr>
          <w:spacing w:val="-1"/>
        </w:rPr>
        <w:t>rzędną</w:t>
      </w:r>
      <w:r>
        <w:rPr>
          <w:spacing w:val="1"/>
        </w:rPr>
        <w:t xml:space="preserve"> </w:t>
      </w:r>
      <w:r>
        <w:t>nowo</w:t>
      </w:r>
      <w:r>
        <w:rPr>
          <w:spacing w:val="3"/>
        </w:rPr>
        <w:t xml:space="preserve"> </w:t>
      </w:r>
      <w:r>
        <w:rPr>
          <w:spacing w:val="-1"/>
        </w:rPr>
        <w:t>wbudowywanej</w:t>
      </w:r>
      <w:r>
        <w:rPr>
          <w:spacing w:val="4"/>
        </w:rPr>
        <w:t xml:space="preserve"> </w:t>
      </w:r>
      <w:r>
        <w:rPr>
          <w:spacing w:val="-1"/>
        </w:rPr>
        <w:t>warstwy</w:t>
      </w:r>
      <w:r>
        <w:rPr>
          <w:spacing w:val="53"/>
        </w:rPr>
        <w:t xml:space="preserve"> </w:t>
      </w:r>
      <w:r>
        <w:rPr>
          <w:spacing w:val="-1"/>
        </w:rPr>
        <w:t>ścieralnej</w:t>
      </w:r>
      <w:r>
        <w:rPr>
          <w:spacing w:val="50"/>
        </w:rPr>
        <w:t xml:space="preserve"> </w:t>
      </w:r>
      <w:r>
        <w:rPr>
          <w:spacing w:val="-1"/>
        </w:rPr>
        <w:t>lub</w:t>
      </w:r>
      <w:r>
        <w:rPr>
          <w:spacing w:val="50"/>
        </w:rPr>
        <w:t xml:space="preserve"> </w:t>
      </w:r>
      <w:r>
        <w:rPr>
          <w:spacing w:val="-1"/>
        </w:rPr>
        <w:t>nawierzchni</w:t>
      </w:r>
      <w:r>
        <w:rPr>
          <w:spacing w:val="51"/>
        </w:rPr>
        <w:t xml:space="preserve"> </w:t>
      </w:r>
      <w:r>
        <w:rPr>
          <w:spacing w:val="-1"/>
        </w:rPr>
        <w:t>chodników.</w:t>
      </w:r>
      <w:r>
        <w:rPr>
          <w:spacing w:val="50"/>
        </w:rPr>
        <w:t xml:space="preserve"> </w:t>
      </w:r>
      <w:r>
        <w:rPr>
          <w:spacing w:val="-1"/>
        </w:rPr>
        <w:t>Roboty</w:t>
      </w:r>
      <w:r>
        <w:rPr>
          <w:spacing w:val="50"/>
        </w:rPr>
        <w:t xml:space="preserve"> </w:t>
      </w:r>
      <w:r>
        <w:rPr>
          <w:spacing w:val="-1"/>
        </w:rPr>
        <w:t>te</w:t>
      </w:r>
      <w:r>
        <w:rPr>
          <w:spacing w:val="49"/>
        </w:rPr>
        <w:t xml:space="preserve"> </w:t>
      </w:r>
      <w:r>
        <w:rPr>
          <w:spacing w:val="-1"/>
        </w:rPr>
        <w:t>należy</w:t>
      </w:r>
      <w:r>
        <w:rPr>
          <w:spacing w:val="48"/>
        </w:rPr>
        <w:t xml:space="preserve"> </w:t>
      </w:r>
      <w:r>
        <w:rPr>
          <w:spacing w:val="-1"/>
        </w:rPr>
        <w:t>wykonywać</w:t>
      </w:r>
      <w:r>
        <w:rPr>
          <w:spacing w:val="54"/>
        </w:rPr>
        <w:t xml:space="preserve"> </w:t>
      </w:r>
      <w:r>
        <w:t>pod</w:t>
      </w:r>
      <w:r>
        <w:rPr>
          <w:spacing w:val="48"/>
        </w:rPr>
        <w:t xml:space="preserve"> </w:t>
      </w:r>
      <w:r>
        <w:rPr>
          <w:spacing w:val="-1"/>
        </w:rPr>
        <w:t>nadzorem</w:t>
      </w:r>
      <w:r>
        <w:rPr>
          <w:spacing w:val="73"/>
          <w:w w:val="99"/>
        </w:rPr>
        <w:t xml:space="preserve"> </w:t>
      </w:r>
      <w:r>
        <w:rPr>
          <w:spacing w:val="-1"/>
        </w:rPr>
        <w:t>właścicieli</w:t>
      </w:r>
      <w:r>
        <w:rPr>
          <w:spacing w:val="-8"/>
        </w:rPr>
        <w:t xml:space="preserve"> </w:t>
      </w:r>
      <w:r>
        <w:rPr>
          <w:spacing w:val="-1"/>
        </w:rPr>
        <w:t>tych</w:t>
      </w:r>
      <w:r>
        <w:rPr>
          <w:spacing w:val="-6"/>
        </w:rPr>
        <w:t xml:space="preserve"> </w:t>
      </w:r>
      <w:r>
        <w:rPr>
          <w:spacing w:val="-1"/>
        </w:rPr>
        <w:t>urządzeń</w:t>
      </w:r>
      <w:r>
        <w:rPr>
          <w:spacing w:val="-8"/>
        </w:rPr>
        <w:t xml:space="preserve"> </w:t>
      </w:r>
      <w:r>
        <w:rPr>
          <w:spacing w:val="-1"/>
        </w:rPr>
        <w:t>podziemnych.</w:t>
      </w:r>
    </w:p>
    <w:p w:rsidR="002122BD" w:rsidRDefault="002122BD" w:rsidP="002122BD">
      <w:pPr>
        <w:spacing w:before="9"/>
      </w:pPr>
    </w:p>
    <w:p w:rsidR="002122BD" w:rsidRDefault="002122BD" w:rsidP="002122BD">
      <w:pPr>
        <w:pStyle w:val="Nagwek2"/>
        <w:keepNext w:val="0"/>
        <w:widowControl w:val="0"/>
        <w:numPr>
          <w:ilvl w:val="0"/>
          <w:numId w:val="88"/>
        </w:numPr>
        <w:tabs>
          <w:tab w:val="left" w:pos="360"/>
        </w:tabs>
        <w:spacing w:before="0" w:after="0"/>
        <w:ind w:left="359" w:hanging="259"/>
        <w:rPr>
          <w:b w:val="0"/>
          <w:bCs/>
        </w:rPr>
      </w:pPr>
      <w:bookmarkStart w:id="466" w:name="6._Kontrola_jakości"/>
      <w:bookmarkEnd w:id="466"/>
      <w:r>
        <w:rPr>
          <w:spacing w:val="-1"/>
        </w:rPr>
        <w:t>Kontrola</w:t>
      </w:r>
      <w:r>
        <w:rPr>
          <w:spacing w:val="-12"/>
        </w:rPr>
        <w:t xml:space="preserve"> </w:t>
      </w:r>
      <w:r>
        <w:rPr>
          <w:spacing w:val="-1"/>
        </w:rPr>
        <w:t>jakości</w:t>
      </w:r>
    </w:p>
    <w:p w:rsidR="002122BD" w:rsidRDefault="002122BD" w:rsidP="002122BD">
      <w:pPr>
        <w:pStyle w:val="Nagwek3"/>
        <w:keepNext w:val="0"/>
        <w:widowControl w:val="0"/>
        <w:numPr>
          <w:ilvl w:val="1"/>
          <w:numId w:val="88"/>
        </w:numPr>
        <w:tabs>
          <w:tab w:val="left" w:pos="868"/>
        </w:tabs>
        <w:spacing w:before="59" w:after="0"/>
        <w:ind w:left="868" w:hanging="768"/>
        <w:rPr>
          <w:b/>
          <w:bCs/>
        </w:rPr>
      </w:pPr>
      <w:r>
        <w:rPr>
          <w:spacing w:val="-1"/>
        </w:rPr>
        <w:t>Ogólne</w:t>
      </w:r>
      <w:r>
        <w:rPr>
          <w:spacing w:val="-3"/>
        </w:rPr>
        <w:t xml:space="preserve"> </w:t>
      </w:r>
      <w:r>
        <w:rPr>
          <w:spacing w:val="-1"/>
        </w:rPr>
        <w:t>zasady</w:t>
      </w:r>
      <w:r>
        <w:rPr>
          <w:spacing w:val="-3"/>
        </w:rPr>
        <w:t xml:space="preserve"> </w:t>
      </w:r>
      <w:r>
        <w:rPr>
          <w:spacing w:val="-1"/>
        </w:rPr>
        <w:t>kontroli</w:t>
      </w:r>
      <w:r>
        <w:rPr>
          <w:spacing w:val="-2"/>
        </w:rPr>
        <w:t xml:space="preserve"> </w:t>
      </w:r>
      <w:r>
        <w:rPr>
          <w:spacing w:val="-1"/>
        </w:rPr>
        <w:t>jakości</w:t>
      </w:r>
      <w:r>
        <w:rPr>
          <w:spacing w:val="-3"/>
        </w:rPr>
        <w:t xml:space="preserve"> </w:t>
      </w:r>
      <w:r>
        <w:rPr>
          <w:spacing w:val="-1"/>
        </w:rPr>
        <w:t>robót</w:t>
      </w:r>
    </w:p>
    <w:p w:rsidR="002122BD" w:rsidRDefault="002122BD" w:rsidP="002122BD">
      <w:pPr>
        <w:pStyle w:val="Tekstpodstawowy"/>
        <w:ind w:right="119"/>
      </w:pPr>
      <w:r>
        <w:rPr>
          <w:spacing w:val="-1"/>
        </w:rPr>
        <w:t>Ogólne</w:t>
      </w:r>
      <w:r>
        <w:rPr>
          <w:spacing w:val="-4"/>
        </w:rPr>
        <w:t xml:space="preserve"> </w:t>
      </w:r>
      <w:r>
        <w:rPr>
          <w:spacing w:val="-1"/>
        </w:rPr>
        <w:t>zasady</w:t>
      </w:r>
      <w:r>
        <w:rPr>
          <w:spacing w:val="-4"/>
        </w:rPr>
        <w:t xml:space="preserve"> </w:t>
      </w:r>
      <w:r>
        <w:rPr>
          <w:spacing w:val="-1"/>
        </w:rPr>
        <w:t>kontroli</w:t>
      </w:r>
      <w:r>
        <w:rPr>
          <w:spacing w:val="-4"/>
        </w:rPr>
        <w:t xml:space="preserve"> </w:t>
      </w:r>
      <w:r>
        <w:rPr>
          <w:spacing w:val="-1"/>
        </w:rPr>
        <w:t>jakości</w:t>
      </w:r>
      <w:r>
        <w:rPr>
          <w:spacing w:val="-3"/>
        </w:rPr>
        <w:t xml:space="preserve"> </w:t>
      </w:r>
      <w:r>
        <w:t>robót</w:t>
      </w:r>
      <w:r>
        <w:rPr>
          <w:spacing w:val="-5"/>
        </w:rPr>
        <w:t xml:space="preserve"> </w:t>
      </w:r>
      <w:r>
        <w:rPr>
          <w:spacing w:val="-1"/>
        </w:rPr>
        <w:t>podano</w:t>
      </w:r>
      <w:r>
        <w:rPr>
          <w:spacing w:val="-4"/>
        </w:rPr>
        <w:t xml:space="preserve"> </w:t>
      </w:r>
      <w:r>
        <w:t>w</w:t>
      </w:r>
      <w:r>
        <w:rPr>
          <w:spacing w:val="-5"/>
        </w:rPr>
        <w:t xml:space="preserve"> </w:t>
      </w:r>
      <w:r>
        <w:t>SST</w:t>
      </w:r>
      <w:r>
        <w:rPr>
          <w:spacing w:val="-5"/>
        </w:rPr>
        <w:t xml:space="preserve"> </w:t>
      </w:r>
      <w:r>
        <w:t>D-00.00.00</w:t>
      </w:r>
      <w:r>
        <w:rPr>
          <w:spacing w:val="-4"/>
        </w:rPr>
        <w:t xml:space="preserve"> </w:t>
      </w:r>
      <w:r>
        <w:rPr>
          <w:spacing w:val="-1"/>
        </w:rPr>
        <w:t>„Wymagania</w:t>
      </w:r>
      <w:r>
        <w:rPr>
          <w:spacing w:val="-4"/>
        </w:rPr>
        <w:t xml:space="preserve"> </w:t>
      </w:r>
      <w:r>
        <w:rPr>
          <w:spacing w:val="-1"/>
        </w:rPr>
        <w:t>ogólne</w:t>
      </w:r>
      <w:r>
        <w:rPr>
          <w:spacing w:val="-3"/>
        </w:rPr>
        <w:t xml:space="preserve"> </w:t>
      </w:r>
      <w:r>
        <w:t>”</w:t>
      </w:r>
      <w:r>
        <w:rPr>
          <w:spacing w:val="61"/>
          <w:w w:val="99"/>
        </w:rPr>
        <w:t xml:space="preserve"> </w:t>
      </w:r>
      <w:r>
        <w:t>pkt</w:t>
      </w:r>
      <w:r>
        <w:rPr>
          <w:spacing w:val="55"/>
        </w:rPr>
        <w:t xml:space="preserve"> </w:t>
      </w:r>
      <w:r>
        <w:t>6.</w:t>
      </w:r>
    </w:p>
    <w:p w:rsidR="002122BD" w:rsidRDefault="002122BD" w:rsidP="002122BD">
      <w:pPr>
        <w:sectPr w:rsidR="002122BD">
          <w:pgSz w:w="11900" w:h="16840"/>
          <w:pgMar w:top="1380" w:right="1300" w:bottom="280" w:left="1320" w:header="708" w:footer="708" w:gutter="0"/>
          <w:cols w:space="708"/>
        </w:sectPr>
      </w:pPr>
    </w:p>
    <w:p w:rsidR="002122BD" w:rsidRDefault="002122BD" w:rsidP="002122BD">
      <w:pPr>
        <w:pStyle w:val="Nagwek3"/>
        <w:keepNext w:val="0"/>
        <w:widowControl w:val="0"/>
        <w:numPr>
          <w:ilvl w:val="1"/>
          <w:numId w:val="88"/>
        </w:numPr>
        <w:tabs>
          <w:tab w:val="left" w:pos="520"/>
        </w:tabs>
        <w:spacing w:before="58" w:after="0"/>
        <w:rPr>
          <w:b/>
          <w:bCs/>
        </w:rPr>
      </w:pPr>
      <w:bookmarkStart w:id="467" w:name="6.2._Badania_przed_przystąpieniem_do_rob"/>
      <w:bookmarkEnd w:id="467"/>
      <w:r>
        <w:rPr>
          <w:spacing w:val="-1"/>
        </w:rPr>
        <w:lastRenderedPageBreak/>
        <w:t>Badania</w:t>
      </w:r>
      <w:r>
        <w:rPr>
          <w:spacing w:val="-3"/>
        </w:rPr>
        <w:t xml:space="preserve"> </w:t>
      </w:r>
      <w:r>
        <w:rPr>
          <w:spacing w:val="-1"/>
        </w:rPr>
        <w:t xml:space="preserve">przed przystąpieniem </w:t>
      </w:r>
      <w:r>
        <w:t>do</w:t>
      </w:r>
      <w:r>
        <w:rPr>
          <w:spacing w:val="-3"/>
        </w:rPr>
        <w:t xml:space="preserve"> </w:t>
      </w:r>
      <w:r>
        <w:rPr>
          <w:spacing w:val="-1"/>
        </w:rPr>
        <w:t>robót</w:t>
      </w:r>
    </w:p>
    <w:p w:rsidR="002122BD" w:rsidRDefault="002122BD" w:rsidP="002122BD">
      <w:pPr>
        <w:pStyle w:val="Tekstpodstawowy"/>
        <w:spacing w:before="60"/>
      </w:pPr>
      <w:r>
        <w:rPr>
          <w:spacing w:val="-1"/>
        </w:rPr>
        <w:t>Przed</w:t>
      </w:r>
      <w:r>
        <w:rPr>
          <w:spacing w:val="-4"/>
        </w:rPr>
        <w:t xml:space="preserve"> </w:t>
      </w:r>
      <w:r>
        <w:rPr>
          <w:spacing w:val="-1"/>
        </w:rPr>
        <w:t>przystąpieniem</w:t>
      </w:r>
      <w:r>
        <w:rPr>
          <w:spacing w:val="-2"/>
        </w:rPr>
        <w:t xml:space="preserve"> </w:t>
      </w:r>
      <w:r>
        <w:t>do</w:t>
      </w:r>
      <w:r>
        <w:rPr>
          <w:spacing w:val="-4"/>
        </w:rPr>
        <w:t xml:space="preserve"> </w:t>
      </w:r>
      <w:r>
        <w:t>robót</w:t>
      </w:r>
      <w:r>
        <w:rPr>
          <w:spacing w:val="50"/>
        </w:rPr>
        <w:t xml:space="preserve"> </w:t>
      </w:r>
      <w:r>
        <w:rPr>
          <w:spacing w:val="-1"/>
        </w:rPr>
        <w:t>Wykonawca powinien</w:t>
      </w:r>
      <w:r>
        <w:rPr>
          <w:spacing w:val="-4"/>
        </w:rPr>
        <w:t xml:space="preserve"> </w:t>
      </w:r>
      <w:r>
        <w:t>:</w:t>
      </w:r>
    </w:p>
    <w:p w:rsidR="002122BD" w:rsidRDefault="002122BD" w:rsidP="002122BD">
      <w:pPr>
        <w:pStyle w:val="Tekstpodstawowy"/>
        <w:widowControl w:val="0"/>
        <w:numPr>
          <w:ilvl w:val="2"/>
          <w:numId w:val="88"/>
        </w:numPr>
        <w:tabs>
          <w:tab w:val="left" w:pos="1000"/>
        </w:tabs>
        <w:spacing w:after="0"/>
        <w:ind w:left="1000" w:right="112" w:hanging="360"/>
        <w:jc w:val="both"/>
      </w:pPr>
      <w:r>
        <w:rPr>
          <w:spacing w:val="-1"/>
        </w:rPr>
        <w:t>uzyskać</w:t>
      </w:r>
      <w:r>
        <w:rPr>
          <w:spacing w:val="16"/>
        </w:rPr>
        <w:t xml:space="preserve"> </w:t>
      </w:r>
      <w:r>
        <w:rPr>
          <w:spacing w:val="-1"/>
        </w:rPr>
        <w:t>wymagane</w:t>
      </w:r>
      <w:r>
        <w:rPr>
          <w:spacing w:val="16"/>
        </w:rPr>
        <w:t xml:space="preserve"> </w:t>
      </w:r>
      <w:r>
        <w:rPr>
          <w:spacing w:val="-1"/>
        </w:rPr>
        <w:t>dokumenty,</w:t>
      </w:r>
      <w:r>
        <w:rPr>
          <w:spacing w:val="21"/>
        </w:rPr>
        <w:t xml:space="preserve"> </w:t>
      </w:r>
      <w:r>
        <w:rPr>
          <w:spacing w:val="-1"/>
        </w:rPr>
        <w:t>dopuszczające</w:t>
      </w:r>
      <w:r>
        <w:rPr>
          <w:spacing w:val="14"/>
        </w:rPr>
        <w:t xml:space="preserve"> </w:t>
      </w:r>
      <w:r>
        <w:rPr>
          <w:spacing w:val="-1"/>
        </w:rPr>
        <w:t>wyroby</w:t>
      </w:r>
      <w:r>
        <w:rPr>
          <w:spacing w:val="15"/>
        </w:rPr>
        <w:t xml:space="preserve"> </w:t>
      </w:r>
      <w:r>
        <w:rPr>
          <w:spacing w:val="-1"/>
        </w:rPr>
        <w:t>budowlane</w:t>
      </w:r>
      <w:r>
        <w:rPr>
          <w:spacing w:val="14"/>
        </w:rPr>
        <w:t xml:space="preserve"> </w:t>
      </w:r>
      <w:r>
        <w:t>do</w:t>
      </w:r>
      <w:r>
        <w:rPr>
          <w:spacing w:val="14"/>
        </w:rPr>
        <w:t xml:space="preserve"> </w:t>
      </w:r>
      <w:r>
        <w:rPr>
          <w:spacing w:val="-1"/>
        </w:rPr>
        <w:t>obrotu</w:t>
      </w:r>
      <w:r>
        <w:rPr>
          <w:spacing w:val="15"/>
        </w:rPr>
        <w:t xml:space="preserve"> </w:t>
      </w:r>
      <w:r>
        <w:t>i</w:t>
      </w:r>
      <w:r>
        <w:rPr>
          <w:spacing w:val="63"/>
          <w:w w:val="99"/>
        </w:rPr>
        <w:t xml:space="preserve"> </w:t>
      </w:r>
      <w:r>
        <w:rPr>
          <w:spacing w:val="-1"/>
        </w:rPr>
        <w:t>powszechnego</w:t>
      </w:r>
      <w:r>
        <w:rPr>
          <w:spacing w:val="27"/>
        </w:rPr>
        <w:t xml:space="preserve"> </w:t>
      </w:r>
      <w:r>
        <w:rPr>
          <w:spacing w:val="-1"/>
        </w:rPr>
        <w:t>stosowania</w:t>
      </w:r>
      <w:r>
        <w:rPr>
          <w:spacing w:val="53"/>
        </w:rPr>
        <w:t xml:space="preserve"> </w:t>
      </w:r>
      <w:r>
        <w:rPr>
          <w:spacing w:val="-1"/>
        </w:rPr>
        <w:t>(certyfikaty</w:t>
      </w:r>
      <w:r>
        <w:rPr>
          <w:spacing w:val="27"/>
        </w:rPr>
        <w:t xml:space="preserve"> </w:t>
      </w:r>
      <w:r>
        <w:t>na</w:t>
      </w:r>
      <w:r>
        <w:rPr>
          <w:spacing w:val="25"/>
        </w:rPr>
        <w:t xml:space="preserve"> </w:t>
      </w:r>
      <w:r>
        <w:rPr>
          <w:spacing w:val="-1"/>
        </w:rPr>
        <w:t>znak</w:t>
      </w:r>
      <w:r>
        <w:rPr>
          <w:spacing w:val="26"/>
        </w:rPr>
        <w:t xml:space="preserve"> </w:t>
      </w:r>
      <w:r>
        <w:rPr>
          <w:spacing w:val="-1"/>
        </w:rPr>
        <w:t>bezpieczeństwa,</w:t>
      </w:r>
      <w:r>
        <w:rPr>
          <w:spacing w:val="27"/>
        </w:rPr>
        <w:t xml:space="preserve"> </w:t>
      </w:r>
      <w:r>
        <w:rPr>
          <w:spacing w:val="-1"/>
        </w:rPr>
        <w:t>aprobaty</w:t>
      </w:r>
      <w:r>
        <w:rPr>
          <w:spacing w:val="73"/>
        </w:rPr>
        <w:t xml:space="preserve"> </w:t>
      </w:r>
      <w:r>
        <w:rPr>
          <w:spacing w:val="-1"/>
        </w:rPr>
        <w:t>techniczne</w:t>
      </w:r>
      <w:r>
        <w:rPr>
          <w:spacing w:val="5"/>
        </w:rPr>
        <w:t xml:space="preserve"> </w:t>
      </w:r>
      <w:r>
        <w:t>,</w:t>
      </w:r>
      <w:r>
        <w:rPr>
          <w:spacing w:val="3"/>
        </w:rPr>
        <w:t xml:space="preserve"> </w:t>
      </w:r>
      <w:r>
        <w:rPr>
          <w:spacing w:val="-1"/>
        </w:rPr>
        <w:t>certyfikaty</w:t>
      </w:r>
      <w:r>
        <w:rPr>
          <w:spacing w:val="5"/>
        </w:rPr>
        <w:t xml:space="preserve"> </w:t>
      </w:r>
      <w:r>
        <w:rPr>
          <w:spacing w:val="-1"/>
        </w:rPr>
        <w:t>zgodności</w:t>
      </w:r>
      <w:r>
        <w:rPr>
          <w:spacing w:val="3"/>
        </w:rPr>
        <w:t xml:space="preserve"> </w:t>
      </w:r>
      <w:r>
        <w:t>,</w:t>
      </w:r>
      <w:r>
        <w:rPr>
          <w:spacing w:val="3"/>
        </w:rPr>
        <w:t xml:space="preserve"> </w:t>
      </w:r>
      <w:r>
        <w:rPr>
          <w:spacing w:val="-1"/>
        </w:rPr>
        <w:t>ewentualnie</w:t>
      </w:r>
      <w:r>
        <w:rPr>
          <w:spacing w:val="5"/>
        </w:rPr>
        <w:t xml:space="preserve"> </w:t>
      </w:r>
      <w:r>
        <w:rPr>
          <w:spacing w:val="-1"/>
        </w:rPr>
        <w:t>badania</w:t>
      </w:r>
      <w:r>
        <w:t xml:space="preserve"> </w:t>
      </w:r>
      <w:r>
        <w:rPr>
          <w:spacing w:val="5"/>
        </w:rPr>
        <w:t xml:space="preserve"> </w:t>
      </w:r>
      <w:r>
        <w:rPr>
          <w:spacing w:val="-1"/>
        </w:rPr>
        <w:t>materiałów</w:t>
      </w:r>
      <w:r>
        <w:t xml:space="preserve"> </w:t>
      </w:r>
      <w:r>
        <w:rPr>
          <w:spacing w:val="7"/>
        </w:rPr>
        <w:t xml:space="preserve"> </w:t>
      </w:r>
      <w:r>
        <w:rPr>
          <w:spacing w:val="-1"/>
        </w:rPr>
        <w:t>wykonane</w:t>
      </w:r>
      <w:r>
        <w:rPr>
          <w:spacing w:val="75"/>
          <w:w w:val="99"/>
        </w:rPr>
        <w:t xml:space="preserve"> </w:t>
      </w:r>
      <w:r>
        <w:rPr>
          <w:spacing w:val="-1"/>
        </w:rPr>
        <w:t>przez</w:t>
      </w:r>
      <w:r>
        <w:rPr>
          <w:spacing w:val="-3"/>
        </w:rPr>
        <w:t xml:space="preserve"> </w:t>
      </w:r>
      <w:r>
        <w:rPr>
          <w:spacing w:val="-1"/>
        </w:rPr>
        <w:t>dostawców</w:t>
      </w:r>
      <w:r>
        <w:rPr>
          <w:spacing w:val="-3"/>
        </w:rPr>
        <w:t xml:space="preserve"> </w:t>
      </w:r>
      <w:r>
        <w:rPr>
          <w:spacing w:val="-1"/>
        </w:rPr>
        <w:t>itp.)</w:t>
      </w:r>
      <w:r>
        <w:rPr>
          <w:spacing w:val="-2"/>
        </w:rPr>
        <w:t xml:space="preserve"> </w:t>
      </w:r>
      <w:r>
        <w:t>,</w:t>
      </w:r>
    </w:p>
    <w:p w:rsidR="002122BD" w:rsidRDefault="002122BD" w:rsidP="002122BD">
      <w:pPr>
        <w:pStyle w:val="Tekstpodstawowy"/>
        <w:widowControl w:val="0"/>
        <w:numPr>
          <w:ilvl w:val="2"/>
          <w:numId w:val="88"/>
        </w:numPr>
        <w:tabs>
          <w:tab w:val="left" w:pos="999"/>
          <w:tab w:val="left" w:pos="1000"/>
        </w:tabs>
        <w:spacing w:after="0"/>
        <w:ind w:left="640" w:right="119" w:firstLine="0"/>
      </w:pPr>
      <w:r>
        <w:rPr>
          <w:spacing w:val="-1"/>
        </w:rPr>
        <w:t>sprawdzić</w:t>
      </w:r>
      <w:r>
        <w:rPr>
          <w:spacing w:val="-4"/>
        </w:rPr>
        <w:t xml:space="preserve"> </w:t>
      </w:r>
      <w:r>
        <w:rPr>
          <w:spacing w:val="-1"/>
        </w:rPr>
        <w:t>cechy</w:t>
      </w:r>
      <w:r>
        <w:rPr>
          <w:spacing w:val="-5"/>
        </w:rPr>
        <w:t xml:space="preserve"> </w:t>
      </w:r>
      <w:r>
        <w:rPr>
          <w:spacing w:val="-1"/>
        </w:rPr>
        <w:t>zewnętrzne</w:t>
      </w:r>
      <w:r>
        <w:rPr>
          <w:spacing w:val="-2"/>
        </w:rPr>
        <w:t xml:space="preserve"> </w:t>
      </w:r>
      <w:r>
        <w:rPr>
          <w:spacing w:val="-1"/>
        </w:rPr>
        <w:t>gotowych</w:t>
      </w:r>
      <w:r>
        <w:rPr>
          <w:spacing w:val="-2"/>
        </w:rPr>
        <w:t xml:space="preserve"> </w:t>
      </w:r>
      <w:r>
        <w:rPr>
          <w:spacing w:val="-1"/>
        </w:rPr>
        <w:t>materiałów</w:t>
      </w:r>
      <w:r>
        <w:rPr>
          <w:spacing w:val="-3"/>
        </w:rPr>
        <w:t xml:space="preserve"> </w:t>
      </w:r>
      <w:r>
        <w:t>z</w:t>
      </w:r>
      <w:r>
        <w:rPr>
          <w:spacing w:val="-5"/>
        </w:rPr>
        <w:t xml:space="preserve"> </w:t>
      </w:r>
      <w:r>
        <w:rPr>
          <w:spacing w:val="-1"/>
        </w:rPr>
        <w:t>tworzyw</w:t>
      </w:r>
      <w:r>
        <w:rPr>
          <w:spacing w:val="-2"/>
        </w:rPr>
        <w:t xml:space="preserve"> </w:t>
      </w:r>
      <w:r>
        <w:t>i</w:t>
      </w:r>
      <w:r>
        <w:rPr>
          <w:spacing w:val="-5"/>
        </w:rPr>
        <w:t xml:space="preserve"> </w:t>
      </w:r>
      <w:r>
        <w:rPr>
          <w:spacing w:val="-1"/>
        </w:rPr>
        <w:t>prefabrykatów</w:t>
      </w:r>
      <w:r>
        <w:rPr>
          <w:spacing w:val="-3"/>
        </w:rPr>
        <w:t xml:space="preserve"> </w:t>
      </w:r>
      <w:r>
        <w:t>.</w:t>
      </w:r>
      <w:r>
        <w:rPr>
          <w:spacing w:val="53"/>
        </w:rPr>
        <w:t xml:space="preserve"> </w:t>
      </w:r>
      <w:r>
        <w:rPr>
          <w:spacing w:val="-1"/>
        </w:rPr>
        <w:t>Wszystkie</w:t>
      </w:r>
      <w:r>
        <w:t xml:space="preserve"> </w:t>
      </w:r>
      <w:r>
        <w:rPr>
          <w:spacing w:val="51"/>
        </w:rPr>
        <w:t xml:space="preserve"> </w:t>
      </w:r>
      <w:r>
        <w:rPr>
          <w:spacing w:val="-1"/>
        </w:rPr>
        <w:t>dokumenty</w:t>
      </w:r>
      <w:r>
        <w:t xml:space="preserve"> </w:t>
      </w:r>
      <w:r>
        <w:rPr>
          <w:spacing w:val="50"/>
        </w:rPr>
        <w:t xml:space="preserve"> </w:t>
      </w:r>
      <w:r>
        <w:t xml:space="preserve">i </w:t>
      </w:r>
      <w:r>
        <w:rPr>
          <w:spacing w:val="49"/>
        </w:rPr>
        <w:t xml:space="preserve"> </w:t>
      </w:r>
      <w:r>
        <w:rPr>
          <w:spacing w:val="-1"/>
        </w:rPr>
        <w:t>wyniki</w:t>
      </w:r>
      <w:r>
        <w:t xml:space="preserve"> </w:t>
      </w:r>
      <w:r>
        <w:rPr>
          <w:spacing w:val="51"/>
        </w:rPr>
        <w:t xml:space="preserve"> </w:t>
      </w:r>
      <w:r>
        <w:rPr>
          <w:spacing w:val="-1"/>
        </w:rPr>
        <w:t>badań</w:t>
      </w:r>
      <w:r>
        <w:t xml:space="preserve"> </w:t>
      </w:r>
      <w:r>
        <w:rPr>
          <w:spacing w:val="50"/>
        </w:rPr>
        <w:t xml:space="preserve"> </w:t>
      </w:r>
      <w:r>
        <w:rPr>
          <w:spacing w:val="-1"/>
        </w:rPr>
        <w:t>Wykonawca</w:t>
      </w:r>
      <w:r>
        <w:t xml:space="preserve"> </w:t>
      </w:r>
      <w:r>
        <w:rPr>
          <w:spacing w:val="51"/>
        </w:rPr>
        <w:t xml:space="preserve"> </w:t>
      </w:r>
      <w:r>
        <w:rPr>
          <w:spacing w:val="-1"/>
        </w:rPr>
        <w:t>przedstawia</w:t>
      </w:r>
      <w:r>
        <w:t xml:space="preserve"> </w:t>
      </w:r>
      <w:r>
        <w:rPr>
          <w:spacing w:val="50"/>
        </w:rPr>
        <w:t xml:space="preserve"> </w:t>
      </w:r>
      <w:r>
        <w:rPr>
          <w:spacing w:val="-1"/>
        </w:rPr>
        <w:t>Inżynierowi</w:t>
      </w:r>
      <w:r>
        <w:t xml:space="preserve"> </w:t>
      </w:r>
      <w:r>
        <w:rPr>
          <w:spacing w:val="51"/>
        </w:rPr>
        <w:t xml:space="preserve"> </w:t>
      </w:r>
      <w:r>
        <w:t>do</w:t>
      </w:r>
      <w:r>
        <w:rPr>
          <w:spacing w:val="61"/>
        </w:rPr>
        <w:t xml:space="preserve"> </w:t>
      </w:r>
      <w:r>
        <w:rPr>
          <w:spacing w:val="-1"/>
        </w:rPr>
        <w:t>akceptacji</w:t>
      </w:r>
      <w:r>
        <w:rPr>
          <w:spacing w:val="-7"/>
        </w:rPr>
        <w:t xml:space="preserve"> </w:t>
      </w:r>
      <w:r>
        <w:t>.</w:t>
      </w:r>
    </w:p>
    <w:p w:rsidR="002122BD" w:rsidRDefault="002122BD" w:rsidP="002122BD">
      <w:pPr>
        <w:spacing w:before="10"/>
      </w:pPr>
    </w:p>
    <w:p w:rsidR="002122BD" w:rsidRDefault="002122BD" w:rsidP="002122BD">
      <w:pPr>
        <w:pStyle w:val="Nagwek3"/>
        <w:keepNext w:val="0"/>
        <w:widowControl w:val="0"/>
        <w:numPr>
          <w:ilvl w:val="1"/>
          <w:numId w:val="88"/>
        </w:numPr>
        <w:tabs>
          <w:tab w:val="left" w:pos="580"/>
        </w:tabs>
        <w:spacing w:before="0" w:after="0"/>
        <w:ind w:left="580"/>
        <w:rPr>
          <w:b/>
          <w:bCs/>
        </w:rPr>
      </w:pPr>
      <w:bookmarkStart w:id="468" w:name="6.3._Badania_wykonywanych_robót"/>
      <w:bookmarkEnd w:id="468"/>
      <w:r>
        <w:rPr>
          <w:spacing w:val="-1"/>
        </w:rPr>
        <w:t>Badania</w:t>
      </w:r>
      <w:r>
        <w:rPr>
          <w:spacing w:val="-2"/>
        </w:rPr>
        <w:t xml:space="preserve"> </w:t>
      </w:r>
      <w:r>
        <w:rPr>
          <w:spacing w:val="-1"/>
        </w:rPr>
        <w:t>wykonywanych robót</w:t>
      </w:r>
    </w:p>
    <w:p w:rsidR="002122BD" w:rsidRDefault="002122BD" w:rsidP="002122BD">
      <w:pPr>
        <w:pStyle w:val="Tekstpodstawowy"/>
        <w:spacing w:before="60"/>
      </w:pPr>
      <w:r>
        <w:t>Po</w:t>
      </w:r>
      <w:r>
        <w:rPr>
          <w:spacing w:val="-6"/>
        </w:rPr>
        <w:t xml:space="preserve"> </w:t>
      </w:r>
      <w:r>
        <w:rPr>
          <w:spacing w:val="-1"/>
        </w:rPr>
        <w:t>zakończeniu</w:t>
      </w:r>
      <w:r>
        <w:rPr>
          <w:spacing w:val="-4"/>
        </w:rPr>
        <w:t xml:space="preserve"> </w:t>
      </w:r>
      <w:r>
        <w:t>robót</w:t>
      </w:r>
      <w:r>
        <w:rPr>
          <w:spacing w:val="-7"/>
        </w:rPr>
        <w:t xml:space="preserve"> </w:t>
      </w:r>
      <w:r>
        <w:rPr>
          <w:spacing w:val="-1"/>
        </w:rPr>
        <w:t>należy</w:t>
      </w:r>
      <w:r>
        <w:rPr>
          <w:spacing w:val="-6"/>
        </w:rPr>
        <w:t xml:space="preserve"> </w:t>
      </w:r>
      <w:r>
        <w:rPr>
          <w:spacing w:val="-1"/>
        </w:rPr>
        <w:t>sprawdzić</w:t>
      </w:r>
      <w:r>
        <w:rPr>
          <w:spacing w:val="-6"/>
        </w:rPr>
        <w:t xml:space="preserve"> </w:t>
      </w:r>
      <w:r>
        <w:rPr>
          <w:spacing w:val="-1"/>
        </w:rPr>
        <w:t>wizualnie</w:t>
      </w:r>
      <w:r>
        <w:rPr>
          <w:spacing w:val="-4"/>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wygląd zewnętrzny</w:t>
      </w:r>
      <w:r>
        <w:rPr>
          <w:spacing w:val="-3"/>
        </w:rPr>
        <w:t xml:space="preserve"> </w:t>
      </w:r>
      <w:r>
        <w:rPr>
          <w:spacing w:val="-1"/>
        </w:rPr>
        <w:t xml:space="preserve">wykonanej </w:t>
      </w:r>
      <w:r>
        <w:t>roboty</w:t>
      </w:r>
      <w:r>
        <w:rPr>
          <w:spacing w:val="-5"/>
        </w:rPr>
        <w:t xml:space="preserve"> </w:t>
      </w:r>
      <w:r>
        <w:t>w</w:t>
      </w:r>
      <w:r>
        <w:rPr>
          <w:spacing w:val="-4"/>
        </w:rPr>
        <w:t xml:space="preserve"> </w:t>
      </w:r>
      <w:r>
        <w:rPr>
          <w:spacing w:val="-1"/>
        </w:rPr>
        <w:t>zakresie</w:t>
      </w:r>
      <w:r>
        <w:rPr>
          <w:spacing w:val="-2"/>
        </w:rPr>
        <w:t xml:space="preserve"> </w:t>
      </w:r>
      <w:r>
        <w:rPr>
          <w:spacing w:val="-1"/>
        </w:rPr>
        <w:t>wyglądu</w:t>
      </w:r>
      <w:r>
        <w:rPr>
          <w:spacing w:val="-2"/>
        </w:rPr>
        <w:t xml:space="preserve"> </w:t>
      </w:r>
      <w:r>
        <w:t>,</w:t>
      </w:r>
      <w:r>
        <w:rPr>
          <w:spacing w:val="-4"/>
        </w:rPr>
        <w:t xml:space="preserve"> </w:t>
      </w:r>
      <w:r>
        <w:rPr>
          <w:spacing w:val="-1"/>
        </w:rPr>
        <w:t>kształtu</w:t>
      </w:r>
      <w:r>
        <w:rPr>
          <w:spacing w:val="-2"/>
        </w:rPr>
        <w:t xml:space="preserve"> </w:t>
      </w:r>
      <w:r>
        <w:t>,</w:t>
      </w:r>
      <w:r>
        <w:rPr>
          <w:spacing w:val="-4"/>
        </w:rPr>
        <w:t xml:space="preserve"> </w:t>
      </w:r>
      <w:r>
        <w:rPr>
          <w:spacing w:val="-1"/>
        </w:rPr>
        <w:t>wymiarów</w:t>
      </w:r>
      <w:r>
        <w:rPr>
          <w:spacing w:val="1"/>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right="114" w:hanging="360"/>
      </w:pPr>
      <w:r>
        <w:rPr>
          <w:spacing w:val="-1"/>
        </w:rPr>
        <w:t>poprawność</w:t>
      </w:r>
      <w:r>
        <w:t xml:space="preserve"> </w:t>
      </w:r>
      <w:r>
        <w:rPr>
          <w:spacing w:val="4"/>
        </w:rPr>
        <w:t xml:space="preserve"> </w:t>
      </w:r>
      <w:r>
        <w:rPr>
          <w:spacing w:val="-1"/>
        </w:rPr>
        <w:t>profilu</w:t>
      </w:r>
      <w:r>
        <w:t xml:space="preserve"> </w:t>
      </w:r>
      <w:r>
        <w:rPr>
          <w:spacing w:val="4"/>
        </w:rPr>
        <w:t xml:space="preserve"> </w:t>
      </w:r>
      <w:r>
        <w:rPr>
          <w:spacing w:val="-1"/>
        </w:rPr>
        <w:t>podłużnego</w:t>
      </w:r>
      <w:r>
        <w:t xml:space="preserve"> </w:t>
      </w:r>
      <w:r>
        <w:rPr>
          <w:spacing w:val="5"/>
        </w:rPr>
        <w:t xml:space="preserve"> </w:t>
      </w:r>
      <w:r>
        <w:t xml:space="preserve">i </w:t>
      </w:r>
      <w:r>
        <w:rPr>
          <w:spacing w:val="3"/>
        </w:rPr>
        <w:t xml:space="preserve"> </w:t>
      </w:r>
      <w:r>
        <w:rPr>
          <w:spacing w:val="-1"/>
        </w:rPr>
        <w:t>poprzecznego</w:t>
      </w:r>
      <w:r>
        <w:t xml:space="preserve"> </w:t>
      </w:r>
      <w:r>
        <w:rPr>
          <w:spacing w:val="6"/>
        </w:rPr>
        <w:t xml:space="preserve"> </w:t>
      </w:r>
      <w:r>
        <w:t xml:space="preserve">, </w:t>
      </w:r>
      <w:r>
        <w:rPr>
          <w:spacing w:val="3"/>
        </w:rPr>
        <w:t xml:space="preserve"> </w:t>
      </w:r>
      <w:r>
        <w:rPr>
          <w:spacing w:val="-1"/>
        </w:rPr>
        <w:t>nawiązującego</w:t>
      </w:r>
      <w:r>
        <w:t xml:space="preserve"> </w:t>
      </w:r>
      <w:r>
        <w:rPr>
          <w:spacing w:val="6"/>
        </w:rPr>
        <w:t xml:space="preserve"> </w:t>
      </w:r>
      <w:r>
        <w:t xml:space="preserve">do </w:t>
      </w:r>
      <w:r>
        <w:rPr>
          <w:spacing w:val="2"/>
        </w:rPr>
        <w:t xml:space="preserve"> </w:t>
      </w:r>
      <w:r>
        <w:rPr>
          <w:spacing w:val="-1"/>
        </w:rPr>
        <w:t>otaczającej</w:t>
      </w:r>
      <w:r>
        <w:rPr>
          <w:spacing w:val="79"/>
          <w:w w:val="99"/>
        </w:rPr>
        <w:t xml:space="preserve"> </w:t>
      </w:r>
      <w:r>
        <w:rPr>
          <w:spacing w:val="-1"/>
        </w:rPr>
        <w:t>nawierzchni</w:t>
      </w:r>
      <w:r>
        <w:rPr>
          <w:spacing w:val="53"/>
        </w:rPr>
        <w:t xml:space="preserve"> </w:t>
      </w:r>
      <w:r>
        <w:t>i</w:t>
      </w:r>
      <w:r>
        <w:rPr>
          <w:spacing w:val="-5"/>
        </w:rPr>
        <w:t xml:space="preserve"> </w:t>
      </w:r>
      <w:r>
        <w:rPr>
          <w:spacing w:val="-1"/>
        </w:rPr>
        <w:t>umożliwiający</w:t>
      </w:r>
      <w:r>
        <w:rPr>
          <w:spacing w:val="-5"/>
        </w:rPr>
        <w:t xml:space="preserve"> </w:t>
      </w:r>
      <w:r>
        <w:rPr>
          <w:spacing w:val="-2"/>
        </w:rPr>
        <w:t>spływ</w:t>
      </w:r>
      <w:r>
        <w:rPr>
          <w:spacing w:val="-1"/>
        </w:rPr>
        <w:t xml:space="preserve"> </w:t>
      </w:r>
      <w:r>
        <w:t>wód</w:t>
      </w:r>
      <w:r>
        <w:rPr>
          <w:spacing w:val="-4"/>
        </w:rPr>
        <w:t xml:space="preserve"> </w:t>
      </w:r>
      <w:r>
        <w:rPr>
          <w:spacing w:val="-1"/>
        </w:rPr>
        <w:t>powierzchniowych</w:t>
      </w:r>
      <w:r>
        <w:t xml:space="preserve"> .</w:t>
      </w:r>
    </w:p>
    <w:p w:rsidR="002122BD" w:rsidRDefault="002122BD" w:rsidP="002122BD">
      <w:pPr>
        <w:spacing w:before="9"/>
      </w:pPr>
    </w:p>
    <w:p w:rsidR="002122BD" w:rsidRDefault="002122BD" w:rsidP="002122BD">
      <w:pPr>
        <w:pStyle w:val="Nagwek2"/>
        <w:keepNext w:val="0"/>
        <w:widowControl w:val="0"/>
        <w:numPr>
          <w:ilvl w:val="0"/>
          <w:numId w:val="88"/>
        </w:numPr>
        <w:tabs>
          <w:tab w:val="left" w:pos="360"/>
        </w:tabs>
        <w:spacing w:before="0" w:after="0"/>
        <w:ind w:left="359" w:hanging="259"/>
        <w:rPr>
          <w:b w:val="0"/>
          <w:bCs/>
        </w:rPr>
      </w:pPr>
      <w:bookmarkStart w:id="469" w:name="7._Obmiar_robót"/>
      <w:bookmarkEnd w:id="469"/>
      <w:r>
        <w:rPr>
          <w:spacing w:val="-1"/>
        </w:rPr>
        <w:t>Obmiar</w:t>
      </w:r>
      <w:r>
        <w:rPr>
          <w:spacing w:val="-7"/>
        </w:rPr>
        <w:t xml:space="preserve"> </w:t>
      </w:r>
      <w:r>
        <w:rPr>
          <w:spacing w:val="-1"/>
        </w:rPr>
        <w:t>robót</w:t>
      </w:r>
    </w:p>
    <w:p w:rsidR="002122BD" w:rsidRDefault="002122BD" w:rsidP="002122BD">
      <w:pPr>
        <w:spacing w:before="10"/>
        <w:rPr>
          <w:b/>
          <w:bCs/>
        </w:rPr>
      </w:pPr>
    </w:p>
    <w:p w:rsidR="002122BD" w:rsidRDefault="002122BD" w:rsidP="002122BD">
      <w:pPr>
        <w:pStyle w:val="Nagwek3"/>
        <w:keepNext w:val="0"/>
        <w:widowControl w:val="0"/>
        <w:numPr>
          <w:ilvl w:val="1"/>
          <w:numId w:val="88"/>
        </w:numPr>
        <w:tabs>
          <w:tab w:val="left" w:pos="520"/>
        </w:tabs>
        <w:spacing w:before="0" w:after="0"/>
        <w:rPr>
          <w:b/>
          <w:bCs/>
        </w:rPr>
      </w:pPr>
      <w:bookmarkStart w:id="470" w:name="7.1._Ogólne_zasady_obmiaru_robót"/>
      <w:bookmarkEnd w:id="470"/>
      <w:r>
        <w:rPr>
          <w:spacing w:val="-1"/>
        </w:rPr>
        <w:t>Ogólne</w:t>
      </w:r>
      <w:r>
        <w:rPr>
          <w:spacing w:val="-3"/>
        </w:rPr>
        <w:t xml:space="preserve"> </w:t>
      </w:r>
      <w:r>
        <w:rPr>
          <w:spacing w:val="-1"/>
        </w:rPr>
        <w:t>zasady</w:t>
      </w:r>
      <w:r>
        <w:rPr>
          <w:spacing w:val="-3"/>
        </w:rPr>
        <w:t xml:space="preserve"> </w:t>
      </w:r>
      <w:r>
        <w:rPr>
          <w:spacing w:val="-1"/>
        </w:rPr>
        <w:t>obmiaru</w:t>
      </w:r>
      <w:r>
        <w:rPr>
          <w:spacing w:val="-4"/>
        </w:rPr>
        <w:t xml:space="preserve"> </w:t>
      </w:r>
      <w:r>
        <w:rPr>
          <w:spacing w:val="-1"/>
        </w:rPr>
        <w:t>robót</w:t>
      </w:r>
    </w:p>
    <w:p w:rsidR="002122BD" w:rsidRDefault="002122BD" w:rsidP="002122BD">
      <w:pPr>
        <w:pStyle w:val="Tekstpodstawowy"/>
        <w:spacing w:before="60"/>
      </w:pPr>
      <w:r>
        <w:rPr>
          <w:spacing w:val="-1"/>
        </w:rPr>
        <w:t>Ogólne</w:t>
      </w:r>
      <w:r>
        <w:rPr>
          <w:spacing w:val="-3"/>
        </w:rPr>
        <w:t xml:space="preserve"> </w:t>
      </w:r>
      <w:r>
        <w:rPr>
          <w:spacing w:val="-1"/>
        </w:rPr>
        <w:t>zasady</w:t>
      </w:r>
      <w:r>
        <w:rPr>
          <w:spacing w:val="-3"/>
        </w:rPr>
        <w:t xml:space="preserve"> </w:t>
      </w:r>
      <w:r>
        <w:rPr>
          <w:spacing w:val="-1"/>
        </w:rPr>
        <w:t>obmiaru</w:t>
      </w:r>
      <w:r>
        <w:t xml:space="preserve"> robót</w:t>
      </w:r>
      <w:r>
        <w:rPr>
          <w:spacing w:val="-5"/>
        </w:rPr>
        <w:t xml:space="preserve"> </w:t>
      </w:r>
      <w:r>
        <w:rPr>
          <w:spacing w:val="-1"/>
        </w:rPr>
        <w:t>podano</w:t>
      </w:r>
      <w:r>
        <w:rPr>
          <w:spacing w:val="-3"/>
        </w:rPr>
        <w:t xml:space="preserve"> </w:t>
      </w:r>
      <w:r>
        <w:t>w</w:t>
      </w:r>
      <w:r>
        <w:rPr>
          <w:spacing w:val="-3"/>
        </w:rPr>
        <w:t xml:space="preserve"> </w:t>
      </w:r>
      <w:r>
        <w:t>SST</w:t>
      </w:r>
      <w:r>
        <w:rPr>
          <w:spacing w:val="53"/>
        </w:rPr>
        <w:t xml:space="preserve"> </w:t>
      </w:r>
      <w:r>
        <w:t>D-</w:t>
      </w:r>
      <w:r>
        <w:rPr>
          <w:spacing w:val="-4"/>
        </w:rPr>
        <w:t xml:space="preserve"> </w:t>
      </w:r>
      <w:r>
        <w:t>00.00.00</w:t>
      </w:r>
      <w:r>
        <w:rPr>
          <w:spacing w:val="-3"/>
        </w:rPr>
        <w:t xml:space="preserve"> </w:t>
      </w:r>
      <w:r>
        <w:rPr>
          <w:spacing w:val="-1"/>
        </w:rPr>
        <w:t>„Wymagania</w:t>
      </w:r>
      <w:r>
        <w:t xml:space="preserve"> </w:t>
      </w:r>
      <w:r>
        <w:rPr>
          <w:spacing w:val="-1"/>
        </w:rPr>
        <w:t>ogólne”</w:t>
      </w:r>
      <w:r>
        <w:rPr>
          <w:spacing w:val="-4"/>
        </w:rPr>
        <w:t xml:space="preserve"> </w:t>
      </w:r>
      <w:r>
        <w:t>pkt</w:t>
      </w:r>
      <w:r>
        <w:rPr>
          <w:spacing w:val="-3"/>
        </w:rPr>
        <w:t xml:space="preserve"> </w:t>
      </w:r>
      <w:r>
        <w:t>7</w:t>
      </w:r>
      <w:r>
        <w:rPr>
          <w:spacing w:val="-3"/>
        </w:rPr>
        <w:t xml:space="preserve"> </w:t>
      </w:r>
      <w:r>
        <w:t>.</w:t>
      </w:r>
    </w:p>
    <w:p w:rsidR="002122BD" w:rsidRDefault="002122BD" w:rsidP="002122BD">
      <w:pPr>
        <w:spacing w:before="10"/>
      </w:pPr>
    </w:p>
    <w:p w:rsidR="002122BD" w:rsidRDefault="002122BD" w:rsidP="002122BD">
      <w:pPr>
        <w:pStyle w:val="Nagwek3"/>
        <w:keepNext w:val="0"/>
        <w:widowControl w:val="0"/>
        <w:numPr>
          <w:ilvl w:val="1"/>
          <w:numId w:val="88"/>
        </w:numPr>
        <w:tabs>
          <w:tab w:val="left" w:pos="640"/>
        </w:tabs>
        <w:spacing w:before="0" w:after="0"/>
        <w:ind w:left="640" w:hanging="540"/>
        <w:rPr>
          <w:b/>
          <w:bCs/>
        </w:rPr>
      </w:pPr>
      <w:bookmarkStart w:id="471" w:name="7.2._Jednostka_obmiarowa"/>
      <w:bookmarkEnd w:id="471"/>
      <w:r>
        <w:rPr>
          <w:spacing w:val="-1"/>
        </w:rPr>
        <w:t>Jednostka</w:t>
      </w:r>
      <w:r>
        <w:rPr>
          <w:spacing w:val="-5"/>
        </w:rPr>
        <w:t xml:space="preserve"> </w:t>
      </w:r>
      <w:r>
        <w:rPr>
          <w:spacing w:val="-1"/>
        </w:rPr>
        <w:t>obmiarowa</w:t>
      </w:r>
    </w:p>
    <w:p w:rsidR="002122BD" w:rsidRDefault="002122BD" w:rsidP="002122BD">
      <w:pPr>
        <w:pStyle w:val="Tekstpodstawowy"/>
        <w:spacing w:before="60"/>
      </w:pPr>
      <w:r>
        <w:rPr>
          <w:spacing w:val="-1"/>
        </w:rPr>
        <w:t>Jednostką</w:t>
      </w:r>
      <w:r>
        <w:rPr>
          <w:spacing w:val="-5"/>
        </w:rPr>
        <w:t xml:space="preserve"> </w:t>
      </w:r>
      <w:r>
        <w:rPr>
          <w:spacing w:val="-1"/>
        </w:rPr>
        <w:t>obmiarową</w:t>
      </w:r>
      <w:r>
        <w:rPr>
          <w:spacing w:val="-2"/>
        </w:rPr>
        <w:t xml:space="preserve"> </w:t>
      </w:r>
      <w:r>
        <w:t>jest</w:t>
      </w:r>
      <w:r>
        <w:rPr>
          <w:spacing w:val="-4"/>
        </w:rPr>
        <w:t xml:space="preserve"> </w:t>
      </w:r>
      <w:r>
        <w:t>1</w:t>
      </w:r>
      <w:r>
        <w:rPr>
          <w:spacing w:val="-4"/>
        </w:rPr>
        <w:t xml:space="preserve"> </w:t>
      </w:r>
      <w:r>
        <w:rPr>
          <w:spacing w:val="-1"/>
        </w:rPr>
        <w:t>obiekt</w:t>
      </w:r>
      <w:r>
        <w:rPr>
          <w:spacing w:val="-2"/>
        </w:rPr>
        <w:t xml:space="preserve"> </w:t>
      </w:r>
      <w:r>
        <w:t>(</w:t>
      </w:r>
      <w:r>
        <w:rPr>
          <w:spacing w:val="-3"/>
        </w:rPr>
        <w:t xml:space="preserve"> </w:t>
      </w:r>
      <w:proofErr w:type="spellStart"/>
      <w:r>
        <w:rPr>
          <w:spacing w:val="-1"/>
        </w:rPr>
        <w:t>szt</w:t>
      </w:r>
      <w:proofErr w:type="spellEnd"/>
      <w:r>
        <w:rPr>
          <w:spacing w:val="-4"/>
        </w:rPr>
        <w:t xml:space="preserve"> </w:t>
      </w:r>
      <w:r>
        <w:t>)</w:t>
      </w:r>
      <w:r>
        <w:rPr>
          <w:spacing w:val="53"/>
        </w:rPr>
        <w:t xml:space="preserve"> </w:t>
      </w:r>
      <w:r>
        <w:rPr>
          <w:spacing w:val="-1"/>
        </w:rPr>
        <w:t>wyregulowanej</w:t>
      </w:r>
      <w:r>
        <w:t xml:space="preserve"> </w:t>
      </w:r>
      <w:r>
        <w:rPr>
          <w:spacing w:val="-1"/>
        </w:rPr>
        <w:t>ew.</w:t>
      </w:r>
      <w:r>
        <w:rPr>
          <w:spacing w:val="-4"/>
        </w:rPr>
        <w:t xml:space="preserve"> </w:t>
      </w:r>
      <w:r>
        <w:rPr>
          <w:spacing w:val="-1"/>
        </w:rPr>
        <w:t>naprawionej</w:t>
      </w:r>
      <w:r>
        <w:rPr>
          <w:spacing w:val="-2"/>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studzienki</w:t>
      </w:r>
      <w:r>
        <w:rPr>
          <w:spacing w:val="-10"/>
        </w:rPr>
        <w:t xml:space="preserve"> </w:t>
      </w:r>
      <w:r>
        <w:rPr>
          <w:spacing w:val="-1"/>
        </w:rPr>
        <w:t>telekomunikacyjnej</w:t>
      </w:r>
      <w:r>
        <w:rPr>
          <w:spacing w:val="-7"/>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włazów</w:t>
      </w:r>
      <w:r>
        <w:rPr>
          <w:spacing w:val="-5"/>
        </w:rPr>
        <w:t xml:space="preserve"> </w:t>
      </w:r>
      <w:r>
        <w:rPr>
          <w:spacing w:val="-1"/>
        </w:rPr>
        <w:t>kanałowych</w:t>
      </w:r>
      <w:r>
        <w:rPr>
          <w:spacing w:val="-2"/>
        </w:rPr>
        <w:t xml:space="preserve">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kratek</w:t>
      </w:r>
      <w:r>
        <w:rPr>
          <w:spacing w:val="-3"/>
        </w:rPr>
        <w:t xml:space="preserve"> </w:t>
      </w:r>
      <w:r>
        <w:rPr>
          <w:spacing w:val="-1"/>
        </w:rPr>
        <w:t xml:space="preserve">ściekowych </w:t>
      </w:r>
      <w:r>
        <w:t>i</w:t>
      </w:r>
      <w:r>
        <w:rPr>
          <w:spacing w:val="-5"/>
        </w:rPr>
        <w:t xml:space="preserve"> </w:t>
      </w:r>
      <w:r>
        <w:rPr>
          <w:spacing w:val="-1"/>
        </w:rPr>
        <w:t xml:space="preserve">ulicznych </w:t>
      </w:r>
      <w:r>
        <w:t>,</w:t>
      </w:r>
    </w:p>
    <w:p w:rsidR="002122BD" w:rsidRDefault="002122BD" w:rsidP="002122BD">
      <w:pPr>
        <w:pStyle w:val="Tekstpodstawowy"/>
        <w:widowControl w:val="0"/>
        <w:numPr>
          <w:ilvl w:val="2"/>
          <w:numId w:val="88"/>
        </w:numPr>
        <w:tabs>
          <w:tab w:val="left" w:pos="999"/>
          <w:tab w:val="left" w:pos="1000"/>
        </w:tabs>
        <w:spacing w:after="0"/>
        <w:ind w:left="1000" w:hanging="360"/>
      </w:pPr>
      <w:r>
        <w:rPr>
          <w:spacing w:val="-1"/>
        </w:rPr>
        <w:t>zaworów</w:t>
      </w:r>
      <w:r>
        <w:rPr>
          <w:spacing w:val="49"/>
        </w:rPr>
        <w:t xml:space="preserve"> </w:t>
      </w:r>
      <w:r>
        <w:rPr>
          <w:spacing w:val="-1"/>
        </w:rPr>
        <w:t>wodociągowych</w:t>
      </w:r>
      <w:r>
        <w:t xml:space="preserve"> i</w:t>
      </w:r>
      <w:r>
        <w:rPr>
          <w:spacing w:val="-7"/>
        </w:rPr>
        <w:t xml:space="preserve"> </w:t>
      </w:r>
      <w:r>
        <w:rPr>
          <w:spacing w:val="-1"/>
        </w:rPr>
        <w:t>kanalizacyjnych</w:t>
      </w:r>
    </w:p>
    <w:p w:rsidR="002122BD" w:rsidRDefault="002122BD" w:rsidP="002122BD">
      <w:pPr>
        <w:spacing w:before="10"/>
      </w:pPr>
    </w:p>
    <w:p w:rsidR="002122BD" w:rsidRDefault="002122BD" w:rsidP="002122BD">
      <w:pPr>
        <w:widowControl w:val="0"/>
        <w:numPr>
          <w:ilvl w:val="0"/>
          <w:numId w:val="86"/>
        </w:numPr>
        <w:tabs>
          <w:tab w:val="left" w:pos="460"/>
        </w:tabs>
        <w:rPr>
          <w:sz w:val="26"/>
          <w:szCs w:val="26"/>
        </w:rPr>
      </w:pPr>
      <w:bookmarkStart w:id="472" w:name="8._Odbiór_robót"/>
      <w:bookmarkEnd w:id="472"/>
      <w:r>
        <w:rPr>
          <w:b/>
          <w:spacing w:val="-1"/>
          <w:sz w:val="24"/>
        </w:rPr>
        <w:t>Odbiór</w:t>
      </w:r>
      <w:r>
        <w:rPr>
          <w:b/>
          <w:spacing w:val="-2"/>
          <w:sz w:val="24"/>
        </w:rPr>
        <w:t xml:space="preserve"> </w:t>
      </w:r>
      <w:r>
        <w:rPr>
          <w:b/>
          <w:spacing w:val="-1"/>
          <w:sz w:val="26"/>
        </w:rPr>
        <w:t>robót</w:t>
      </w:r>
    </w:p>
    <w:p w:rsidR="002122BD" w:rsidRDefault="002122BD" w:rsidP="002122BD">
      <w:pPr>
        <w:pStyle w:val="Tekstpodstawowy"/>
        <w:spacing w:before="59"/>
        <w:ind w:left="552" w:right="682"/>
        <w:jc w:val="center"/>
      </w:pPr>
      <w:r>
        <w:rPr>
          <w:spacing w:val="-1"/>
        </w:rPr>
        <w:t>Ogólne</w:t>
      </w:r>
      <w:r>
        <w:rPr>
          <w:spacing w:val="-3"/>
        </w:rPr>
        <w:t xml:space="preserve"> </w:t>
      </w:r>
      <w:r>
        <w:rPr>
          <w:spacing w:val="-1"/>
        </w:rPr>
        <w:t>zasady</w:t>
      </w:r>
      <w:r>
        <w:rPr>
          <w:spacing w:val="-4"/>
        </w:rPr>
        <w:t xml:space="preserve"> </w:t>
      </w:r>
      <w:r>
        <w:rPr>
          <w:spacing w:val="-1"/>
        </w:rPr>
        <w:t>odbioru</w:t>
      </w:r>
      <w:r>
        <w:rPr>
          <w:spacing w:val="-4"/>
        </w:rPr>
        <w:t xml:space="preserve"> </w:t>
      </w:r>
      <w:r>
        <w:t>robót</w:t>
      </w:r>
      <w:r>
        <w:rPr>
          <w:spacing w:val="-3"/>
        </w:rPr>
        <w:t xml:space="preserve"> </w:t>
      </w:r>
      <w:r>
        <w:rPr>
          <w:spacing w:val="-1"/>
        </w:rPr>
        <w:t>podano</w:t>
      </w:r>
      <w:r>
        <w:rPr>
          <w:spacing w:val="-3"/>
        </w:rPr>
        <w:t xml:space="preserve"> </w:t>
      </w:r>
      <w:r>
        <w:t>w</w:t>
      </w:r>
      <w:r>
        <w:rPr>
          <w:spacing w:val="-4"/>
        </w:rPr>
        <w:t xml:space="preserve"> </w:t>
      </w:r>
      <w:r>
        <w:t>ST</w:t>
      </w:r>
      <w:r>
        <w:rPr>
          <w:spacing w:val="-5"/>
        </w:rPr>
        <w:t xml:space="preserve"> </w:t>
      </w:r>
      <w:r>
        <w:rPr>
          <w:spacing w:val="-1"/>
        </w:rPr>
        <w:t>D-00.00.00</w:t>
      </w:r>
      <w:r>
        <w:rPr>
          <w:spacing w:val="-3"/>
        </w:rPr>
        <w:t xml:space="preserve"> </w:t>
      </w:r>
      <w:r>
        <w:rPr>
          <w:spacing w:val="-1"/>
        </w:rPr>
        <w:t>„Wymagania</w:t>
      </w:r>
      <w:r>
        <w:rPr>
          <w:spacing w:val="-3"/>
        </w:rPr>
        <w:t xml:space="preserve"> </w:t>
      </w:r>
      <w:r>
        <w:rPr>
          <w:spacing w:val="-1"/>
        </w:rPr>
        <w:t>ogólne”</w:t>
      </w:r>
      <w:r>
        <w:rPr>
          <w:spacing w:val="53"/>
        </w:rPr>
        <w:t xml:space="preserve"> </w:t>
      </w:r>
      <w:r>
        <w:t>pkt</w:t>
      </w:r>
      <w:r>
        <w:rPr>
          <w:spacing w:val="-4"/>
        </w:rPr>
        <w:t xml:space="preserve"> </w:t>
      </w:r>
      <w:r>
        <w:t>8.</w:t>
      </w:r>
    </w:p>
    <w:p w:rsidR="002122BD" w:rsidRDefault="002122BD" w:rsidP="002122BD">
      <w:pPr>
        <w:spacing w:before="10"/>
      </w:pPr>
    </w:p>
    <w:p w:rsidR="002122BD" w:rsidRDefault="002122BD" w:rsidP="002122BD">
      <w:pPr>
        <w:pStyle w:val="Nagwek3"/>
        <w:keepNext w:val="0"/>
        <w:widowControl w:val="0"/>
        <w:numPr>
          <w:ilvl w:val="1"/>
          <w:numId w:val="86"/>
        </w:numPr>
        <w:tabs>
          <w:tab w:val="left" w:pos="520"/>
        </w:tabs>
        <w:spacing w:before="0" w:after="0"/>
        <w:jc w:val="left"/>
        <w:rPr>
          <w:b/>
          <w:bCs/>
        </w:rPr>
      </w:pPr>
      <w:bookmarkStart w:id="473" w:name="8.1._Ogólne_zasady_odbioru_robót"/>
      <w:bookmarkEnd w:id="473"/>
      <w:r>
        <w:rPr>
          <w:spacing w:val="-1"/>
        </w:rPr>
        <w:t>Ogólne</w:t>
      </w:r>
      <w:r>
        <w:rPr>
          <w:spacing w:val="-3"/>
        </w:rPr>
        <w:t xml:space="preserve"> </w:t>
      </w:r>
      <w:r>
        <w:rPr>
          <w:spacing w:val="-1"/>
        </w:rPr>
        <w:t>zasady</w:t>
      </w:r>
      <w:r>
        <w:rPr>
          <w:spacing w:val="-3"/>
        </w:rPr>
        <w:t xml:space="preserve"> </w:t>
      </w:r>
      <w:r>
        <w:rPr>
          <w:spacing w:val="-1"/>
        </w:rPr>
        <w:t>odbioru</w:t>
      </w:r>
      <w:r>
        <w:rPr>
          <w:spacing w:val="-4"/>
        </w:rPr>
        <w:t xml:space="preserve"> </w:t>
      </w:r>
      <w:r>
        <w:rPr>
          <w:spacing w:val="-1"/>
        </w:rPr>
        <w:t>robót</w:t>
      </w:r>
    </w:p>
    <w:p w:rsidR="002122BD" w:rsidRDefault="002122BD" w:rsidP="002122BD">
      <w:pPr>
        <w:pStyle w:val="Tekstpodstawowy"/>
        <w:spacing w:before="60"/>
        <w:ind w:right="119"/>
      </w:pPr>
      <w:r>
        <w:rPr>
          <w:spacing w:val="-1"/>
        </w:rPr>
        <w:t>Ogólne</w:t>
      </w:r>
      <w:r>
        <w:rPr>
          <w:spacing w:val="-3"/>
        </w:rPr>
        <w:t xml:space="preserve"> </w:t>
      </w:r>
      <w:r>
        <w:rPr>
          <w:spacing w:val="-1"/>
        </w:rPr>
        <w:t>zasady</w:t>
      </w:r>
      <w:r>
        <w:rPr>
          <w:spacing w:val="-3"/>
        </w:rPr>
        <w:t xml:space="preserve"> </w:t>
      </w:r>
      <w:r>
        <w:rPr>
          <w:spacing w:val="-1"/>
        </w:rPr>
        <w:t>odbioru</w:t>
      </w:r>
      <w:r>
        <w:rPr>
          <w:spacing w:val="-4"/>
        </w:rPr>
        <w:t xml:space="preserve"> </w:t>
      </w:r>
      <w:r>
        <w:t>robót</w:t>
      </w:r>
      <w:r>
        <w:rPr>
          <w:spacing w:val="-2"/>
        </w:rPr>
        <w:t xml:space="preserve"> </w:t>
      </w:r>
      <w:r>
        <w:rPr>
          <w:spacing w:val="-1"/>
        </w:rPr>
        <w:t>podano</w:t>
      </w:r>
      <w:r>
        <w:rPr>
          <w:spacing w:val="-4"/>
        </w:rPr>
        <w:t xml:space="preserve"> </w:t>
      </w:r>
      <w:r>
        <w:t>w</w:t>
      </w:r>
      <w:r>
        <w:rPr>
          <w:spacing w:val="-3"/>
        </w:rPr>
        <w:t xml:space="preserve"> </w:t>
      </w:r>
      <w:r>
        <w:rPr>
          <w:spacing w:val="-1"/>
        </w:rPr>
        <w:t>SST</w:t>
      </w:r>
      <w:r>
        <w:rPr>
          <w:spacing w:val="-5"/>
        </w:rPr>
        <w:t xml:space="preserve"> </w:t>
      </w:r>
      <w:r>
        <w:t>D-00.00.00</w:t>
      </w:r>
      <w:r>
        <w:rPr>
          <w:spacing w:val="-3"/>
        </w:rPr>
        <w:t xml:space="preserve"> </w:t>
      </w:r>
      <w:r>
        <w:rPr>
          <w:spacing w:val="-1"/>
        </w:rPr>
        <w:t>„Wymagania ogólne</w:t>
      </w:r>
      <w:r>
        <w:rPr>
          <w:spacing w:val="-2"/>
        </w:rPr>
        <w:t xml:space="preserve"> </w:t>
      </w:r>
      <w:r>
        <w:t>pkt</w:t>
      </w:r>
      <w:r>
        <w:rPr>
          <w:spacing w:val="52"/>
        </w:rPr>
        <w:t xml:space="preserve"> </w:t>
      </w:r>
      <w:r>
        <w:t>8</w:t>
      </w:r>
      <w:r>
        <w:rPr>
          <w:spacing w:val="-4"/>
        </w:rPr>
        <w:t xml:space="preserve"> </w:t>
      </w:r>
      <w:r>
        <w:t>.</w:t>
      </w:r>
      <w:r>
        <w:rPr>
          <w:spacing w:val="57"/>
        </w:rPr>
        <w:t xml:space="preserve"> </w:t>
      </w:r>
      <w:r>
        <w:rPr>
          <w:spacing w:val="-1"/>
        </w:rPr>
        <w:t>Roboty</w:t>
      </w:r>
      <w:r>
        <w:t xml:space="preserve"> </w:t>
      </w:r>
      <w:r>
        <w:rPr>
          <w:spacing w:val="46"/>
        </w:rPr>
        <w:t xml:space="preserve"> </w:t>
      </w:r>
      <w:r>
        <w:rPr>
          <w:spacing w:val="-1"/>
        </w:rPr>
        <w:t>uznaje</w:t>
      </w:r>
      <w:r>
        <w:t xml:space="preserve"> </w:t>
      </w:r>
      <w:r>
        <w:rPr>
          <w:spacing w:val="47"/>
        </w:rPr>
        <w:t xml:space="preserve"> </w:t>
      </w:r>
      <w:r>
        <w:rPr>
          <w:spacing w:val="-1"/>
        </w:rPr>
        <w:t>się</w:t>
      </w:r>
      <w:r>
        <w:t xml:space="preserve"> </w:t>
      </w:r>
      <w:r>
        <w:rPr>
          <w:spacing w:val="46"/>
        </w:rPr>
        <w:t xml:space="preserve"> </w:t>
      </w:r>
      <w:r>
        <w:rPr>
          <w:spacing w:val="-1"/>
        </w:rPr>
        <w:t>za</w:t>
      </w:r>
      <w:r>
        <w:t xml:space="preserve"> </w:t>
      </w:r>
      <w:r>
        <w:rPr>
          <w:spacing w:val="45"/>
        </w:rPr>
        <w:t xml:space="preserve"> </w:t>
      </w:r>
      <w:r>
        <w:rPr>
          <w:spacing w:val="-1"/>
        </w:rPr>
        <w:t>wykonane</w:t>
      </w:r>
      <w:r>
        <w:t xml:space="preserve"> </w:t>
      </w:r>
      <w:r>
        <w:rPr>
          <w:spacing w:val="50"/>
        </w:rPr>
        <w:t xml:space="preserve"> </w:t>
      </w:r>
      <w:r>
        <w:rPr>
          <w:spacing w:val="-1"/>
        </w:rPr>
        <w:t>zgodnie</w:t>
      </w:r>
      <w:r>
        <w:t xml:space="preserve"> </w:t>
      </w:r>
      <w:r>
        <w:rPr>
          <w:spacing w:val="46"/>
        </w:rPr>
        <w:t xml:space="preserve"> </w:t>
      </w:r>
      <w:r>
        <w:t xml:space="preserve">z </w:t>
      </w:r>
      <w:r>
        <w:rPr>
          <w:spacing w:val="47"/>
        </w:rPr>
        <w:t xml:space="preserve"> </w:t>
      </w:r>
      <w:r>
        <w:rPr>
          <w:spacing w:val="-1"/>
        </w:rPr>
        <w:t>dokumentacją</w:t>
      </w:r>
      <w:r>
        <w:t xml:space="preserve"> </w:t>
      </w:r>
      <w:r>
        <w:rPr>
          <w:spacing w:val="48"/>
        </w:rPr>
        <w:t xml:space="preserve"> </w:t>
      </w:r>
      <w:r>
        <w:rPr>
          <w:spacing w:val="-1"/>
        </w:rPr>
        <w:t>projektową</w:t>
      </w:r>
      <w:r>
        <w:t xml:space="preserve"> </w:t>
      </w:r>
      <w:r>
        <w:rPr>
          <w:spacing w:val="47"/>
        </w:rPr>
        <w:t xml:space="preserve"> </w:t>
      </w:r>
      <w:r>
        <w:t xml:space="preserve">, </w:t>
      </w:r>
      <w:r>
        <w:rPr>
          <w:spacing w:val="46"/>
        </w:rPr>
        <w:t xml:space="preserve"> </w:t>
      </w:r>
      <w:r>
        <w:rPr>
          <w:spacing w:val="-1"/>
        </w:rPr>
        <w:t>SST</w:t>
      </w:r>
      <w:r>
        <w:t xml:space="preserve"> </w:t>
      </w:r>
      <w:r>
        <w:rPr>
          <w:spacing w:val="46"/>
        </w:rPr>
        <w:t xml:space="preserve"> </w:t>
      </w:r>
      <w:r>
        <w:t>i</w:t>
      </w:r>
      <w:r>
        <w:rPr>
          <w:spacing w:val="69"/>
          <w:w w:val="99"/>
        </w:rPr>
        <w:t xml:space="preserve"> </w:t>
      </w:r>
      <w:r>
        <w:rPr>
          <w:spacing w:val="-1"/>
        </w:rPr>
        <w:t>wymaganiami</w:t>
      </w:r>
      <w:r>
        <w:rPr>
          <w:spacing w:val="-3"/>
        </w:rPr>
        <w:t xml:space="preserve"> </w:t>
      </w:r>
      <w:r>
        <w:rPr>
          <w:spacing w:val="-1"/>
        </w:rPr>
        <w:t>Inżyniera</w:t>
      </w:r>
      <w:r>
        <w:rPr>
          <w:spacing w:val="-4"/>
        </w:rPr>
        <w:t xml:space="preserve"> </w:t>
      </w:r>
      <w:r>
        <w:t>,</w:t>
      </w:r>
      <w:r>
        <w:rPr>
          <w:spacing w:val="-5"/>
        </w:rPr>
        <w:t xml:space="preserve"> </w:t>
      </w:r>
      <w:r>
        <w:rPr>
          <w:spacing w:val="-1"/>
        </w:rPr>
        <w:t>jeżeli</w:t>
      </w:r>
      <w:r>
        <w:rPr>
          <w:spacing w:val="-4"/>
        </w:rPr>
        <w:t xml:space="preserve"> </w:t>
      </w:r>
      <w:r>
        <w:rPr>
          <w:spacing w:val="-1"/>
        </w:rPr>
        <w:t>wszystkie</w:t>
      </w:r>
      <w:r>
        <w:rPr>
          <w:spacing w:val="-5"/>
        </w:rPr>
        <w:t xml:space="preserve"> </w:t>
      </w:r>
      <w:r>
        <w:rPr>
          <w:spacing w:val="-1"/>
        </w:rPr>
        <w:t>pomiary</w:t>
      </w:r>
      <w:r>
        <w:rPr>
          <w:spacing w:val="-4"/>
        </w:rPr>
        <w:t xml:space="preserve"> </w:t>
      </w:r>
      <w:r>
        <w:t>i</w:t>
      </w:r>
      <w:r>
        <w:rPr>
          <w:spacing w:val="-6"/>
        </w:rPr>
        <w:t xml:space="preserve"> </w:t>
      </w:r>
      <w:r>
        <w:rPr>
          <w:spacing w:val="-1"/>
        </w:rPr>
        <w:t>badania</w:t>
      </w:r>
      <w:r>
        <w:rPr>
          <w:spacing w:val="51"/>
        </w:rPr>
        <w:t xml:space="preserve"> </w:t>
      </w:r>
      <w:r>
        <w:t>z</w:t>
      </w:r>
      <w:r>
        <w:rPr>
          <w:spacing w:val="-5"/>
        </w:rPr>
        <w:t xml:space="preserve"> </w:t>
      </w:r>
      <w:r>
        <w:rPr>
          <w:spacing w:val="-1"/>
        </w:rPr>
        <w:t>zachowaniem</w:t>
      </w:r>
      <w:r>
        <w:rPr>
          <w:spacing w:val="-4"/>
        </w:rPr>
        <w:t xml:space="preserve"> </w:t>
      </w:r>
      <w:r>
        <w:rPr>
          <w:spacing w:val="-1"/>
        </w:rPr>
        <w:t>tolerancji</w:t>
      </w:r>
      <w:r>
        <w:rPr>
          <w:spacing w:val="65"/>
          <w:w w:val="99"/>
        </w:rPr>
        <w:t xml:space="preserve"> </w:t>
      </w:r>
      <w:r>
        <w:t>wg</w:t>
      </w:r>
      <w:r>
        <w:rPr>
          <w:spacing w:val="-3"/>
        </w:rPr>
        <w:t xml:space="preserve"> </w:t>
      </w:r>
      <w:r>
        <w:t>pkt</w:t>
      </w:r>
      <w:r>
        <w:rPr>
          <w:spacing w:val="-3"/>
        </w:rPr>
        <w:t xml:space="preserve"> </w:t>
      </w:r>
      <w:r>
        <w:t>6</w:t>
      </w:r>
      <w:r>
        <w:rPr>
          <w:spacing w:val="-3"/>
        </w:rPr>
        <w:t xml:space="preserve"> </w:t>
      </w:r>
      <w:r>
        <w:t>dały</w:t>
      </w:r>
      <w:r>
        <w:rPr>
          <w:spacing w:val="-2"/>
        </w:rPr>
        <w:t xml:space="preserve"> </w:t>
      </w:r>
      <w:r>
        <w:rPr>
          <w:spacing w:val="-1"/>
        </w:rPr>
        <w:t>wyniki</w:t>
      </w:r>
      <w:r>
        <w:rPr>
          <w:spacing w:val="-2"/>
        </w:rPr>
        <w:t xml:space="preserve"> </w:t>
      </w:r>
      <w:r>
        <w:rPr>
          <w:spacing w:val="-1"/>
        </w:rPr>
        <w:t>pozytywne</w:t>
      </w:r>
      <w:r>
        <w:rPr>
          <w:spacing w:val="3"/>
        </w:rPr>
        <w:t xml:space="preserve"> </w:t>
      </w:r>
      <w:r>
        <w:t>.</w:t>
      </w:r>
    </w:p>
    <w:p w:rsidR="002122BD" w:rsidRDefault="002122BD" w:rsidP="002122BD">
      <w:pPr>
        <w:spacing w:before="10"/>
      </w:pPr>
    </w:p>
    <w:p w:rsidR="002122BD" w:rsidRDefault="002122BD" w:rsidP="002122BD">
      <w:pPr>
        <w:pStyle w:val="Nagwek3"/>
        <w:keepNext w:val="0"/>
        <w:widowControl w:val="0"/>
        <w:numPr>
          <w:ilvl w:val="1"/>
          <w:numId w:val="86"/>
        </w:numPr>
        <w:tabs>
          <w:tab w:val="left" w:pos="580"/>
        </w:tabs>
        <w:spacing w:before="0" w:after="0"/>
        <w:ind w:left="580"/>
        <w:jc w:val="left"/>
        <w:rPr>
          <w:b/>
          <w:bCs/>
        </w:rPr>
      </w:pPr>
      <w:bookmarkStart w:id="474" w:name="8.2._Odbiór_robót_zanikających_i_ulegają"/>
      <w:bookmarkEnd w:id="474"/>
      <w:r>
        <w:rPr>
          <w:spacing w:val="-1"/>
        </w:rPr>
        <w:t>Odbiór</w:t>
      </w:r>
      <w:r>
        <w:rPr>
          <w:spacing w:val="-5"/>
        </w:rPr>
        <w:t xml:space="preserve"> </w:t>
      </w:r>
      <w:r>
        <w:rPr>
          <w:spacing w:val="-1"/>
        </w:rPr>
        <w:t>robót</w:t>
      </w:r>
      <w:r>
        <w:rPr>
          <w:spacing w:val="-5"/>
        </w:rPr>
        <w:t xml:space="preserve"> </w:t>
      </w:r>
      <w:r>
        <w:rPr>
          <w:spacing w:val="-1"/>
        </w:rPr>
        <w:t>zanikających</w:t>
      </w:r>
      <w:r>
        <w:rPr>
          <w:spacing w:val="-5"/>
        </w:rPr>
        <w:t xml:space="preserve"> </w:t>
      </w:r>
      <w:r>
        <w:t>i</w:t>
      </w:r>
      <w:r>
        <w:rPr>
          <w:spacing w:val="-6"/>
        </w:rPr>
        <w:t xml:space="preserve"> </w:t>
      </w:r>
      <w:r>
        <w:rPr>
          <w:spacing w:val="-1"/>
        </w:rPr>
        <w:t>ulegających</w:t>
      </w:r>
      <w:r>
        <w:rPr>
          <w:spacing w:val="-5"/>
        </w:rPr>
        <w:t xml:space="preserve"> </w:t>
      </w:r>
      <w:r>
        <w:rPr>
          <w:spacing w:val="-1"/>
        </w:rPr>
        <w:t>zakryciu</w:t>
      </w:r>
    </w:p>
    <w:p w:rsidR="002122BD" w:rsidRDefault="002122BD" w:rsidP="002122BD">
      <w:pPr>
        <w:pStyle w:val="Tekstpodstawowy"/>
        <w:spacing w:before="60"/>
      </w:pPr>
      <w:r>
        <w:rPr>
          <w:spacing w:val="-1"/>
        </w:rPr>
        <w:t>Odbiorowi</w:t>
      </w:r>
      <w:r>
        <w:rPr>
          <w:spacing w:val="-7"/>
        </w:rPr>
        <w:t xml:space="preserve"> </w:t>
      </w:r>
      <w:r>
        <w:t>robót</w:t>
      </w:r>
      <w:r>
        <w:rPr>
          <w:spacing w:val="-5"/>
        </w:rPr>
        <w:t xml:space="preserve"> </w:t>
      </w:r>
      <w:r>
        <w:rPr>
          <w:spacing w:val="-1"/>
        </w:rPr>
        <w:t>zanikających</w:t>
      </w:r>
      <w:r>
        <w:rPr>
          <w:spacing w:val="-4"/>
        </w:rPr>
        <w:t xml:space="preserve"> </w:t>
      </w:r>
      <w:r>
        <w:t>i</w:t>
      </w:r>
      <w:r>
        <w:rPr>
          <w:spacing w:val="-6"/>
        </w:rPr>
        <w:t xml:space="preserve"> </w:t>
      </w:r>
      <w:r>
        <w:rPr>
          <w:spacing w:val="-1"/>
        </w:rPr>
        <w:t>ulegających</w:t>
      </w:r>
      <w:r>
        <w:rPr>
          <w:spacing w:val="-4"/>
        </w:rPr>
        <w:t xml:space="preserve"> </w:t>
      </w:r>
      <w:r>
        <w:rPr>
          <w:spacing w:val="-1"/>
        </w:rPr>
        <w:t>zakryciu</w:t>
      </w:r>
      <w:r>
        <w:rPr>
          <w:spacing w:val="-3"/>
        </w:rPr>
        <w:t xml:space="preserve"> </w:t>
      </w:r>
      <w:r>
        <w:rPr>
          <w:spacing w:val="-1"/>
        </w:rPr>
        <w:t>podlegają</w:t>
      </w:r>
      <w:r>
        <w:rPr>
          <w:spacing w:val="-5"/>
        </w:rPr>
        <w:t xml:space="preserve"> </w:t>
      </w:r>
      <w:r>
        <w:t>:</w:t>
      </w:r>
    </w:p>
    <w:p w:rsidR="002122BD" w:rsidRDefault="002122BD" w:rsidP="002122BD">
      <w:pPr>
        <w:pStyle w:val="Tekstpodstawowy"/>
        <w:widowControl w:val="0"/>
        <w:numPr>
          <w:ilvl w:val="2"/>
          <w:numId w:val="86"/>
        </w:numPr>
        <w:tabs>
          <w:tab w:val="left" w:pos="999"/>
          <w:tab w:val="left" w:pos="1000"/>
        </w:tabs>
        <w:spacing w:after="0"/>
      </w:pPr>
      <w:r>
        <w:t>roboty</w:t>
      </w:r>
      <w:r>
        <w:rPr>
          <w:spacing w:val="-6"/>
        </w:rPr>
        <w:t xml:space="preserve"> </w:t>
      </w:r>
      <w:r>
        <w:rPr>
          <w:spacing w:val="-1"/>
        </w:rPr>
        <w:t>rozbiórkowe</w:t>
      </w:r>
      <w:r>
        <w:rPr>
          <w:spacing w:val="-7"/>
        </w:rPr>
        <w:t xml:space="preserve"> </w:t>
      </w:r>
      <w:r>
        <w:t>,</w:t>
      </w:r>
    </w:p>
    <w:p w:rsidR="002122BD" w:rsidRDefault="002122BD" w:rsidP="002122BD">
      <w:pPr>
        <w:pStyle w:val="Tekstpodstawowy"/>
        <w:widowControl w:val="0"/>
        <w:numPr>
          <w:ilvl w:val="2"/>
          <w:numId w:val="86"/>
        </w:numPr>
        <w:tabs>
          <w:tab w:val="left" w:pos="999"/>
          <w:tab w:val="left" w:pos="1000"/>
        </w:tabs>
        <w:spacing w:after="0"/>
      </w:pPr>
      <w:r>
        <w:rPr>
          <w:spacing w:val="-1"/>
        </w:rPr>
        <w:t>naprawa</w:t>
      </w:r>
      <w:r>
        <w:rPr>
          <w:spacing w:val="-4"/>
        </w:rPr>
        <w:t xml:space="preserve"> </w:t>
      </w:r>
      <w:r>
        <w:rPr>
          <w:spacing w:val="-1"/>
        </w:rPr>
        <w:t>urządzeń</w:t>
      </w:r>
      <w:r>
        <w:rPr>
          <w:spacing w:val="52"/>
        </w:rPr>
        <w:t xml:space="preserve"> </w:t>
      </w:r>
      <w:r>
        <w:t>.</w:t>
      </w:r>
    </w:p>
    <w:p w:rsidR="002122BD" w:rsidRDefault="002122BD" w:rsidP="002122BD">
      <w:pPr>
        <w:pStyle w:val="Tekstpodstawowy"/>
      </w:pPr>
      <w:r>
        <w:rPr>
          <w:spacing w:val="-1"/>
        </w:rPr>
        <w:t>Odbiór</w:t>
      </w:r>
      <w:r>
        <w:rPr>
          <w:spacing w:val="-3"/>
        </w:rPr>
        <w:t xml:space="preserve"> </w:t>
      </w:r>
      <w:r>
        <w:rPr>
          <w:spacing w:val="-1"/>
        </w:rPr>
        <w:t>tych</w:t>
      </w:r>
      <w:r>
        <w:rPr>
          <w:spacing w:val="1"/>
        </w:rPr>
        <w:t xml:space="preserve"> </w:t>
      </w:r>
      <w:r>
        <w:t>robót</w:t>
      </w:r>
      <w:r>
        <w:rPr>
          <w:spacing w:val="-4"/>
        </w:rPr>
        <w:t xml:space="preserve"> </w:t>
      </w:r>
      <w:r>
        <w:rPr>
          <w:spacing w:val="-1"/>
        </w:rPr>
        <w:t xml:space="preserve">powinien </w:t>
      </w:r>
      <w:r>
        <w:rPr>
          <w:spacing w:val="-2"/>
        </w:rPr>
        <w:t>być</w:t>
      </w:r>
      <w:r>
        <w:t xml:space="preserve"> zgodny</w:t>
      </w:r>
      <w:r>
        <w:rPr>
          <w:spacing w:val="-4"/>
        </w:rPr>
        <w:t xml:space="preserve"> </w:t>
      </w:r>
      <w:r>
        <w:t>z</w:t>
      </w:r>
      <w:r>
        <w:rPr>
          <w:spacing w:val="-2"/>
        </w:rPr>
        <w:t xml:space="preserve"> </w:t>
      </w:r>
      <w:r>
        <w:rPr>
          <w:spacing w:val="-1"/>
        </w:rPr>
        <w:t>wymaganiami</w:t>
      </w:r>
      <w:r>
        <w:rPr>
          <w:spacing w:val="1"/>
        </w:rPr>
        <w:t xml:space="preserve"> </w:t>
      </w:r>
      <w:proofErr w:type="spellStart"/>
      <w:r>
        <w:rPr>
          <w:spacing w:val="-1"/>
        </w:rPr>
        <w:t>pktu</w:t>
      </w:r>
      <w:proofErr w:type="spellEnd"/>
      <w:r>
        <w:rPr>
          <w:spacing w:val="56"/>
        </w:rPr>
        <w:t xml:space="preserve"> </w:t>
      </w:r>
      <w:r>
        <w:t>8.2</w:t>
      </w:r>
      <w:r>
        <w:rPr>
          <w:spacing w:val="-3"/>
        </w:rPr>
        <w:t xml:space="preserve"> </w:t>
      </w:r>
      <w:r>
        <w:rPr>
          <w:spacing w:val="-1"/>
        </w:rPr>
        <w:t>SST</w:t>
      </w:r>
      <w:r>
        <w:rPr>
          <w:spacing w:val="55"/>
        </w:rPr>
        <w:t xml:space="preserve"> </w:t>
      </w:r>
      <w:r>
        <w:t>D-00.00.00</w:t>
      </w:r>
    </w:p>
    <w:p w:rsidR="002122BD" w:rsidRDefault="002122BD" w:rsidP="002122BD">
      <w:pPr>
        <w:pStyle w:val="Tekstpodstawowy"/>
      </w:pPr>
      <w:r>
        <w:rPr>
          <w:spacing w:val="-1"/>
        </w:rPr>
        <w:t>„Wymagania</w:t>
      </w:r>
      <w:r>
        <w:rPr>
          <w:spacing w:val="-6"/>
        </w:rPr>
        <w:t xml:space="preserve"> </w:t>
      </w:r>
      <w:r>
        <w:rPr>
          <w:spacing w:val="-1"/>
        </w:rPr>
        <w:t>ogólne”</w:t>
      </w:r>
      <w:r>
        <w:rPr>
          <w:spacing w:val="-5"/>
        </w:rPr>
        <w:t xml:space="preserve"> </w:t>
      </w:r>
      <w:r>
        <w:rPr>
          <w:spacing w:val="-1"/>
        </w:rPr>
        <w:t>oraz</w:t>
      </w:r>
      <w:r>
        <w:rPr>
          <w:spacing w:val="-6"/>
        </w:rPr>
        <w:t xml:space="preserve"> </w:t>
      </w:r>
      <w:r>
        <w:rPr>
          <w:spacing w:val="-1"/>
        </w:rPr>
        <w:t>niniejszej</w:t>
      </w:r>
      <w:r>
        <w:rPr>
          <w:spacing w:val="-5"/>
        </w:rPr>
        <w:t xml:space="preserve"> </w:t>
      </w:r>
      <w:r>
        <w:t>SST</w:t>
      </w:r>
      <w:r>
        <w:rPr>
          <w:spacing w:val="-7"/>
        </w:rPr>
        <w:t xml:space="preserve"> </w:t>
      </w:r>
      <w:r>
        <w:t>.</w:t>
      </w:r>
    </w:p>
    <w:p w:rsidR="002122BD" w:rsidRDefault="002122BD" w:rsidP="002122BD">
      <w:pPr>
        <w:spacing w:before="11"/>
      </w:pPr>
    </w:p>
    <w:p w:rsidR="002122BD" w:rsidRDefault="002122BD" w:rsidP="002122BD">
      <w:pPr>
        <w:pStyle w:val="Nagwek2"/>
        <w:keepNext w:val="0"/>
        <w:widowControl w:val="0"/>
        <w:numPr>
          <w:ilvl w:val="0"/>
          <w:numId w:val="85"/>
        </w:numPr>
        <w:tabs>
          <w:tab w:val="left" w:pos="426"/>
        </w:tabs>
        <w:spacing w:before="0" w:after="0"/>
        <w:ind w:hanging="325"/>
        <w:rPr>
          <w:b w:val="0"/>
          <w:bCs/>
        </w:rPr>
      </w:pPr>
      <w:bookmarkStart w:id="475" w:name="9._Podstawy_płatności"/>
      <w:bookmarkEnd w:id="475"/>
      <w:r>
        <w:rPr>
          <w:spacing w:val="-1"/>
        </w:rPr>
        <w:t>Podstawy</w:t>
      </w:r>
      <w:r>
        <w:rPr>
          <w:spacing w:val="-7"/>
        </w:rPr>
        <w:t xml:space="preserve"> </w:t>
      </w:r>
      <w:r>
        <w:rPr>
          <w:spacing w:val="-1"/>
        </w:rPr>
        <w:t>płatności</w:t>
      </w:r>
    </w:p>
    <w:p w:rsidR="002122BD" w:rsidRDefault="002122BD" w:rsidP="002122BD">
      <w:pPr>
        <w:spacing w:before="10"/>
        <w:rPr>
          <w:b/>
          <w:bCs/>
        </w:rPr>
      </w:pPr>
    </w:p>
    <w:p w:rsidR="002122BD" w:rsidRDefault="002122BD" w:rsidP="002122BD">
      <w:pPr>
        <w:pStyle w:val="Nagwek3"/>
        <w:keepNext w:val="0"/>
        <w:widowControl w:val="0"/>
        <w:numPr>
          <w:ilvl w:val="1"/>
          <w:numId w:val="85"/>
        </w:numPr>
        <w:tabs>
          <w:tab w:val="left" w:pos="520"/>
        </w:tabs>
        <w:spacing w:before="0" w:after="0"/>
        <w:rPr>
          <w:b/>
          <w:bCs/>
        </w:rPr>
      </w:pPr>
      <w:bookmarkStart w:id="476" w:name="9.1._Ogólne_ustalenia_dotyczące_płatnośc"/>
      <w:bookmarkEnd w:id="476"/>
      <w:r>
        <w:rPr>
          <w:spacing w:val="-1"/>
        </w:rPr>
        <w:t>Ogólne</w:t>
      </w:r>
      <w:r>
        <w:rPr>
          <w:spacing w:val="-6"/>
        </w:rPr>
        <w:t xml:space="preserve"> </w:t>
      </w:r>
      <w:r>
        <w:rPr>
          <w:spacing w:val="-1"/>
        </w:rPr>
        <w:t>ustalenia</w:t>
      </w:r>
      <w:r>
        <w:rPr>
          <w:spacing w:val="-5"/>
        </w:rPr>
        <w:t xml:space="preserve"> </w:t>
      </w:r>
      <w:r>
        <w:rPr>
          <w:spacing w:val="-1"/>
        </w:rPr>
        <w:t>dotyczące</w:t>
      </w:r>
      <w:r>
        <w:rPr>
          <w:spacing w:val="-3"/>
        </w:rPr>
        <w:t xml:space="preserve"> </w:t>
      </w:r>
      <w:r>
        <w:rPr>
          <w:spacing w:val="-1"/>
        </w:rPr>
        <w:t>płatności</w:t>
      </w:r>
    </w:p>
    <w:p w:rsidR="002122BD" w:rsidRDefault="002122BD" w:rsidP="002122BD">
      <w:pPr>
        <w:pStyle w:val="Tekstpodstawowy"/>
        <w:spacing w:before="60"/>
        <w:ind w:right="119"/>
      </w:pPr>
      <w:r>
        <w:rPr>
          <w:spacing w:val="-1"/>
        </w:rPr>
        <w:t>Ogólne</w:t>
      </w:r>
      <w:r>
        <w:t xml:space="preserve"> </w:t>
      </w:r>
      <w:r>
        <w:rPr>
          <w:spacing w:val="14"/>
        </w:rPr>
        <w:t xml:space="preserve"> </w:t>
      </w:r>
      <w:r>
        <w:rPr>
          <w:spacing w:val="-1"/>
        </w:rPr>
        <w:t>ustalenia</w:t>
      </w:r>
      <w:r>
        <w:t xml:space="preserve"> </w:t>
      </w:r>
      <w:r>
        <w:rPr>
          <w:spacing w:val="17"/>
        </w:rPr>
        <w:t xml:space="preserve"> </w:t>
      </w:r>
      <w:r>
        <w:rPr>
          <w:spacing w:val="-1"/>
        </w:rPr>
        <w:t>dotyczące</w:t>
      </w:r>
      <w:r>
        <w:t xml:space="preserve"> </w:t>
      </w:r>
      <w:r>
        <w:rPr>
          <w:spacing w:val="16"/>
        </w:rPr>
        <w:t xml:space="preserve"> </w:t>
      </w:r>
      <w:r>
        <w:rPr>
          <w:spacing w:val="-1"/>
        </w:rPr>
        <w:t>płatności</w:t>
      </w:r>
      <w:r>
        <w:t xml:space="preserve"> </w:t>
      </w:r>
      <w:r>
        <w:rPr>
          <w:spacing w:val="16"/>
        </w:rPr>
        <w:t xml:space="preserve"> </w:t>
      </w:r>
      <w:r>
        <w:rPr>
          <w:spacing w:val="-1"/>
        </w:rPr>
        <w:t>podano</w:t>
      </w:r>
      <w:r>
        <w:t xml:space="preserve"> </w:t>
      </w:r>
      <w:r>
        <w:rPr>
          <w:spacing w:val="13"/>
        </w:rPr>
        <w:t xml:space="preserve"> </w:t>
      </w:r>
      <w:r>
        <w:t xml:space="preserve">w </w:t>
      </w:r>
      <w:r>
        <w:rPr>
          <w:spacing w:val="16"/>
        </w:rPr>
        <w:t xml:space="preserve"> </w:t>
      </w:r>
      <w:r>
        <w:rPr>
          <w:spacing w:val="-1"/>
        </w:rPr>
        <w:t>SST</w:t>
      </w:r>
      <w:r>
        <w:t xml:space="preserve"> </w:t>
      </w:r>
      <w:r>
        <w:rPr>
          <w:spacing w:val="14"/>
        </w:rPr>
        <w:t xml:space="preserve"> </w:t>
      </w:r>
      <w:r>
        <w:t xml:space="preserve">– </w:t>
      </w:r>
      <w:r>
        <w:rPr>
          <w:spacing w:val="13"/>
        </w:rPr>
        <w:t xml:space="preserve"> </w:t>
      </w:r>
      <w:r>
        <w:t xml:space="preserve">D </w:t>
      </w:r>
      <w:r>
        <w:rPr>
          <w:spacing w:val="16"/>
        </w:rPr>
        <w:t xml:space="preserve"> </w:t>
      </w:r>
      <w:r>
        <w:t xml:space="preserve">.00.00.00 </w:t>
      </w:r>
      <w:r>
        <w:rPr>
          <w:spacing w:val="12"/>
        </w:rPr>
        <w:t xml:space="preserve"> </w:t>
      </w:r>
      <w:r>
        <w:rPr>
          <w:spacing w:val="-1"/>
        </w:rPr>
        <w:t>„Wymagania</w:t>
      </w:r>
      <w:r>
        <w:rPr>
          <w:spacing w:val="57"/>
          <w:w w:val="99"/>
        </w:rPr>
        <w:t xml:space="preserve"> </w:t>
      </w:r>
      <w:r>
        <w:rPr>
          <w:spacing w:val="-1"/>
        </w:rPr>
        <w:t>ogólne”</w:t>
      </w:r>
      <w:r>
        <w:rPr>
          <w:spacing w:val="-2"/>
        </w:rPr>
        <w:t xml:space="preserve"> </w:t>
      </w:r>
      <w:r>
        <w:t>pkt</w:t>
      </w:r>
      <w:r>
        <w:rPr>
          <w:spacing w:val="54"/>
        </w:rPr>
        <w:t xml:space="preserve"> </w:t>
      </w:r>
      <w:r>
        <w:t>9</w:t>
      </w:r>
      <w:r>
        <w:rPr>
          <w:spacing w:val="-3"/>
        </w:rPr>
        <w:t xml:space="preserve"> </w:t>
      </w:r>
      <w:r>
        <w:t>.</w:t>
      </w:r>
    </w:p>
    <w:p w:rsidR="002122BD" w:rsidRDefault="002122BD" w:rsidP="002122BD">
      <w:pPr>
        <w:sectPr w:rsidR="002122BD">
          <w:pgSz w:w="11900" w:h="16840"/>
          <w:pgMar w:top="1360" w:right="1300" w:bottom="280" w:left="1320" w:header="708" w:footer="708" w:gutter="0"/>
          <w:cols w:space="708"/>
        </w:sectPr>
      </w:pPr>
    </w:p>
    <w:p w:rsidR="002122BD" w:rsidRDefault="002122BD" w:rsidP="002122BD">
      <w:pPr>
        <w:pStyle w:val="Nagwek3"/>
        <w:keepNext w:val="0"/>
        <w:widowControl w:val="0"/>
        <w:numPr>
          <w:ilvl w:val="1"/>
          <w:numId w:val="85"/>
        </w:numPr>
        <w:tabs>
          <w:tab w:val="left" w:pos="868"/>
        </w:tabs>
        <w:spacing w:before="58" w:after="0"/>
        <w:ind w:left="868" w:hanging="768"/>
        <w:rPr>
          <w:b/>
          <w:bCs/>
        </w:rPr>
      </w:pPr>
      <w:r>
        <w:rPr>
          <w:spacing w:val="-1"/>
        </w:rPr>
        <w:lastRenderedPageBreak/>
        <w:t>Cena</w:t>
      </w:r>
      <w:r>
        <w:rPr>
          <w:spacing w:val="-4"/>
        </w:rPr>
        <w:t xml:space="preserve"> </w:t>
      </w:r>
      <w:r>
        <w:rPr>
          <w:spacing w:val="-1"/>
        </w:rPr>
        <w:t>jednostki</w:t>
      </w:r>
      <w:r>
        <w:rPr>
          <w:spacing w:val="-5"/>
        </w:rPr>
        <w:t xml:space="preserve"> </w:t>
      </w:r>
      <w:r>
        <w:rPr>
          <w:spacing w:val="-1"/>
        </w:rPr>
        <w:t>obmiarowej</w:t>
      </w:r>
    </w:p>
    <w:p w:rsidR="002122BD" w:rsidRDefault="002122BD" w:rsidP="002122BD">
      <w:pPr>
        <w:pStyle w:val="Tekstpodstawowy"/>
        <w:ind w:right="119"/>
      </w:pPr>
      <w:r>
        <w:rPr>
          <w:spacing w:val="-1"/>
        </w:rPr>
        <w:t>Cena</w:t>
      </w:r>
      <w:r>
        <w:rPr>
          <w:spacing w:val="50"/>
        </w:rPr>
        <w:t xml:space="preserve"> </w:t>
      </w:r>
      <w:r>
        <w:rPr>
          <w:spacing w:val="-1"/>
        </w:rPr>
        <w:t>wykonania</w:t>
      </w:r>
      <w:r>
        <w:rPr>
          <w:spacing w:val="-4"/>
        </w:rPr>
        <w:t xml:space="preserve"> </w:t>
      </w:r>
      <w:r>
        <w:rPr>
          <w:spacing w:val="-1"/>
        </w:rPr>
        <w:t>regulacji</w:t>
      </w:r>
      <w:r>
        <w:rPr>
          <w:spacing w:val="-4"/>
        </w:rPr>
        <w:t xml:space="preserve"> </w:t>
      </w:r>
      <w:r>
        <w:rPr>
          <w:spacing w:val="-1"/>
        </w:rPr>
        <w:t>pionowej</w:t>
      </w:r>
      <w:r>
        <w:rPr>
          <w:spacing w:val="-4"/>
        </w:rPr>
        <w:t xml:space="preserve"> </w:t>
      </w:r>
      <w:r>
        <w:t>i</w:t>
      </w:r>
      <w:r>
        <w:rPr>
          <w:spacing w:val="-6"/>
        </w:rPr>
        <w:t xml:space="preserve"> </w:t>
      </w:r>
      <w:r>
        <w:rPr>
          <w:spacing w:val="-1"/>
        </w:rPr>
        <w:t>ew.</w:t>
      </w:r>
      <w:r>
        <w:rPr>
          <w:spacing w:val="-5"/>
        </w:rPr>
        <w:t xml:space="preserve"> </w:t>
      </w:r>
      <w:r>
        <w:rPr>
          <w:spacing w:val="-1"/>
        </w:rPr>
        <w:t>napraw</w:t>
      </w:r>
      <w:r>
        <w:rPr>
          <w:spacing w:val="-5"/>
        </w:rPr>
        <w:t xml:space="preserve"> </w:t>
      </w:r>
      <w:r>
        <w:t>:</w:t>
      </w:r>
      <w:r>
        <w:rPr>
          <w:spacing w:val="-6"/>
        </w:rPr>
        <w:t xml:space="preserve"> </w:t>
      </w:r>
      <w:r>
        <w:rPr>
          <w:spacing w:val="-1"/>
        </w:rPr>
        <w:t>studzienek</w:t>
      </w:r>
      <w:r>
        <w:rPr>
          <w:spacing w:val="-4"/>
        </w:rPr>
        <w:t xml:space="preserve"> </w:t>
      </w:r>
      <w:r>
        <w:rPr>
          <w:spacing w:val="-1"/>
        </w:rPr>
        <w:t>telekomunikacyjnych,</w:t>
      </w:r>
      <w:r>
        <w:rPr>
          <w:spacing w:val="71"/>
        </w:rPr>
        <w:t xml:space="preserve"> </w:t>
      </w:r>
      <w:r>
        <w:rPr>
          <w:spacing w:val="-1"/>
        </w:rPr>
        <w:t>kratek</w:t>
      </w:r>
      <w:r>
        <w:t xml:space="preserve"> </w:t>
      </w:r>
      <w:r>
        <w:rPr>
          <w:spacing w:val="15"/>
        </w:rPr>
        <w:t xml:space="preserve"> </w:t>
      </w:r>
      <w:r>
        <w:rPr>
          <w:spacing w:val="-1"/>
        </w:rPr>
        <w:t>ściekowych</w:t>
      </w:r>
      <w:r>
        <w:t xml:space="preserve"> </w:t>
      </w:r>
      <w:r>
        <w:rPr>
          <w:spacing w:val="17"/>
        </w:rPr>
        <w:t xml:space="preserve"> </w:t>
      </w:r>
      <w:r>
        <w:t xml:space="preserve">i </w:t>
      </w:r>
      <w:r>
        <w:rPr>
          <w:spacing w:val="12"/>
        </w:rPr>
        <w:t xml:space="preserve"> </w:t>
      </w:r>
      <w:r>
        <w:rPr>
          <w:spacing w:val="-1"/>
        </w:rPr>
        <w:t>ulicznych,</w:t>
      </w:r>
      <w:r>
        <w:t xml:space="preserve"> </w:t>
      </w:r>
      <w:r>
        <w:rPr>
          <w:spacing w:val="17"/>
        </w:rPr>
        <w:t xml:space="preserve"> </w:t>
      </w:r>
      <w:r>
        <w:rPr>
          <w:spacing w:val="-1"/>
        </w:rPr>
        <w:t>włazów</w:t>
      </w:r>
      <w:r>
        <w:t xml:space="preserve"> </w:t>
      </w:r>
      <w:r>
        <w:rPr>
          <w:spacing w:val="14"/>
        </w:rPr>
        <w:t xml:space="preserve"> </w:t>
      </w:r>
      <w:r>
        <w:rPr>
          <w:spacing w:val="-1"/>
        </w:rPr>
        <w:t>kanałowych</w:t>
      </w:r>
      <w:r>
        <w:t xml:space="preserve"> </w:t>
      </w:r>
      <w:r>
        <w:rPr>
          <w:spacing w:val="17"/>
        </w:rPr>
        <w:t xml:space="preserve"> </w:t>
      </w:r>
      <w:r>
        <w:t xml:space="preserve">i </w:t>
      </w:r>
      <w:r>
        <w:rPr>
          <w:spacing w:val="15"/>
        </w:rPr>
        <w:t xml:space="preserve"> </w:t>
      </w:r>
      <w:r>
        <w:rPr>
          <w:spacing w:val="-1"/>
        </w:rPr>
        <w:t>zaworów</w:t>
      </w:r>
      <w:r>
        <w:t xml:space="preserve"> </w:t>
      </w:r>
      <w:r>
        <w:rPr>
          <w:spacing w:val="14"/>
        </w:rPr>
        <w:t xml:space="preserve"> </w:t>
      </w:r>
      <w:r>
        <w:rPr>
          <w:spacing w:val="-1"/>
        </w:rPr>
        <w:t>wodociągowych</w:t>
      </w:r>
      <w:r>
        <w:t xml:space="preserve"> </w:t>
      </w:r>
      <w:r>
        <w:rPr>
          <w:spacing w:val="17"/>
        </w:rPr>
        <w:t xml:space="preserve"> </w:t>
      </w:r>
      <w:r>
        <w:t>i</w:t>
      </w:r>
      <w:r>
        <w:rPr>
          <w:spacing w:val="53"/>
          <w:w w:val="99"/>
        </w:rPr>
        <w:t xml:space="preserve"> </w:t>
      </w:r>
      <w:r>
        <w:rPr>
          <w:spacing w:val="-1"/>
        </w:rPr>
        <w:t>gazowych</w:t>
      </w:r>
      <w:r>
        <w:rPr>
          <w:spacing w:val="-5"/>
        </w:rPr>
        <w:t xml:space="preserve"> </w:t>
      </w:r>
      <w:r>
        <w:rPr>
          <w:spacing w:val="-1"/>
        </w:rPr>
        <w:t>obejmuje</w:t>
      </w:r>
      <w:r>
        <w:rPr>
          <w:spacing w:val="-5"/>
        </w:rPr>
        <w:t xml:space="preserve"> </w:t>
      </w:r>
      <w:r>
        <w:t>:</w:t>
      </w:r>
    </w:p>
    <w:p w:rsidR="002122BD" w:rsidRDefault="002122BD" w:rsidP="002122BD">
      <w:pPr>
        <w:pStyle w:val="Tekstpodstawowy"/>
        <w:tabs>
          <w:tab w:val="left" w:pos="999"/>
        </w:tabs>
        <w:spacing w:line="275" w:lineRule="exact"/>
      </w:pPr>
      <w:r>
        <w:rPr>
          <w:spacing w:val="-1"/>
        </w:rPr>
        <w:t>prace</w:t>
      </w:r>
      <w:r>
        <w:rPr>
          <w:spacing w:val="-6"/>
        </w:rPr>
        <w:t xml:space="preserve"> </w:t>
      </w:r>
      <w:r>
        <w:rPr>
          <w:spacing w:val="-1"/>
        </w:rPr>
        <w:t>pomiarowe</w:t>
      </w:r>
      <w:r>
        <w:rPr>
          <w:spacing w:val="-4"/>
        </w:rPr>
        <w:t xml:space="preserve"> </w:t>
      </w:r>
      <w:r>
        <w:t>i</w:t>
      </w:r>
      <w:r>
        <w:rPr>
          <w:spacing w:val="-7"/>
        </w:rPr>
        <w:t xml:space="preserve"> </w:t>
      </w:r>
      <w:r>
        <w:t>roboty</w:t>
      </w:r>
      <w:r>
        <w:rPr>
          <w:spacing w:val="-6"/>
        </w:rPr>
        <w:t xml:space="preserve"> </w:t>
      </w:r>
      <w:r>
        <w:rPr>
          <w:spacing w:val="-1"/>
        </w:rPr>
        <w:t>przygotowawcze,</w:t>
      </w:r>
    </w:p>
    <w:p w:rsidR="002122BD" w:rsidRDefault="002122BD" w:rsidP="002122BD">
      <w:pPr>
        <w:pStyle w:val="Tekstpodstawowy"/>
        <w:spacing w:line="312" w:lineRule="exact"/>
      </w:pPr>
      <w:r>
        <w:t>wyznaczenie</w:t>
      </w:r>
      <w:r>
        <w:rPr>
          <w:spacing w:val="-26"/>
        </w:rPr>
        <w:t xml:space="preserve"> </w:t>
      </w:r>
      <w:r>
        <w:rPr>
          <w:spacing w:val="-1"/>
        </w:rPr>
        <w:t>studzienek/włazów,</w:t>
      </w:r>
      <w:r>
        <w:rPr>
          <w:spacing w:val="-26"/>
        </w:rPr>
        <w:t xml:space="preserve"> </w:t>
      </w:r>
      <w:r>
        <w:rPr>
          <w:spacing w:val="-1"/>
        </w:rPr>
        <w:t>zaworów</w:t>
      </w:r>
      <w:r>
        <w:rPr>
          <w:spacing w:val="-28"/>
        </w:rPr>
        <w:t xml:space="preserve"> </w:t>
      </w:r>
      <w:r>
        <w:rPr>
          <w:spacing w:val="-1"/>
        </w:rPr>
        <w:t>przeznaczonych</w:t>
      </w:r>
      <w:r>
        <w:rPr>
          <w:spacing w:val="-24"/>
        </w:rPr>
        <w:t xml:space="preserve"> </w:t>
      </w:r>
      <w:r>
        <w:t>do</w:t>
      </w:r>
      <w:r>
        <w:rPr>
          <w:spacing w:val="-27"/>
        </w:rPr>
        <w:t xml:space="preserve"> </w:t>
      </w:r>
      <w:r>
        <w:rPr>
          <w:spacing w:val="-1"/>
        </w:rPr>
        <w:t>regulacji,</w:t>
      </w:r>
    </w:p>
    <w:p w:rsidR="002122BD" w:rsidRDefault="002122BD" w:rsidP="002122BD">
      <w:pPr>
        <w:pStyle w:val="Tekstpodstawowy"/>
        <w:spacing w:line="294" w:lineRule="exact"/>
      </w:pPr>
      <w:r>
        <w:rPr>
          <w:spacing w:val="-1"/>
        </w:rPr>
        <w:t>podniesienie</w:t>
      </w:r>
      <w:r>
        <w:rPr>
          <w:spacing w:val="-12"/>
        </w:rPr>
        <w:t xml:space="preserve"> </w:t>
      </w:r>
      <w:r>
        <w:rPr>
          <w:spacing w:val="-1"/>
        </w:rPr>
        <w:t>włazów,</w:t>
      </w:r>
      <w:r>
        <w:rPr>
          <w:spacing w:val="-13"/>
        </w:rPr>
        <w:t xml:space="preserve"> </w:t>
      </w:r>
      <w:r>
        <w:rPr>
          <w:spacing w:val="-1"/>
        </w:rPr>
        <w:t>kratek,</w:t>
      </w:r>
      <w:r>
        <w:rPr>
          <w:spacing w:val="-12"/>
        </w:rPr>
        <w:t xml:space="preserve"> </w:t>
      </w:r>
      <w:r>
        <w:rPr>
          <w:spacing w:val="-1"/>
        </w:rPr>
        <w:t>pokryw,</w:t>
      </w:r>
      <w:r>
        <w:rPr>
          <w:spacing w:val="-10"/>
        </w:rPr>
        <w:t xml:space="preserve"> </w:t>
      </w:r>
      <w:r>
        <w:rPr>
          <w:spacing w:val="-1"/>
        </w:rPr>
        <w:t>zaworów</w:t>
      </w:r>
      <w:r>
        <w:rPr>
          <w:spacing w:val="-13"/>
        </w:rPr>
        <w:t xml:space="preserve"> </w:t>
      </w:r>
      <w:r>
        <w:t>i</w:t>
      </w:r>
      <w:r>
        <w:rPr>
          <w:spacing w:val="-13"/>
        </w:rPr>
        <w:t xml:space="preserve"> </w:t>
      </w:r>
      <w:r>
        <w:rPr>
          <w:spacing w:val="-1"/>
        </w:rPr>
        <w:t>trwałe</w:t>
      </w:r>
      <w:r>
        <w:rPr>
          <w:spacing w:val="-12"/>
        </w:rPr>
        <w:t xml:space="preserve"> </w:t>
      </w:r>
      <w:r>
        <w:rPr>
          <w:spacing w:val="-1"/>
        </w:rPr>
        <w:t>ich</w:t>
      </w:r>
      <w:r>
        <w:rPr>
          <w:spacing w:val="-12"/>
        </w:rPr>
        <w:t xml:space="preserve"> </w:t>
      </w:r>
      <w:r>
        <w:rPr>
          <w:spacing w:val="-1"/>
        </w:rPr>
        <w:t>umocowanie,</w:t>
      </w:r>
    </w:p>
    <w:p w:rsidR="002122BD" w:rsidRDefault="002122BD" w:rsidP="002122BD">
      <w:pPr>
        <w:pStyle w:val="Tekstpodstawowy"/>
        <w:spacing w:line="294" w:lineRule="exact"/>
      </w:pPr>
      <w:r>
        <w:rPr>
          <w:rFonts w:ascii="Courier New" w:eastAsia="Courier New" w:hAnsi="Courier New" w:cs="Courier New"/>
        </w:rPr>
        <w:t></w:t>
      </w:r>
      <w:r>
        <w:rPr>
          <w:rFonts w:ascii="Courier New" w:eastAsia="Courier New" w:hAnsi="Courier New" w:cs="Courier New"/>
          <w:spacing w:val="-52"/>
        </w:rPr>
        <w:t xml:space="preserve"> </w:t>
      </w:r>
      <w:r>
        <w:rPr>
          <w:spacing w:val="-1"/>
        </w:rPr>
        <w:t>wyrównanie</w:t>
      </w:r>
      <w:r>
        <w:rPr>
          <w:spacing w:val="-17"/>
        </w:rPr>
        <w:t xml:space="preserve"> </w:t>
      </w:r>
      <w:r>
        <w:rPr>
          <w:spacing w:val="-1"/>
        </w:rPr>
        <w:t>podłoża</w:t>
      </w:r>
      <w:r>
        <w:rPr>
          <w:spacing w:val="-19"/>
        </w:rPr>
        <w:t xml:space="preserve"> </w:t>
      </w:r>
      <w:r>
        <w:t>i</w:t>
      </w:r>
      <w:r>
        <w:rPr>
          <w:spacing w:val="-20"/>
        </w:rPr>
        <w:t xml:space="preserve"> </w:t>
      </w:r>
      <w:r>
        <w:rPr>
          <w:spacing w:val="-1"/>
        </w:rPr>
        <w:t>uporządkowanie</w:t>
      </w:r>
      <w:r>
        <w:rPr>
          <w:spacing w:val="-19"/>
        </w:rPr>
        <w:t xml:space="preserve"> </w:t>
      </w:r>
      <w:r>
        <w:rPr>
          <w:spacing w:val="-1"/>
        </w:rPr>
        <w:t>terenu,</w:t>
      </w:r>
    </w:p>
    <w:p w:rsidR="002122BD" w:rsidRDefault="002122BD" w:rsidP="002122BD">
      <w:pPr>
        <w:pStyle w:val="Tekstpodstawowy"/>
        <w:spacing w:line="285" w:lineRule="exact"/>
      </w:pPr>
      <w:r>
        <w:rPr>
          <w:rFonts w:ascii="Courier New" w:eastAsia="Courier New" w:hAnsi="Courier New" w:cs="Courier New"/>
        </w:rPr>
        <w:t></w:t>
      </w:r>
      <w:r>
        <w:rPr>
          <w:rFonts w:ascii="Courier New" w:eastAsia="Courier New" w:hAnsi="Courier New" w:cs="Courier New"/>
          <w:spacing w:val="-44"/>
        </w:rPr>
        <w:t xml:space="preserve"> </w:t>
      </w:r>
      <w:r>
        <w:rPr>
          <w:spacing w:val="-1"/>
        </w:rPr>
        <w:t>sporządzenie</w:t>
      </w:r>
      <w:r>
        <w:rPr>
          <w:spacing w:val="-15"/>
        </w:rPr>
        <w:t xml:space="preserve"> </w:t>
      </w:r>
      <w:r>
        <w:rPr>
          <w:spacing w:val="-1"/>
        </w:rPr>
        <w:t>protokołu</w:t>
      </w:r>
      <w:r>
        <w:rPr>
          <w:spacing w:val="-15"/>
        </w:rPr>
        <w:t xml:space="preserve"> </w:t>
      </w:r>
      <w:r>
        <w:rPr>
          <w:spacing w:val="-1"/>
        </w:rPr>
        <w:t>odbioru</w:t>
      </w:r>
      <w:r>
        <w:rPr>
          <w:spacing w:val="-16"/>
        </w:rPr>
        <w:t xml:space="preserve"> </w:t>
      </w:r>
      <w:r>
        <w:t>z</w:t>
      </w:r>
      <w:r>
        <w:rPr>
          <w:spacing w:val="-16"/>
        </w:rPr>
        <w:t xml:space="preserve"> </w:t>
      </w:r>
      <w:r>
        <w:rPr>
          <w:spacing w:val="-1"/>
        </w:rPr>
        <w:t>udziałem</w:t>
      </w:r>
      <w:r>
        <w:rPr>
          <w:spacing w:val="-15"/>
        </w:rPr>
        <w:t xml:space="preserve"> </w:t>
      </w:r>
      <w:r>
        <w:rPr>
          <w:spacing w:val="-1"/>
        </w:rPr>
        <w:t>administratora</w:t>
      </w:r>
      <w:r>
        <w:rPr>
          <w:spacing w:val="-16"/>
        </w:rPr>
        <w:t xml:space="preserve"> </w:t>
      </w:r>
      <w:r>
        <w:rPr>
          <w:spacing w:val="-1"/>
        </w:rPr>
        <w:t>tych</w:t>
      </w:r>
      <w:r>
        <w:rPr>
          <w:spacing w:val="-13"/>
        </w:rPr>
        <w:t xml:space="preserve"> </w:t>
      </w:r>
      <w:r>
        <w:rPr>
          <w:spacing w:val="-1"/>
        </w:rPr>
        <w:t>urządzeń,</w:t>
      </w:r>
    </w:p>
    <w:p w:rsidR="002122BD" w:rsidRDefault="002122BD" w:rsidP="002122BD">
      <w:pPr>
        <w:pStyle w:val="Tekstpodstawowy"/>
        <w:spacing w:line="295" w:lineRule="exact"/>
      </w:pPr>
      <w:r>
        <w:rPr>
          <w:rFonts w:ascii="Courier New" w:eastAsia="Courier New" w:hAnsi="Courier New" w:cs="Courier New"/>
          <w:b/>
          <w:bCs/>
          <w:spacing w:val="-2"/>
        </w:rPr>
        <w:t></w:t>
      </w:r>
      <w:r>
        <w:rPr>
          <w:rFonts w:ascii="Symbol" w:eastAsia="Symbol" w:hAnsi="Symbol" w:cs="Symbol"/>
          <w:spacing w:val="-1"/>
        </w:rPr>
        <w:t></w:t>
      </w:r>
      <w:r>
        <w:rPr>
          <w:spacing w:val="-1"/>
        </w:rPr>
        <w:t>załadunek</w:t>
      </w:r>
      <w:r>
        <w:rPr>
          <w:spacing w:val="-22"/>
        </w:rPr>
        <w:t xml:space="preserve"> </w:t>
      </w:r>
      <w:r>
        <w:t>i</w:t>
      </w:r>
      <w:r>
        <w:rPr>
          <w:spacing w:val="-23"/>
        </w:rPr>
        <w:t xml:space="preserve"> </w:t>
      </w:r>
      <w:r>
        <w:rPr>
          <w:spacing w:val="-1"/>
        </w:rPr>
        <w:t>wywiezienie</w:t>
      </w:r>
      <w:r>
        <w:rPr>
          <w:spacing w:val="-21"/>
        </w:rPr>
        <w:t xml:space="preserve"> </w:t>
      </w:r>
      <w:r>
        <w:rPr>
          <w:spacing w:val="-1"/>
        </w:rPr>
        <w:t>materiałów</w:t>
      </w:r>
      <w:r>
        <w:rPr>
          <w:spacing w:val="-20"/>
        </w:rPr>
        <w:t xml:space="preserve"> </w:t>
      </w:r>
      <w:r>
        <w:t>z</w:t>
      </w:r>
      <w:r>
        <w:rPr>
          <w:spacing w:val="-23"/>
        </w:rPr>
        <w:t xml:space="preserve"> </w:t>
      </w:r>
      <w:r>
        <w:rPr>
          <w:spacing w:val="-1"/>
        </w:rPr>
        <w:t>rozbiórki.</w:t>
      </w:r>
    </w:p>
    <w:p w:rsidR="002122BD" w:rsidRDefault="002122BD" w:rsidP="002122BD">
      <w:pPr>
        <w:pStyle w:val="Tekstpodstawowy"/>
        <w:widowControl w:val="0"/>
        <w:numPr>
          <w:ilvl w:val="0"/>
          <w:numId w:val="84"/>
        </w:numPr>
        <w:tabs>
          <w:tab w:val="left" w:pos="999"/>
          <w:tab w:val="left" w:pos="1000"/>
          <w:tab w:val="left" w:pos="2837"/>
          <w:tab w:val="left" w:pos="4007"/>
          <w:tab w:val="left" w:pos="6519"/>
        </w:tabs>
        <w:spacing w:after="0"/>
        <w:ind w:right="119"/>
      </w:pPr>
      <w:r>
        <w:rPr>
          <w:spacing w:val="-1"/>
          <w:w w:val="95"/>
        </w:rPr>
        <w:t>przeprowadzenie</w:t>
      </w:r>
      <w:r>
        <w:rPr>
          <w:spacing w:val="-1"/>
          <w:w w:val="95"/>
        </w:rPr>
        <w:tab/>
        <w:t>pomiarów</w:t>
      </w:r>
      <w:r>
        <w:rPr>
          <w:spacing w:val="-1"/>
          <w:w w:val="95"/>
        </w:rPr>
        <w:tab/>
      </w:r>
      <w:r>
        <w:t xml:space="preserve">i  </w:t>
      </w:r>
      <w:r>
        <w:rPr>
          <w:spacing w:val="13"/>
        </w:rPr>
        <w:t xml:space="preserve"> </w:t>
      </w:r>
      <w:r>
        <w:rPr>
          <w:spacing w:val="-1"/>
        </w:rPr>
        <w:t>badań</w:t>
      </w:r>
      <w:r>
        <w:t xml:space="preserve">  </w:t>
      </w:r>
      <w:r>
        <w:rPr>
          <w:spacing w:val="12"/>
        </w:rPr>
        <w:t xml:space="preserve"> </w:t>
      </w:r>
      <w:r>
        <w:rPr>
          <w:spacing w:val="-2"/>
        </w:rPr>
        <w:t>wymaganych</w:t>
      </w:r>
      <w:r>
        <w:rPr>
          <w:spacing w:val="-2"/>
        </w:rPr>
        <w:tab/>
      </w:r>
      <w:r>
        <w:t xml:space="preserve">w  </w:t>
      </w:r>
      <w:r>
        <w:rPr>
          <w:spacing w:val="10"/>
        </w:rPr>
        <w:t xml:space="preserve"> </w:t>
      </w:r>
      <w:r>
        <w:rPr>
          <w:spacing w:val="-1"/>
        </w:rPr>
        <w:t>niniejszej</w:t>
      </w:r>
      <w:r>
        <w:t xml:space="preserve">  </w:t>
      </w:r>
      <w:r>
        <w:rPr>
          <w:spacing w:val="11"/>
        </w:rPr>
        <w:t xml:space="preserve"> </w:t>
      </w:r>
      <w:r>
        <w:rPr>
          <w:spacing w:val="-1"/>
        </w:rPr>
        <w:t>specyfikacji</w:t>
      </w:r>
      <w:r>
        <w:rPr>
          <w:spacing w:val="69"/>
          <w:w w:val="99"/>
        </w:rPr>
        <w:t xml:space="preserve"> </w:t>
      </w:r>
      <w:r>
        <w:rPr>
          <w:spacing w:val="-1"/>
        </w:rPr>
        <w:t>technicznej,</w:t>
      </w:r>
    </w:p>
    <w:p w:rsidR="002122BD" w:rsidRDefault="002122BD" w:rsidP="002122BD">
      <w:pPr>
        <w:pStyle w:val="Tekstpodstawowy"/>
        <w:widowControl w:val="0"/>
        <w:numPr>
          <w:ilvl w:val="0"/>
          <w:numId w:val="84"/>
        </w:numPr>
        <w:tabs>
          <w:tab w:val="left" w:pos="999"/>
          <w:tab w:val="left" w:pos="1000"/>
        </w:tabs>
        <w:spacing w:after="0"/>
      </w:pPr>
      <w:r>
        <w:rPr>
          <w:spacing w:val="-1"/>
        </w:rPr>
        <w:t>odwiezienie</w:t>
      </w:r>
      <w:r>
        <w:rPr>
          <w:spacing w:val="-10"/>
        </w:rPr>
        <w:t xml:space="preserve"> </w:t>
      </w:r>
      <w:r>
        <w:rPr>
          <w:spacing w:val="-1"/>
        </w:rPr>
        <w:t>sprzętu.</w:t>
      </w:r>
    </w:p>
    <w:p w:rsidR="002122BD" w:rsidRDefault="002122BD" w:rsidP="002122BD">
      <w:pPr>
        <w:spacing w:before="9"/>
      </w:pPr>
    </w:p>
    <w:p w:rsidR="002122BD" w:rsidRDefault="002122BD" w:rsidP="002122BD">
      <w:pPr>
        <w:pStyle w:val="Nagwek2"/>
        <w:keepNext w:val="0"/>
        <w:widowControl w:val="0"/>
        <w:numPr>
          <w:ilvl w:val="0"/>
          <w:numId w:val="85"/>
        </w:numPr>
        <w:tabs>
          <w:tab w:val="left" w:pos="490"/>
        </w:tabs>
        <w:spacing w:before="0" w:after="0"/>
        <w:ind w:left="489" w:hanging="389"/>
        <w:rPr>
          <w:b w:val="0"/>
          <w:bCs/>
        </w:rPr>
      </w:pPr>
      <w:bookmarkStart w:id="477" w:name="10._Przepisy_związane"/>
      <w:bookmarkEnd w:id="477"/>
      <w:r>
        <w:rPr>
          <w:spacing w:val="-1"/>
        </w:rPr>
        <w:t>Przepisy</w:t>
      </w:r>
      <w:r>
        <w:rPr>
          <w:spacing w:val="-15"/>
        </w:rPr>
        <w:t xml:space="preserve"> </w:t>
      </w:r>
      <w:r>
        <w:rPr>
          <w:spacing w:val="-1"/>
        </w:rPr>
        <w:t>związane</w:t>
      </w:r>
    </w:p>
    <w:p w:rsidR="002122BD" w:rsidRDefault="002122BD" w:rsidP="002122BD">
      <w:pPr>
        <w:pStyle w:val="Tekstpodstawowy"/>
        <w:spacing w:before="59"/>
        <w:ind w:left="808"/>
      </w:pPr>
      <w:r>
        <w:rPr>
          <w:spacing w:val="-1"/>
        </w:rPr>
        <w:t>Nie</w:t>
      </w:r>
      <w:r>
        <w:rPr>
          <w:spacing w:val="-7"/>
        </w:rPr>
        <w:t xml:space="preserve"> </w:t>
      </w:r>
      <w:r>
        <w:rPr>
          <w:spacing w:val="-1"/>
        </w:rPr>
        <w:t>występują.</w:t>
      </w:r>
    </w:p>
    <w:p w:rsidR="002122BD" w:rsidRDefault="002122BD" w:rsidP="002122BD">
      <w:pPr>
        <w:spacing w:before="11"/>
        <w:rPr>
          <w:sz w:val="32"/>
          <w:szCs w:val="32"/>
        </w:rPr>
      </w:pPr>
    </w:p>
    <w:p w:rsidR="002122BD" w:rsidRDefault="002122BD" w:rsidP="002122BD">
      <w:pPr>
        <w:pStyle w:val="Nagwek2"/>
        <w:keepNext w:val="0"/>
        <w:widowControl w:val="0"/>
        <w:numPr>
          <w:ilvl w:val="0"/>
          <w:numId w:val="85"/>
        </w:numPr>
        <w:tabs>
          <w:tab w:val="left" w:pos="490"/>
        </w:tabs>
        <w:spacing w:before="0" w:after="0"/>
        <w:ind w:left="489" w:hanging="389"/>
        <w:rPr>
          <w:b w:val="0"/>
          <w:bCs/>
        </w:rPr>
      </w:pPr>
      <w:bookmarkStart w:id="478" w:name="11._Normy"/>
      <w:bookmarkEnd w:id="478"/>
      <w:r>
        <w:rPr>
          <w:spacing w:val="-1"/>
        </w:rPr>
        <w:t>Normy</w:t>
      </w:r>
    </w:p>
    <w:p w:rsidR="002122BD" w:rsidRDefault="002122BD" w:rsidP="002122BD">
      <w:pPr>
        <w:pStyle w:val="Tekstpodstawowy"/>
        <w:widowControl w:val="0"/>
        <w:numPr>
          <w:ilvl w:val="0"/>
          <w:numId w:val="83"/>
        </w:numPr>
        <w:tabs>
          <w:tab w:val="left" w:pos="700"/>
          <w:tab w:val="left" w:pos="2939"/>
        </w:tabs>
        <w:spacing w:before="59" w:after="0"/>
        <w:ind w:hanging="2460"/>
      </w:pPr>
      <w:r>
        <w:rPr>
          <w:spacing w:val="-1"/>
          <w:w w:val="95"/>
        </w:rPr>
        <w:t>BN-83/8836-02</w:t>
      </w:r>
      <w:r>
        <w:rPr>
          <w:spacing w:val="-1"/>
          <w:w w:val="95"/>
        </w:rPr>
        <w:tab/>
      </w:r>
      <w:r>
        <w:rPr>
          <w:spacing w:val="-1"/>
        </w:rPr>
        <w:t>Przewody</w:t>
      </w:r>
      <w:r>
        <w:rPr>
          <w:spacing w:val="-10"/>
        </w:rPr>
        <w:t xml:space="preserve"> </w:t>
      </w:r>
      <w:r>
        <w:rPr>
          <w:spacing w:val="-1"/>
        </w:rPr>
        <w:t>podziemne.</w:t>
      </w:r>
      <w:r>
        <w:rPr>
          <w:spacing w:val="-5"/>
        </w:rPr>
        <w:t xml:space="preserve"> </w:t>
      </w:r>
      <w:r>
        <w:rPr>
          <w:spacing w:val="-1"/>
        </w:rPr>
        <w:t>Roboty</w:t>
      </w:r>
      <w:r>
        <w:rPr>
          <w:spacing w:val="-7"/>
        </w:rPr>
        <w:t xml:space="preserve"> </w:t>
      </w:r>
      <w:r>
        <w:rPr>
          <w:spacing w:val="-1"/>
        </w:rPr>
        <w:t>ziemne</w:t>
      </w:r>
      <w:r>
        <w:rPr>
          <w:spacing w:val="-7"/>
        </w:rPr>
        <w:t xml:space="preserve"> </w:t>
      </w:r>
      <w:r>
        <w:rPr>
          <w:spacing w:val="-1"/>
        </w:rPr>
        <w:t>.Wymagania</w:t>
      </w:r>
      <w:r>
        <w:rPr>
          <w:spacing w:val="-6"/>
        </w:rPr>
        <w:t xml:space="preserve"> </w:t>
      </w:r>
      <w:r>
        <w:t>i</w:t>
      </w:r>
      <w:r>
        <w:rPr>
          <w:spacing w:val="-9"/>
        </w:rPr>
        <w:t xml:space="preserve"> </w:t>
      </w:r>
      <w:r>
        <w:rPr>
          <w:spacing w:val="-1"/>
        </w:rPr>
        <w:t>badania</w:t>
      </w:r>
    </w:p>
    <w:p w:rsidR="002122BD" w:rsidRDefault="002122BD" w:rsidP="002122BD">
      <w:pPr>
        <w:pStyle w:val="Tekstpodstawowy"/>
        <w:ind w:left="2980"/>
      </w:pPr>
      <w:r>
        <w:t>przy</w:t>
      </w:r>
      <w:r>
        <w:rPr>
          <w:spacing w:val="-12"/>
        </w:rPr>
        <w:t xml:space="preserve"> </w:t>
      </w:r>
      <w:r>
        <w:rPr>
          <w:spacing w:val="-1"/>
        </w:rPr>
        <w:t>odbiorze</w:t>
      </w:r>
    </w:p>
    <w:p w:rsidR="002122BD" w:rsidRDefault="002122BD" w:rsidP="002122BD">
      <w:pPr>
        <w:pStyle w:val="Tekstpodstawowy"/>
        <w:widowControl w:val="0"/>
        <w:numPr>
          <w:ilvl w:val="0"/>
          <w:numId w:val="83"/>
        </w:numPr>
        <w:tabs>
          <w:tab w:val="left" w:pos="700"/>
          <w:tab w:val="left" w:pos="2947"/>
        </w:tabs>
        <w:spacing w:after="0"/>
        <w:ind w:right="534" w:hanging="2460"/>
      </w:pPr>
      <w:r>
        <w:t>PN-B-10735</w:t>
      </w:r>
      <w:r>
        <w:tab/>
      </w:r>
      <w:r>
        <w:tab/>
      </w:r>
      <w:r>
        <w:rPr>
          <w:spacing w:val="-1"/>
        </w:rPr>
        <w:t>Kanalizacja.</w:t>
      </w:r>
      <w:r>
        <w:rPr>
          <w:spacing w:val="-8"/>
        </w:rPr>
        <w:t xml:space="preserve"> </w:t>
      </w:r>
      <w:r>
        <w:rPr>
          <w:spacing w:val="-1"/>
        </w:rPr>
        <w:t>Przewody</w:t>
      </w:r>
      <w:r>
        <w:rPr>
          <w:spacing w:val="-8"/>
        </w:rPr>
        <w:t xml:space="preserve"> </w:t>
      </w:r>
      <w:r>
        <w:rPr>
          <w:spacing w:val="-1"/>
        </w:rPr>
        <w:t>kanalizacyjne.</w:t>
      </w:r>
      <w:r>
        <w:rPr>
          <w:spacing w:val="-8"/>
        </w:rPr>
        <w:t xml:space="preserve"> </w:t>
      </w:r>
      <w:r>
        <w:rPr>
          <w:spacing w:val="-1"/>
        </w:rPr>
        <w:t>Wymagania</w:t>
      </w:r>
      <w:r>
        <w:rPr>
          <w:spacing w:val="-5"/>
        </w:rPr>
        <w:t xml:space="preserve"> </w:t>
      </w:r>
      <w:r>
        <w:t>i</w:t>
      </w:r>
      <w:r>
        <w:rPr>
          <w:spacing w:val="-9"/>
        </w:rPr>
        <w:t xml:space="preserve"> </w:t>
      </w:r>
      <w:r>
        <w:rPr>
          <w:spacing w:val="-1"/>
        </w:rPr>
        <w:t>badania</w:t>
      </w:r>
      <w:r>
        <w:rPr>
          <w:spacing w:val="47"/>
          <w:w w:val="99"/>
        </w:rPr>
        <w:t xml:space="preserve"> </w:t>
      </w:r>
      <w:r>
        <w:t>przy</w:t>
      </w:r>
      <w:r>
        <w:rPr>
          <w:spacing w:val="-12"/>
        </w:rPr>
        <w:t xml:space="preserve"> </w:t>
      </w:r>
      <w:r>
        <w:rPr>
          <w:spacing w:val="-1"/>
        </w:rPr>
        <w:t>odbiorze</w:t>
      </w:r>
    </w:p>
    <w:p w:rsidR="002122BD" w:rsidRDefault="002122BD" w:rsidP="002122BD">
      <w:pPr>
        <w:pStyle w:val="Tekstpodstawowy"/>
        <w:widowControl w:val="0"/>
        <w:numPr>
          <w:ilvl w:val="0"/>
          <w:numId w:val="83"/>
        </w:numPr>
        <w:tabs>
          <w:tab w:val="left" w:pos="700"/>
          <w:tab w:val="left" w:pos="2893"/>
        </w:tabs>
        <w:spacing w:after="0"/>
        <w:ind w:left="700"/>
      </w:pPr>
      <w:r>
        <w:rPr>
          <w:spacing w:val="-1"/>
          <w:w w:val="95"/>
        </w:rPr>
        <w:t>PN-76/B-12037</w:t>
      </w:r>
      <w:r>
        <w:rPr>
          <w:spacing w:val="-1"/>
          <w:w w:val="95"/>
        </w:rPr>
        <w:tab/>
      </w:r>
      <w:r>
        <w:rPr>
          <w:spacing w:val="-1"/>
        </w:rPr>
        <w:t>Cegła</w:t>
      </w:r>
      <w:r>
        <w:rPr>
          <w:spacing w:val="-6"/>
        </w:rPr>
        <w:t xml:space="preserve"> </w:t>
      </w:r>
      <w:r>
        <w:rPr>
          <w:spacing w:val="-1"/>
        </w:rPr>
        <w:t>pełna</w:t>
      </w:r>
      <w:r>
        <w:rPr>
          <w:spacing w:val="-5"/>
        </w:rPr>
        <w:t xml:space="preserve"> </w:t>
      </w:r>
      <w:r>
        <w:rPr>
          <w:spacing w:val="-1"/>
        </w:rPr>
        <w:t>wypalana</w:t>
      </w:r>
      <w:r>
        <w:rPr>
          <w:spacing w:val="-5"/>
        </w:rPr>
        <w:t xml:space="preserve"> </w:t>
      </w:r>
      <w:r>
        <w:t>z</w:t>
      </w:r>
      <w:r>
        <w:rPr>
          <w:spacing w:val="-5"/>
        </w:rPr>
        <w:t xml:space="preserve"> </w:t>
      </w:r>
      <w:r>
        <w:rPr>
          <w:spacing w:val="-2"/>
        </w:rPr>
        <w:t>gliny-</w:t>
      </w:r>
      <w:r>
        <w:rPr>
          <w:spacing w:val="-4"/>
        </w:rPr>
        <w:t xml:space="preserve"> </w:t>
      </w:r>
      <w:r>
        <w:rPr>
          <w:spacing w:val="-1"/>
        </w:rPr>
        <w:t>kanalizacja</w:t>
      </w:r>
    </w:p>
    <w:p w:rsidR="002122BD" w:rsidRDefault="002122BD" w:rsidP="002122BD">
      <w:pPr>
        <w:pStyle w:val="Tekstpodstawowy"/>
        <w:widowControl w:val="0"/>
        <w:numPr>
          <w:ilvl w:val="0"/>
          <w:numId w:val="83"/>
        </w:numPr>
        <w:tabs>
          <w:tab w:val="left" w:pos="700"/>
          <w:tab w:val="left" w:pos="2906"/>
        </w:tabs>
        <w:spacing w:after="0"/>
        <w:ind w:left="700"/>
      </w:pPr>
      <w:r>
        <w:rPr>
          <w:spacing w:val="-1"/>
          <w:w w:val="95"/>
        </w:rPr>
        <w:t>PN-H-74051/01</w:t>
      </w:r>
      <w:r>
        <w:rPr>
          <w:spacing w:val="-1"/>
          <w:w w:val="95"/>
        </w:rPr>
        <w:tab/>
      </w:r>
      <w:r>
        <w:rPr>
          <w:spacing w:val="-1"/>
        </w:rPr>
        <w:t>Włazy</w:t>
      </w:r>
      <w:r>
        <w:rPr>
          <w:spacing w:val="-3"/>
        </w:rPr>
        <w:t xml:space="preserve"> </w:t>
      </w:r>
      <w:r>
        <w:rPr>
          <w:spacing w:val="-1"/>
        </w:rPr>
        <w:t>kanałowe.</w:t>
      </w:r>
      <w:r>
        <w:rPr>
          <w:spacing w:val="-2"/>
        </w:rPr>
        <w:t xml:space="preserve"> </w:t>
      </w:r>
      <w:r>
        <w:rPr>
          <w:spacing w:val="-1"/>
        </w:rPr>
        <w:t>Klasa</w:t>
      </w:r>
      <w:r>
        <w:rPr>
          <w:spacing w:val="-2"/>
        </w:rPr>
        <w:t xml:space="preserve"> </w:t>
      </w:r>
      <w:r>
        <w:t>A</w:t>
      </w:r>
      <w:r>
        <w:rPr>
          <w:spacing w:val="-5"/>
        </w:rPr>
        <w:t xml:space="preserve"> </w:t>
      </w:r>
      <w:r>
        <w:t>(</w:t>
      </w:r>
      <w:r>
        <w:rPr>
          <w:spacing w:val="-3"/>
        </w:rPr>
        <w:t xml:space="preserve"> </w:t>
      </w:r>
      <w:r>
        <w:rPr>
          <w:spacing w:val="-1"/>
        </w:rPr>
        <w:t>typu</w:t>
      </w:r>
      <w:r>
        <w:t xml:space="preserve"> </w:t>
      </w:r>
      <w:r>
        <w:rPr>
          <w:spacing w:val="-1"/>
        </w:rPr>
        <w:t>lekkiego</w:t>
      </w:r>
      <w:r>
        <w:rPr>
          <w:spacing w:val="-2"/>
        </w:rPr>
        <w:t xml:space="preserve"> </w:t>
      </w:r>
      <w:r>
        <w:t>)</w:t>
      </w:r>
    </w:p>
    <w:p w:rsidR="002122BD" w:rsidRDefault="002122BD" w:rsidP="002122BD">
      <w:pPr>
        <w:pStyle w:val="Tekstpodstawowy"/>
        <w:widowControl w:val="0"/>
        <w:numPr>
          <w:ilvl w:val="0"/>
          <w:numId w:val="83"/>
        </w:numPr>
        <w:tabs>
          <w:tab w:val="left" w:pos="700"/>
          <w:tab w:val="left" w:pos="2906"/>
        </w:tabs>
        <w:spacing w:after="0"/>
        <w:ind w:left="700"/>
      </w:pPr>
      <w:r>
        <w:rPr>
          <w:spacing w:val="-1"/>
          <w:w w:val="95"/>
        </w:rPr>
        <w:t>PN-H-74051/00</w:t>
      </w:r>
      <w:r>
        <w:rPr>
          <w:spacing w:val="-1"/>
          <w:w w:val="95"/>
        </w:rPr>
        <w:tab/>
      </w:r>
      <w:r>
        <w:rPr>
          <w:spacing w:val="-1"/>
        </w:rPr>
        <w:t>Włazy</w:t>
      </w:r>
      <w:r>
        <w:rPr>
          <w:spacing w:val="-6"/>
        </w:rPr>
        <w:t xml:space="preserve"> </w:t>
      </w:r>
      <w:r>
        <w:rPr>
          <w:spacing w:val="-1"/>
        </w:rPr>
        <w:t>kanałowe.</w:t>
      </w:r>
      <w:r>
        <w:rPr>
          <w:spacing w:val="-4"/>
        </w:rPr>
        <w:t xml:space="preserve"> </w:t>
      </w:r>
      <w:r>
        <w:rPr>
          <w:spacing w:val="-1"/>
        </w:rPr>
        <w:t>Ogólne</w:t>
      </w:r>
      <w:r>
        <w:rPr>
          <w:spacing w:val="-5"/>
        </w:rPr>
        <w:t xml:space="preserve"> </w:t>
      </w:r>
      <w:r>
        <w:rPr>
          <w:spacing w:val="-1"/>
        </w:rPr>
        <w:t>wymagania</w:t>
      </w:r>
      <w:r>
        <w:rPr>
          <w:spacing w:val="-3"/>
        </w:rPr>
        <w:t xml:space="preserve"> </w:t>
      </w:r>
      <w:r>
        <w:t>i</w:t>
      </w:r>
      <w:r>
        <w:rPr>
          <w:spacing w:val="-6"/>
        </w:rPr>
        <w:t xml:space="preserve"> </w:t>
      </w:r>
      <w:r>
        <w:rPr>
          <w:spacing w:val="-1"/>
        </w:rPr>
        <w:t>badania</w:t>
      </w:r>
      <w:r>
        <w:rPr>
          <w:spacing w:val="-4"/>
        </w:rPr>
        <w:t xml:space="preserve"> </w:t>
      </w:r>
      <w:r>
        <w:t>.</w:t>
      </w:r>
    </w:p>
    <w:p w:rsidR="002122BD" w:rsidRDefault="002122BD" w:rsidP="002122BD">
      <w:pPr>
        <w:pStyle w:val="Tekstpodstawowy"/>
        <w:widowControl w:val="0"/>
        <w:numPr>
          <w:ilvl w:val="0"/>
          <w:numId w:val="83"/>
        </w:numPr>
        <w:tabs>
          <w:tab w:val="left" w:pos="700"/>
          <w:tab w:val="left" w:pos="2887"/>
        </w:tabs>
        <w:spacing w:after="0"/>
        <w:ind w:left="700"/>
      </w:pPr>
      <w:r>
        <w:t>PN-B-14501</w:t>
      </w:r>
      <w:r>
        <w:tab/>
      </w:r>
      <w:r>
        <w:rPr>
          <w:spacing w:val="-1"/>
        </w:rPr>
        <w:t>Zaprawy</w:t>
      </w:r>
      <w:r>
        <w:rPr>
          <w:spacing w:val="-7"/>
        </w:rPr>
        <w:t xml:space="preserve"> </w:t>
      </w:r>
      <w:r>
        <w:rPr>
          <w:spacing w:val="-1"/>
        </w:rPr>
        <w:t>budowlane</w:t>
      </w:r>
      <w:r>
        <w:rPr>
          <w:spacing w:val="-6"/>
        </w:rPr>
        <w:t xml:space="preserve"> </w:t>
      </w:r>
      <w:r>
        <w:rPr>
          <w:spacing w:val="-1"/>
        </w:rPr>
        <w:t>zwykłe</w:t>
      </w:r>
    </w:p>
    <w:p w:rsidR="002122BD" w:rsidRDefault="002122BD" w:rsidP="002122BD">
      <w:pPr>
        <w:pStyle w:val="Tekstpodstawowy"/>
        <w:widowControl w:val="0"/>
        <w:numPr>
          <w:ilvl w:val="0"/>
          <w:numId w:val="83"/>
        </w:numPr>
        <w:tabs>
          <w:tab w:val="left" w:pos="700"/>
          <w:tab w:val="left" w:pos="2899"/>
        </w:tabs>
        <w:spacing w:after="0"/>
        <w:ind w:left="700"/>
      </w:pPr>
      <w:r>
        <w:rPr>
          <w:spacing w:val="-1"/>
        </w:rPr>
        <w:t>PN-H-83104</w:t>
      </w:r>
      <w:r>
        <w:rPr>
          <w:spacing w:val="-1"/>
        </w:rPr>
        <w:tab/>
      </w:r>
      <w:r>
        <w:t>Odlewy</w:t>
      </w:r>
      <w:r>
        <w:rPr>
          <w:spacing w:val="-7"/>
        </w:rPr>
        <w:t xml:space="preserve"> </w:t>
      </w:r>
      <w:r>
        <w:t>z</w:t>
      </w:r>
      <w:r>
        <w:rPr>
          <w:spacing w:val="-3"/>
        </w:rPr>
        <w:t xml:space="preserve"> </w:t>
      </w:r>
      <w:r>
        <w:rPr>
          <w:spacing w:val="-1"/>
        </w:rPr>
        <w:t>żeliwa</w:t>
      </w:r>
      <w:r>
        <w:rPr>
          <w:spacing w:val="-4"/>
        </w:rPr>
        <w:t xml:space="preserve"> </w:t>
      </w:r>
      <w:r>
        <w:rPr>
          <w:spacing w:val="-1"/>
        </w:rPr>
        <w:t>szarego.</w:t>
      </w:r>
      <w:r>
        <w:rPr>
          <w:spacing w:val="-5"/>
        </w:rPr>
        <w:t xml:space="preserve"> </w:t>
      </w:r>
      <w:r>
        <w:rPr>
          <w:spacing w:val="-1"/>
        </w:rPr>
        <w:t>Tolerancje</w:t>
      </w:r>
      <w:r>
        <w:rPr>
          <w:spacing w:val="-3"/>
        </w:rPr>
        <w:t xml:space="preserve"> </w:t>
      </w:r>
      <w:r>
        <w:rPr>
          <w:spacing w:val="-1"/>
        </w:rPr>
        <w:t>wymiarowe</w:t>
      </w:r>
      <w:r>
        <w:rPr>
          <w:spacing w:val="-2"/>
        </w:rPr>
        <w:t xml:space="preserve"> </w:t>
      </w:r>
      <w:r>
        <w:t>.</w:t>
      </w:r>
    </w:p>
    <w:p w:rsidR="002122BD" w:rsidRDefault="002122BD" w:rsidP="002122BD">
      <w:pPr>
        <w:pStyle w:val="Tekstpodstawowy"/>
        <w:widowControl w:val="0"/>
        <w:numPr>
          <w:ilvl w:val="0"/>
          <w:numId w:val="83"/>
        </w:numPr>
        <w:tabs>
          <w:tab w:val="left" w:pos="700"/>
          <w:tab w:val="left" w:pos="2887"/>
        </w:tabs>
        <w:spacing w:after="0"/>
        <w:ind w:left="700"/>
      </w:pPr>
      <w:r>
        <w:t>PN-B-10729</w:t>
      </w:r>
      <w:r>
        <w:tab/>
      </w:r>
      <w:r>
        <w:rPr>
          <w:spacing w:val="-1"/>
        </w:rPr>
        <w:t>Studzienki</w:t>
      </w:r>
      <w:r>
        <w:rPr>
          <w:spacing w:val="47"/>
        </w:rPr>
        <w:t xml:space="preserve"> </w:t>
      </w:r>
      <w:r>
        <w:rPr>
          <w:spacing w:val="-1"/>
        </w:rPr>
        <w:t>kanalizacyjne</w:t>
      </w:r>
      <w:r>
        <w:rPr>
          <w:spacing w:val="-5"/>
        </w:rPr>
        <w:t xml:space="preserve"> </w:t>
      </w:r>
      <w:r>
        <w:t>.</w:t>
      </w:r>
    </w:p>
    <w:p w:rsidR="0051730D" w:rsidRDefault="002122BD" w:rsidP="002122BD">
      <w:r>
        <w:rPr>
          <w:spacing w:val="-1"/>
        </w:rPr>
        <w:t>Katalog</w:t>
      </w:r>
      <w:r>
        <w:rPr>
          <w:spacing w:val="-3"/>
        </w:rPr>
        <w:t xml:space="preserve"> </w:t>
      </w:r>
      <w:r>
        <w:rPr>
          <w:spacing w:val="-1"/>
        </w:rPr>
        <w:t>Powtarzalnych Elementów</w:t>
      </w:r>
      <w:r>
        <w:rPr>
          <w:spacing w:val="-2"/>
        </w:rPr>
        <w:t xml:space="preserve"> </w:t>
      </w:r>
      <w:r>
        <w:rPr>
          <w:spacing w:val="-1"/>
        </w:rPr>
        <w:t>Drogowych</w:t>
      </w:r>
      <w:r>
        <w:rPr>
          <w:spacing w:val="-2"/>
        </w:rPr>
        <w:t xml:space="preserve"> </w:t>
      </w:r>
      <w:r>
        <w:t>,</w:t>
      </w:r>
      <w:r>
        <w:rPr>
          <w:spacing w:val="-4"/>
        </w:rPr>
        <w:t xml:space="preserve"> </w:t>
      </w:r>
      <w:r>
        <w:rPr>
          <w:spacing w:val="-1"/>
        </w:rPr>
        <w:t>„</w:t>
      </w:r>
      <w:proofErr w:type="spellStart"/>
      <w:r>
        <w:rPr>
          <w:spacing w:val="-1"/>
        </w:rPr>
        <w:t>Transprojekt</w:t>
      </w:r>
      <w:proofErr w:type="spellEnd"/>
      <w:r>
        <w:rPr>
          <w:spacing w:val="-3"/>
        </w:rPr>
        <w:t xml:space="preserve"> </w:t>
      </w:r>
      <w:r>
        <w:t>”</w:t>
      </w:r>
    </w:p>
    <w:p w:rsidR="00E3297D" w:rsidRDefault="00E3297D" w:rsidP="002122BD"/>
    <w:p w:rsidR="00E3297D" w:rsidRDefault="00E3297D" w:rsidP="002122BD"/>
    <w:p w:rsidR="00E3297D" w:rsidRDefault="00E3297D"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E3297D" w:rsidRDefault="00E3297D" w:rsidP="00E3297D">
      <w:pPr>
        <w:rPr>
          <w:b/>
          <w:sz w:val="28"/>
        </w:rPr>
      </w:pPr>
      <w:bookmarkStart w:id="479" w:name="_Hlk15765573"/>
      <w:r>
        <w:rPr>
          <w:b/>
          <w:sz w:val="28"/>
        </w:rPr>
        <w:lastRenderedPageBreak/>
        <w:t xml:space="preserve">D - 01.03.04 PRZEBUDOWA  KABLOWYCH  LINI TELEKOMUNIKA-      </w:t>
      </w:r>
    </w:p>
    <w:p w:rsidR="00E3297D" w:rsidRDefault="00E3297D" w:rsidP="00E3297D">
      <w:pPr>
        <w:rPr>
          <w:b/>
          <w:sz w:val="28"/>
        </w:rPr>
      </w:pPr>
      <w:r>
        <w:rPr>
          <w:b/>
          <w:sz w:val="28"/>
        </w:rPr>
        <w:t xml:space="preserve">                     CYJNYCH  PRZY  PRZEBUDOWIE I BUDOWIE DRÓG</w:t>
      </w:r>
    </w:p>
    <w:bookmarkEnd w:id="479"/>
    <w:p w:rsidR="00E3297D" w:rsidRDefault="00E3297D" w:rsidP="00E3297D">
      <w:pPr>
        <w:rPr>
          <w:b/>
          <w:sz w:val="28"/>
        </w:rPr>
      </w:pPr>
    </w:p>
    <w:p w:rsidR="00E3297D" w:rsidRDefault="00E3297D" w:rsidP="00E3297D">
      <w:pPr>
        <w:rPr>
          <w:b/>
          <w:sz w:val="28"/>
        </w:rPr>
      </w:pPr>
    </w:p>
    <w:p w:rsidR="00E3297D" w:rsidRDefault="00E3297D" w:rsidP="00E3297D">
      <w:pPr>
        <w:pStyle w:val="Nagwek1"/>
      </w:pPr>
      <w:bookmarkStart w:id="480" w:name="_Toc468518130"/>
      <w:r>
        <w:t>1. WSTĘP</w:t>
      </w:r>
      <w:bookmarkEnd w:id="480"/>
    </w:p>
    <w:p w:rsidR="00E3297D" w:rsidRDefault="00E3297D" w:rsidP="00E3297D">
      <w:pPr>
        <w:pStyle w:val="Nagwek2"/>
      </w:pPr>
      <w:r>
        <w:t xml:space="preserve">1.1. Przedmiot </w:t>
      </w:r>
      <w:r w:rsidR="00216C9A">
        <w:t>SST</w:t>
      </w:r>
    </w:p>
    <w:p w:rsidR="00E3297D" w:rsidRDefault="00E3297D" w:rsidP="00E3297D">
      <w:pPr>
        <w:pStyle w:val="tekstost"/>
        <w:ind w:firstLine="709"/>
      </w:pPr>
      <w:r>
        <w:t>Przedmiotem niniejszej ogólnej specyfikacji technicznej (</w:t>
      </w:r>
      <w:r w:rsidR="00216C9A">
        <w:t>SST</w:t>
      </w:r>
      <w:r>
        <w:t>) są wymagania dotyczące wykonania i odbioru przebudowy kablowych linii telekomunikacyjnych przy przebudowie  i budowie dróg.</w:t>
      </w:r>
    </w:p>
    <w:p w:rsidR="00E3297D" w:rsidRDefault="00E3297D" w:rsidP="00E3297D">
      <w:pPr>
        <w:pStyle w:val="Nagwek2"/>
      </w:pPr>
      <w:r>
        <w:t xml:space="preserve">1.2. Zakres stosowania </w:t>
      </w:r>
      <w:r w:rsidR="00216C9A">
        <w:t>SST</w:t>
      </w:r>
    </w:p>
    <w:p w:rsidR="00E3297D" w:rsidRDefault="00E3297D" w:rsidP="00E3297D">
      <w:pPr>
        <w:ind w:firstLine="709"/>
      </w:pPr>
      <w:r>
        <w:t>Ogólna specyfikacja techniczna (</w:t>
      </w:r>
      <w:r w:rsidR="00216C9A">
        <w:t>SST</w:t>
      </w:r>
      <w:r>
        <w:t>) stanowi obowiązującą podstawę opracowania szczegółowej specyfikacji technicznej (SST) stosowanej jako dokument przetargowy i kontraktowy przy zleca</w:t>
      </w:r>
      <w:r>
        <w:softHyphen/>
        <w:t>niu i realizacji robót na drogach krajowych i wojewódzkich.</w:t>
      </w:r>
    </w:p>
    <w:p w:rsidR="00E3297D" w:rsidRDefault="00E3297D" w:rsidP="00E3297D">
      <w:pPr>
        <w:ind w:firstLine="709"/>
      </w:pPr>
      <w:r>
        <w:t xml:space="preserve">Zaleca się wykorzystanie </w:t>
      </w:r>
      <w:r w:rsidR="00216C9A">
        <w:t>SST</w:t>
      </w:r>
      <w:r>
        <w:t xml:space="preserve"> przy zlecaniu robót na dro</w:t>
      </w:r>
      <w:r>
        <w:softHyphen/>
        <w:t>gach miejskich i gminnych.</w:t>
      </w:r>
    </w:p>
    <w:p w:rsidR="00E3297D" w:rsidRDefault="00E3297D" w:rsidP="00E3297D">
      <w:pPr>
        <w:pStyle w:val="Nagwek2"/>
      </w:pPr>
      <w:r>
        <w:t xml:space="preserve">1.3. Zakres robót objętych </w:t>
      </w:r>
      <w:r w:rsidR="00216C9A">
        <w:t>SST</w:t>
      </w:r>
    </w:p>
    <w:p w:rsidR="00E3297D" w:rsidRDefault="00E3297D" w:rsidP="00E3297D">
      <w:r>
        <w:tab/>
        <w:t xml:space="preserve">Roboty omówione w </w:t>
      </w:r>
      <w:r w:rsidR="00216C9A">
        <w:t>SST</w:t>
      </w:r>
      <w:r>
        <w:t xml:space="preserve"> mają zastosowanie do przebudowy kablowych linii telekomunikacyjnych przy budowie i przebudowie dróg publicznych.</w:t>
      </w:r>
    </w:p>
    <w:p w:rsidR="00E3297D" w:rsidRDefault="00E3297D" w:rsidP="00E3297D">
      <w:pPr>
        <w:pStyle w:val="Nagwek2"/>
      </w:pPr>
      <w:r>
        <w:t>1.4. Określenia podstawowe</w:t>
      </w:r>
    </w:p>
    <w:p w:rsidR="00E3297D" w:rsidRDefault="00E3297D" w:rsidP="00E3297D">
      <w:pPr>
        <w:numPr>
          <w:ilvl w:val="0"/>
          <w:numId w:val="89"/>
        </w:numPr>
        <w:tabs>
          <w:tab w:val="left" w:pos="0"/>
        </w:tabs>
        <w:overflowPunct w:val="0"/>
        <w:autoSpaceDE w:val="0"/>
        <w:autoSpaceDN w:val="0"/>
        <w:adjustRightInd w:val="0"/>
        <w:ind w:left="0" w:firstLine="0"/>
        <w:jc w:val="both"/>
      </w:pPr>
      <w:r>
        <w:t>Kanalizacja kablowa - zespół ciągów podziemnych z wbudowanymi studniami przeznaczony do prowadzenia kabli telekomunikacyjnych.</w:t>
      </w:r>
    </w:p>
    <w:p w:rsidR="00E3297D" w:rsidRDefault="00E3297D" w:rsidP="00E3297D">
      <w:pPr>
        <w:numPr>
          <w:ilvl w:val="0"/>
          <w:numId w:val="89"/>
        </w:numPr>
        <w:overflowPunct w:val="0"/>
        <w:autoSpaceDE w:val="0"/>
        <w:autoSpaceDN w:val="0"/>
        <w:adjustRightInd w:val="0"/>
        <w:spacing w:before="120" w:after="120"/>
        <w:ind w:left="0" w:firstLine="0"/>
        <w:jc w:val="both"/>
      </w:pPr>
      <w:r>
        <w:t xml:space="preserve">Kanalizacja magistralna - kanalizacja kablowa wielootworowa przeznaczona do kabli linii magistralnych, międzycentralowych, międzymiastowych okręgowych i pośrednich. </w:t>
      </w:r>
    </w:p>
    <w:p w:rsidR="00E3297D" w:rsidRDefault="00E3297D" w:rsidP="00E3297D">
      <w:pPr>
        <w:numPr>
          <w:ilvl w:val="0"/>
          <w:numId w:val="89"/>
        </w:numPr>
        <w:overflowPunct w:val="0"/>
        <w:autoSpaceDE w:val="0"/>
        <w:autoSpaceDN w:val="0"/>
        <w:adjustRightInd w:val="0"/>
        <w:spacing w:after="120"/>
        <w:ind w:left="0" w:firstLine="0"/>
        <w:jc w:val="both"/>
      </w:pPr>
      <w:r>
        <w:t>Kanalizacja rozdzielcza - kanalizacja kablowa jedno- lub dwutorowa przeznaczona do kabli linii rozdzielczych.</w:t>
      </w:r>
    </w:p>
    <w:p w:rsidR="00E3297D" w:rsidRDefault="00E3297D" w:rsidP="00E3297D">
      <w:pPr>
        <w:numPr>
          <w:ilvl w:val="0"/>
          <w:numId w:val="89"/>
        </w:numPr>
        <w:overflowPunct w:val="0"/>
        <w:autoSpaceDE w:val="0"/>
        <w:autoSpaceDN w:val="0"/>
        <w:adjustRightInd w:val="0"/>
        <w:spacing w:after="120"/>
        <w:ind w:left="0" w:firstLine="0"/>
        <w:jc w:val="both"/>
      </w:pPr>
      <w:r>
        <w:t>Blok kanalizacji kablowej - blok betonowy z jednym lub wieloma otworami stosowany do zestawienia ciągów kanalizacji kablowej.</w:t>
      </w:r>
    </w:p>
    <w:p w:rsidR="00E3297D" w:rsidRDefault="00E3297D" w:rsidP="00E3297D">
      <w:pPr>
        <w:numPr>
          <w:ilvl w:val="0"/>
          <w:numId w:val="89"/>
        </w:numPr>
        <w:overflowPunct w:val="0"/>
        <w:autoSpaceDE w:val="0"/>
        <w:autoSpaceDN w:val="0"/>
        <w:adjustRightInd w:val="0"/>
        <w:spacing w:after="120"/>
        <w:ind w:left="0" w:firstLine="0"/>
        <w:jc w:val="both"/>
      </w:pPr>
      <w:r>
        <w:t>Ciąg kanalizacji - bloki kanalizacji kablowej lub rury ułożone w wykopie jeden za drugim i połączone pojedynczo lub w zestawach pozwalających uzyskać potrzebną liczbę otworów kanalizacji.</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Studnia kablowa - pomieszczenia podziemne wbudowane między ciągi kanalizacji kablowej w celu umożliwienia wciągania, montażu i konserwacji kabli.</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Studnia kablowa magistralna - studnia kablowa wbudowana między ciągi kanalizacji magistralnej.</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Studnia kablowa rozdzielcza - studnia kablowa wbudowana między ciągi kanalizacji rozdzielczej.</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Studnia kablowa szafkowa - studnia kablowa przed szafką lub rozdzielnicą kablową.</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Szafka kablowa - metalowe lub z mas termoplastycznych pudło wraz z konstrukcją wsporczą do montażu głowic kablowych.</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Kablowa sieć miejscowa - sieć łączy telefonicznych z urządzeniami liniowymi, łącząca centrale telefoniczne między sobą oraz centrale telefoniczne ze stacjami abonenckimi.</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Sieć międzycentralowa - część linii miejscowej obejmująca linie łączące centrale telefoniczne w jednym mieście.</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Sieć abonencka - część sieci miejscowej od centrali miejscowej do aparatów telefonicznych.</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Sieć magistralna - część linii abonenckiej obejmująca linie od szafek kablowych do głowic, puszek i skrzynek kablowych.</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Sieć rozdzielcza - część linii abonenckiej obejmująca linie od szafek kablowych do głowic, puszek i skrzynek kablowych.</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Łącze - zestaw przewodów i urządzeń między centralami, centralą a aparatem abonenckim.</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Tor abonencki - para żył kablowych lub napowietrznych między centralą a aparatem telefonicznym.</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lastRenderedPageBreak/>
        <w:t>Tor międzycentralowy - dwie lub trzy żyły w linii pomiędzy centralami w jednym mieście.</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Telekomunikacyjna linia kablowa dalekosiężna - linia wybudowana z kabli typu dalekosiężnego.</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Telekomunikacyjna linia kablowa międzymiastowa - linia łącząca co najmniej dwie centrale międzymiastowe.</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Telekomunikacyjna linia kablowa wewnątrzstrefowa - linia łącząca centralę okręgową z centralą międzymiastową.</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Odcinek wzmacniakowy - odcinek linii kablowej między dwoma sąsiednimi stacjami wzmacniakowymi.</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Długość trasowa linii kablowej lub jej odcinka - długość przebiegu trasy linii bez uwzględnienia falowania i zapasów kabla.</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Długość elektryczna - rzeczywista długość zmontowanego kabla z uwzględnieniem falowania i zapasów kabla.</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Falowanie kabla - sposób układania kabla, przy którym długość kabla układanego jest większa od długości trasy, na której układa się kabel.</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Zespół pupinizacyjny - cewka lub odpowiednio połączony zespół cewek pupinizacyjnych w obudowie.</w:t>
      </w:r>
    </w:p>
    <w:p w:rsidR="00E3297D" w:rsidRDefault="00E3297D" w:rsidP="00E3297D">
      <w:pPr>
        <w:numPr>
          <w:ilvl w:val="0"/>
          <w:numId w:val="89"/>
        </w:numPr>
        <w:tabs>
          <w:tab w:val="left" w:pos="0"/>
        </w:tabs>
        <w:overflowPunct w:val="0"/>
        <w:autoSpaceDE w:val="0"/>
        <w:autoSpaceDN w:val="0"/>
        <w:adjustRightInd w:val="0"/>
        <w:spacing w:after="120"/>
        <w:ind w:left="0" w:firstLine="0"/>
        <w:jc w:val="both"/>
      </w:pPr>
      <w:r>
        <w:t>Pupinizacja - wmontowanie w kabel dalekosiężny cewek, których zadaniem jest zrównanie reaktancji pojemnościowej z reaktancją indukcyjną kabla.</w:t>
      </w:r>
    </w:p>
    <w:p w:rsidR="00E3297D" w:rsidRDefault="00E3297D" w:rsidP="00E3297D">
      <w:pPr>
        <w:numPr>
          <w:ilvl w:val="0"/>
          <w:numId w:val="89"/>
        </w:numPr>
        <w:overflowPunct w:val="0"/>
        <w:autoSpaceDE w:val="0"/>
        <w:autoSpaceDN w:val="0"/>
        <w:adjustRightInd w:val="0"/>
        <w:ind w:left="0" w:firstLine="0"/>
        <w:jc w:val="both"/>
      </w:pPr>
      <w:r>
        <w:t xml:space="preserve">Pozostałe określenia podstawowe są zgodne z obowiązującymi polskimi normami i definicjami podanymi w </w:t>
      </w:r>
      <w:r w:rsidR="00216C9A">
        <w:t>SST</w:t>
      </w:r>
      <w:r>
        <w:t xml:space="preserve"> D-M-00.00.00 „Wymagania ogólne”.</w:t>
      </w:r>
    </w:p>
    <w:p w:rsidR="00E3297D" w:rsidRDefault="00E3297D" w:rsidP="00E3297D">
      <w:pPr>
        <w:pStyle w:val="Nagwek2"/>
      </w:pPr>
      <w:r>
        <w:t>1.5. Ogólne wymagania dotyczące robót</w:t>
      </w:r>
    </w:p>
    <w:p w:rsidR="00E3297D" w:rsidRDefault="00E3297D" w:rsidP="00E3297D">
      <w:r>
        <w:tab/>
        <w:t xml:space="preserve">Ogólne wymagania dotyczące robót podano w </w:t>
      </w:r>
      <w:r w:rsidR="00216C9A">
        <w:t>SST</w:t>
      </w:r>
      <w:r>
        <w:t xml:space="preserve"> D-M-00.00.00 „Wymagania ogólne”.</w:t>
      </w:r>
    </w:p>
    <w:p w:rsidR="00E3297D" w:rsidRDefault="00E3297D" w:rsidP="00E3297D">
      <w:pPr>
        <w:pStyle w:val="Nagwek1"/>
      </w:pPr>
      <w:bookmarkStart w:id="481" w:name="_Toc468518131"/>
      <w:bookmarkStart w:id="482" w:name="_Toc466861802"/>
      <w:bookmarkStart w:id="483" w:name="_Toc466435440"/>
      <w:r>
        <w:t>2. materiały</w:t>
      </w:r>
      <w:bookmarkEnd w:id="481"/>
      <w:bookmarkEnd w:id="482"/>
      <w:bookmarkEnd w:id="483"/>
    </w:p>
    <w:p w:rsidR="00E3297D" w:rsidRDefault="00E3297D" w:rsidP="00E3297D">
      <w:pPr>
        <w:pStyle w:val="Nagwek2"/>
      </w:pPr>
      <w:r>
        <w:t>2.1. Ogólne wymagania</w:t>
      </w:r>
    </w:p>
    <w:p w:rsidR="00E3297D" w:rsidRDefault="00E3297D" w:rsidP="00E3297D">
      <w:r>
        <w:tab/>
        <w:t xml:space="preserve">Ogólne wymagania dotyczące materiałów podano w </w:t>
      </w:r>
      <w:r w:rsidR="00216C9A">
        <w:t>SST</w:t>
      </w:r>
      <w:r>
        <w:t xml:space="preserve"> D-M-00.00.00 „Wymagania ogólne”.</w:t>
      </w:r>
    </w:p>
    <w:p w:rsidR="00E3297D" w:rsidRDefault="00E3297D" w:rsidP="00E3297D">
      <w:r>
        <w:tab/>
        <w:t>Materiały do budowy kablowych linii telekomunikacyjnych nabywane są przez Wykonawcę u wytwórców. Każdy materiał musi mieć atest wytwórcy stwierdzający zgodność jego wykonania z odpowiednimi normami.</w:t>
      </w:r>
    </w:p>
    <w:p w:rsidR="00E3297D" w:rsidRDefault="00E3297D" w:rsidP="00E3297D">
      <w:pPr>
        <w:pStyle w:val="Nagwek2"/>
      </w:pPr>
      <w:r>
        <w:t>2.2. Materiały budowlane</w:t>
      </w:r>
    </w:p>
    <w:p w:rsidR="00E3297D" w:rsidRDefault="00E3297D" w:rsidP="00E3297D">
      <w:pPr>
        <w:numPr>
          <w:ilvl w:val="0"/>
          <w:numId w:val="90"/>
        </w:numPr>
        <w:overflowPunct w:val="0"/>
        <w:autoSpaceDE w:val="0"/>
        <w:autoSpaceDN w:val="0"/>
        <w:adjustRightInd w:val="0"/>
        <w:spacing w:after="120"/>
        <w:ind w:left="284" w:hanging="284"/>
        <w:jc w:val="both"/>
      </w:pPr>
      <w:r>
        <w:t>Cement</w:t>
      </w:r>
    </w:p>
    <w:p w:rsidR="00E3297D" w:rsidRDefault="00E3297D" w:rsidP="00E3297D">
      <w:r>
        <w:tab/>
        <w:t>Do wykonania studni kablowych zaleca się stosowanie cementu portlandzkiego, spełniającego wymagania normy PN-88/B-30000 [43].</w:t>
      </w:r>
    </w:p>
    <w:p w:rsidR="00E3297D" w:rsidRDefault="00E3297D" w:rsidP="00E3297D">
      <w:r>
        <w:tab/>
        <w:t>Cement powinien być dostarczony w opakowaniach spełniających wymagania BN-88/6731-08 [50] i składowany w suchych i zadaszonych pomieszczeniach.</w:t>
      </w:r>
    </w:p>
    <w:p w:rsidR="00E3297D" w:rsidRDefault="00E3297D" w:rsidP="00E3297D">
      <w:pPr>
        <w:numPr>
          <w:ilvl w:val="0"/>
          <w:numId w:val="91"/>
        </w:numPr>
        <w:overflowPunct w:val="0"/>
        <w:autoSpaceDE w:val="0"/>
        <w:autoSpaceDN w:val="0"/>
        <w:adjustRightInd w:val="0"/>
        <w:spacing w:before="120" w:after="120"/>
        <w:ind w:left="284" w:hanging="284"/>
        <w:jc w:val="both"/>
        <w:rPr>
          <w:b/>
        </w:rPr>
      </w:pPr>
      <w:r>
        <w:t>Piasek</w:t>
      </w:r>
    </w:p>
    <w:p w:rsidR="00E3297D" w:rsidRDefault="00E3297D" w:rsidP="00E3297D">
      <w:r>
        <w:rPr>
          <w:b/>
        </w:rPr>
        <w:tab/>
      </w:r>
      <w:r>
        <w:t>Piasek do budowy studni kablowych i do układania kabli w ziemi powinien odpowiadać wymaganiom BN-87/6774-04 [1].</w:t>
      </w:r>
    </w:p>
    <w:p w:rsidR="00E3297D" w:rsidRDefault="00E3297D" w:rsidP="00E3297D">
      <w:pPr>
        <w:numPr>
          <w:ilvl w:val="0"/>
          <w:numId w:val="92"/>
        </w:numPr>
        <w:overflowPunct w:val="0"/>
        <w:autoSpaceDE w:val="0"/>
        <w:autoSpaceDN w:val="0"/>
        <w:adjustRightInd w:val="0"/>
        <w:spacing w:before="120" w:after="120"/>
        <w:ind w:left="284" w:hanging="284"/>
        <w:jc w:val="both"/>
      </w:pPr>
      <w:r>
        <w:t>Woda</w:t>
      </w:r>
    </w:p>
    <w:p w:rsidR="00E3297D" w:rsidRDefault="00E3297D" w:rsidP="00E3297D">
      <w:pPr>
        <w:rPr>
          <w:b/>
        </w:rPr>
      </w:pPr>
      <w:r>
        <w:rPr>
          <w:b/>
        </w:rPr>
        <w:tab/>
      </w:r>
      <w:r>
        <w:t>Woda do betonu powinna być „odmiany 1”, zgodnie z wymaganiami PN-88/B-32250 [2]. Barwa wody powinna odpowiadać barwie wody wodociągowej. Woda nie powinna wydzielać zapachu gnilnego oraz nie powinna zawierać zawiesiny, np. grudek.</w:t>
      </w:r>
    </w:p>
    <w:p w:rsidR="00E3297D" w:rsidRDefault="00E3297D" w:rsidP="00E3297D">
      <w:pPr>
        <w:pStyle w:val="Nagwek2"/>
      </w:pPr>
      <w:r>
        <w:t>2.3. Elementy prefabrykowane</w:t>
      </w:r>
    </w:p>
    <w:p w:rsidR="00E3297D" w:rsidRDefault="00E3297D" w:rsidP="00E3297D">
      <w:pPr>
        <w:numPr>
          <w:ilvl w:val="0"/>
          <w:numId w:val="93"/>
        </w:numPr>
        <w:overflowPunct w:val="0"/>
        <w:autoSpaceDE w:val="0"/>
        <w:autoSpaceDN w:val="0"/>
        <w:adjustRightInd w:val="0"/>
        <w:spacing w:after="120"/>
        <w:ind w:left="284" w:hanging="284"/>
        <w:jc w:val="both"/>
      </w:pPr>
      <w:r>
        <w:t>Prefabrykowane studnie kablowe</w:t>
      </w:r>
    </w:p>
    <w:p w:rsidR="00E3297D" w:rsidRDefault="00E3297D" w:rsidP="00E3297D">
      <w:r>
        <w:tab/>
        <w:t>Prefabrykowane studnie kablowe powinny być wykonane z betonu klasy B 20 zgodnie z normą PN-88/B-06250 [3].</w:t>
      </w:r>
    </w:p>
    <w:p w:rsidR="00E3297D" w:rsidRDefault="00E3297D" w:rsidP="00E3297D">
      <w:r>
        <w:tab/>
        <w:t>Studnie kablowe i jej prefabrykowane elementy mogą być składowane na polu składowym nie zabezpieczonym przed wpływami atmosferycznymi. Elementy studni powinny być ustawione warstwami na wyrównanym podłożu, przy czym poszczególne odmiany należy układać w oddzielnych stosach.</w:t>
      </w:r>
    </w:p>
    <w:p w:rsidR="00E3297D" w:rsidRDefault="00E3297D" w:rsidP="00E3297D">
      <w:pPr>
        <w:numPr>
          <w:ilvl w:val="0"/>
          <w:numId w:val="94"/>
        </w:numPr>
        <w:overflowPunct w:val="0"/>
        <w:autoSpaceDE w:val="0"/>
        <w:autoSpaceDN w:val="0"/>
        <w:adjustRightInd w:val="0"/>
        <w:spacing w:after="120"/>
        <w:ind w:left="284" w:hanging="284"/>
        <w:jc w:val="both"/>
      </w:pPr>
      <w:r>
        <w:t>Bloki betonowe płaskie</w:t>
      </w:r>
    </w:p>
    <w:p w:rsidR="00E3297D" w:rsidRDefault="00E3297D" w:rsidP="00E3297D">
      <w:r>
        <w:lastRenderedPageBreak/>
        <w:tab/>
        <w:t>Bloki betonowe płaskie powinny być zgodne z BN-74/3233-15 [5].</w:t>
      </w:r>
    </w:p>
    <w:p w:rsidR="00E3297D" w:rsidRDefault="00E3297D" w:rsidP="00E3297D">
      <w:r>
        <w:tab/>
        <w:t>Składowanie powinno być identyczne jak elementów studni kablowych.</w:t>
      </w:r>
    </w:p>
    <w:p w:rsidR="00E3297D" w:rsidRDefault="00E3297D" w:rsidP="00E3297D">
      <w:pPr>
        <w:pStyle w:val="Nagwek2"/>
      </w:pPr>
      <w:r>
        <w:t>2.4. Materiały gotowe</w:t>
      </w:r>
    </w:p>
    <w:p w:rsidR="00E3297D" w:rsidRDefault="00E3297D" w:rsidP="00E3297D">
      <w:pPr>
        <w:numPr>
          <w:ilvl w:val="0"/>
          <w:numId w:val="95"/>
        </w:numPr>
        <w:overflowPunct w:val="0"/>
        <w:autoSpaceDE w:val="0"/>
        <w:autoSpaceDN w:val="0"/>
        <w:adjustRightInd w:val="0"/>
        <w:spacing w:after="120"/>
        <w:ind w:left="284" w:hanging="284"/>
        <w:jc w:val="both"/>
      </w:pPr>
      <w:r>
        <w:t>Rury z polichlorku winylu (PCW)</w:t>
      </w:r>
    </w:p>
    <w:p w:rsidR="00E3297D" w:rsidRDefault="00E3297D" w:rsidP="00E3297D">
      <w:r>
        <w:tab/>
        <w:t>Stosowane do budowy ciągów kanalizacyjnych rury z polichlorku winylu powinny odpowiadać normie PN-80/C-89203 [6].</w:t>
      </w:r>
    </w:p>
    <w:p w:rsidR="00E3297D" w:rsidRDefault="00E3297D" w:rsidP="00E3297D">
      <w:r>
        <w:tab/>
        <w:t>Rury należy przechowywać na utwardzonym placu, w nienasłonecznionych  miejscach zabezpieczonych przed działaniem sił mechanicznych.</w:t>
      </w:r>
    </w:p>
    <w:p w:rsidR="00E3297D" w:rsidRDefault="00E3297D" w:rsidP="00E3297D">
      <w:pPr>
        <w:numPr>
          <w:ilvl w:val="0"/>
          <w:numId w:val="96"/>
        </w:numPr>
        <w:overflowPunct w:val="0"/>
        <w:autoSpaceDE w:val="0"/>
        <w:autoSpaceDN w:val="0"/>
        <w:adjustRightInd w:val="0"/>
        <w:spacing w:before="120" w:after="120"/>
        <w:ind w:left="284" w:hanging="284"/>
        <w:jc w:val="both"/>
      </w:pPr>
      <w:r>
        <w:t>Elementy studni kablowych</w:t>
      </w:r>
    </w:p>
    <w:p w:rsidR="00E3297D" w:rsidRDefault="00E3297D" w:rsidP="00E3297D">
      <w:r>
        <w:tab/>
        <w:t>Do budowy studni kablowych należy stosować następujące ich części:</w:t>
      </w:r>
    </w:p>
    <w:p w:rsidR="00E3297D" w:rsidRDefault="00E3297D" w:rsidP="00E3297D">
      <w:pPr>
        <w:numPr>
          <w:ilvl w:val="0"/>
          <w:numId w:val="97"/>
        </w:numPr>
        <w:overflowPunct w:val="0"/>
        <w:autoSpaceDE w:val="0"/>
        <w:autoSpaceDN w:val="0"/>
        <w:adjustRightInd w:val="0"/>
        <w:jc w:val="both"/>
      </w:pPr>
      <w:r>
        <w:t>wietrznik do pokryw odpowiadający BN-73/3233-02 [44],</w:t>
      </w:r>
    </w:p>
    <w:p w:rsidR="00E3297D" w:rsidRDefault="00E3297D" w:rsidP="00E3297D">
      <w:pPr>
        <w:numPr>
          <w:ilvl w:val="0"/>
          <w:numId w:val="97"/>
        </w:numPr>
        <w:overflowPunct w:val="0"/>
        <w:autoSpaceDE w:val="0"/>
        <w:autoSpaceDN w:val="0"/>
        <w:adjustRightInd w:val="0"/>
        <w:jc w:val="both"/>
      </w:pPr>
      <w:r>
        <w:t>ramy i pokrywy odpowiadające BN-73/3233-03 [45],</w:t>
      </w:r>
    </w:p>
    <w:p w:rsidR="00E3297D" w:rsidRDefault="00E3297D" w:rsidP="00E3297D">
      <w:pPr>
        <w:numPr>
          <w:ilvl w:val="0"/>
          <w:numId w:val="97"/>
        </w:numPr>
        <w:overflowPunct w:val="0"/>
        <w:autoSpaceDE w:val="0"/>
        <w:autoSpaceDN w:val="0"/>
        <w:adjustRightInd w:val="0"/>
        <w:jc w:val="both"/>
      </w:pPr>
      <w:r>
        <w:t>wsporniki kablowe odpowiadające BN-69/9378-30 [46].</w:t>
      </w:r>
    </w:p>
    <w:p w:rsidR="00E3297D" w:rsidRDefault="00E3297D" w:rsidP="00E3297D">
      <w:r>
        <w:tab/>
        <w:t>Powyższe elementy powinny być składowane w pomieszczeniach suchych i zadaszonych.</w:t>
      </w:r>
    </w:p>
    <w:p w:rsidR="00E3297D" w:rsidRDefault="00E3297D" w:rsidP="00E3297D">
      <w:pPr>
        <w:numPr>
          <w:ilvl w:val="0"/>
          <w:numId w:val="98"/>
        </w:numPr>
        <w:overflowPunct w:val="0"/>
        <w:autoSpaceDE w:val="0"/>
        <w:autoSpaceDN w:val="0"/>
        <w:adjustRightInd w:val="0"/>
        <w:spacing w:before="120" w:after="120"/>
        <w:ind w:left="284" w:hanging="284"/>
        <w:jc w:val="both"/>
      </w:pPr>
      <w:r>
        <w:t>Szafki kablowe</w:t>
      </w:r>
    </w:p>
    <w:p w:rsidR="00E3297D" w:rsidRDefault="00E3297D" w:rsidP="00E3297D">
      <w:r>
        <w:tab/>
        <w:t>Budowane w ciągach kanalizacji teletechnicznej szafki kablowe powinny być zgodne z normą BN-86/3223-16 [47].</w:t>
      </w:r>
    </w:p>
    <w:p w:rsidR="00E3297D" w:rsidRDefault="00E3297D" w:rsidP="00E3297D">
      <w:r>
        <w:tab/>
        <w:t>Szafki kablowe metalowe i z tworzyw sztucznych należy przechowywać w suchych i zadaszonych pomieszczeniach.</w:t>
      </w:r>
    </w:p>
    <w:p w:rsidR="00E3297D" w:rsidRDefault="00E3297D" w:rsidP="00E3297D">
      <w:pPr>
        <w:numPr>
          <w:ilvl w:val="0"/>
          <w:numId w:val="99"/>
        </w:numPr>
        <w:overflowPunct w:val="0"/>
        <w:autoSpaceDE w:val="0"/>
        <w:autoSpaceDN w:val="0"/>
        <w:adjustRightInd w:val="0"/>
        <w:spacing w:before="120" w:after="120"/>
        <w:ind w:left="284" w:hanging="284"/>
        <w:jc w:val="both"/>
      </w:pPr>
      <w:r>
        <w:t>Skrzynki kablowe</w:t>
      </w:r>
    </w:p>
    <w:p w:rsidR="00E3297D" w:rsidRDefault="00E3297D" w:rsidP="00E3297D">
      <w:r>
        <w:tab/>
        <w:t>Skrzynki kablowe instalowane na słupach kablowych powinny być zgodne z normą BN-80/3231-25 [14] i BN-80/3231-28 [15].</w:t>
      </w:r>
    </w:p>
    <w:p w:rsidR="00E3297D" w:rsidRDefault="00E3297D" w:rsidP="00E3297D">
      <w:r>
        <w:tab/>
        <w:t>Skrzynki kablowe powinny być przechowywane w suchych pomieszczeniach i nie narażone na uszkodzenia mechaniczne.</w:t>
      </w:r>
    </w:p>
    <w:p w:rsidR="00E3297D" w:rsidRDefault="00E3297D" w:rsidP="00E3297D">
      <w:pPr>
        <w:numPr>
          <w:ilvl w:val="0"/>
          <w:numId w:val="100"/>
        </w:numPr>
        <w:overflowPunct w:val="0"/>
        <w:autoSpaceDE w:val="0"/>
        <w:autoSpaceDN w:val="0"/>
        <w:adjustRightInd w:val="0"/>
        <w:spacing w:before="120" w:after="120"/>
        <w:ind w:left="284" w:hanging="284"/>
        <w:jc w:val="both"/>
      </w:pPr>
      <w:r>
        <w:t>Zespoły i skrzynie pupinizacyjne</w:t>
      </w:r>
    </w:p>
    <w:p w:rsidR="00E3297D" w:rsidRDefault="00E3297D" w:rsidP="00E3297D">
      <w:r>
        <w:tab/>
        <w:t>Zespoły i skrzynie pupinizacyjne powinny odpowiadać normie BN-79/3223-02 [48].</w:t>
      </w:r>
    </w:p>
    <w:p w:rsidR="00E3297D" w:rsidRDefault="00E3297D" w:rsidP="00E3297D">
      <w:r>
        <w:tab/>
        <w:t>Skrzynie zespołów pupinizacyjnych powinny być przechowywane w pozycji normalnej pracy, zabezpieczone przed bezpośrednim działaniem promieni słonecznych.</w:t>
      </w:r>
    </w:p>
    <w:p w:rsidR="00E3297D" w:rsidRDefault="00E3297D" w:rsidP="00E3297D">
      <w:r>
        <w:tab/>
        <w:t>Zespoły pupinizacyjne luzem powinny być przechowywane w opakowaniu fabrycznym, w pozycji pionowej, w temperaturze od 0</w:t>
      </w:r>
      <w:r>
        <w:rPr>
          <w:vertAlign w:val="superscript"/>
        </w:rPr>
        <w:t>o</w:t>
      </w:r>
      <w:r>
        <w:t>C do 30</w:t>
      </w:r>
      <w:r>
        <w:rPr>
          <w:vertAlign w:val="superscript"/>
        </w:rPr>
        <w:t xml:space="preserve"> </w:t>
      </w:r>
      <w:proofErr w:type="spellStart"/>
      <w:r>
        <w:rPr>
          <w:vertAlign w:val="superscript"/>
        </w:rPr>
        <w:t>o</w:t>
      </w:r>
      <w:r>
        <w:t>C</w:t>
      </w:r>
      <w:proofErr w:type="spellEnd"/>
      <w:r>
        <w:t xml:space="preserve"> i wilgotności nie większej niż 80%.</w:t>
      </w:r>
    </w:p>
    <w:p w:rsidR="00E3297D" w:rsidRDefault="00E3297D" w:rsidP="00E3297D">
      <w:pPr>
        <w:numPr>
          <w:ilvl w:val="0"/>
          <w:numId w:val="101"/>
        </w:numPr>
        <w:overflowPunct w:val="0"/>
        <w:autoSpaceDE w:val="0"/>
        <w:autoSpaceDN w:val="0"/>
        <w:adjustRightInd w:val="0"/>
        <w:spacing w:before="120" w:after="120"/>
        <w:ind w:left="284" w:hanging="284"/>
        <w:jc w:val="both"/>
      </w:pPr>
      <w:r>
        <w:t>Kable</w:t>
      </w:r>
    </w:p>
    <w:p w:rsidR="00E3297D" w:rsidRDefault="00E3297D" w:rsidP="00E3297D">
      <w:r>
        <w:tab/>
        <w:t>Typy kabli telekomunikacyjnych, ich pojemności i średnice żył ustala się w uzgodnieniu z urzędem telekomunikacyjnym odpowiednim dla danego terenu.</w:t>
      </w:r>
    </w:p>
    <w:p w:rsidR="00E3297D" w:rsidRDefault="00E3297D" w:rsidP="00E3297D">
      <w:r>
        <w:tab/>
        <w:t xml:space="preserve">Zastosowane kable powinny odpowiadać wymogom odpowiednich norm wg wykazu w punkcie 10.1 </w:t>
      </w:r>
      <w:r w:rsidR="00216C9A">
        <w:t>SST</w:t>
      </w:r>
      <w:r>
        <w:t>.</w:t>
      </w:r>
    </w:p>
    <w:p w:rsidR="00E3297D" w:rsidRDefault="00E3297D" w:rsidP="00E3297D">
      <w:r>
        <w:tab/>
        <w:t>Kable telekomunikacyjne dostarczane są na bębnach drewnianych, których wielkości określone są w normie PN-76/D-79353 [7] i zależą od średnicy kabla i jego powłoki.</w:t>
      </w:r>
    </w:p>
    <w:p w:rsidR="00E3297D" w:rsidRDefault="00E3297D" w:rsidP="00E3297D">
      <w:r>
        <w:tab/>
        <w:t>Każdy bęben jest nacechowany numerem wielkości i numerem ewidencyjnym oraz następującymi znakami i napisami:</w:t>
      </w:r>
    </w:p>
    <w:p w:rsidR="00E3297D" w:rsidRDefault="00E3297D" w:rsidP="00E3297D">
      <w:pPr>
        <w:numPr>
          <w:ilvl w:val="0"/>
          <w:numId w:val="97"/>
        </w:numPr>
        <w:overflowPunct w:val="0"/>
        <w:autoSpaceDE w:val="0"/>
        <w:autoSpaceDN w:val="0"/>
        <w:adjustRightInd w:val="0"/>
        <w:jc w:val="both"/>
      </w:pPr>
      <w:r>
        <w:t>nazwą i znakiem fabrycznym producenta,</w:t>
      </w:r>
    </w:p>
    <w:p w:rsidR="00E3297D" w:rsidRDefault="00E3297D" w:rsidP="00E3297D">
      <w:pPr>
        <w:numPr>
          <w:ilvl w:val="0"/>
          <w:numId w:val="97"/>
        </w:numPr>
        <w:overflowPunct w:val="0"/>
        <w:autoSpaceDE w:val="0"/>
        <w:autoSpaceDN w:val="0"/>
        <w:adjustRightInd w:val="0"/>
        <w:jc w:val="both"/>
      </w:pPr>
      <w:r>
        <w:t>strzałką wskazującą kierunek obrotów bębna przy toczeniu.</w:t>
      </w:r>
    </w:p>
    <w:p w:rsidR="00E3297D" w:rsidRDefault="00E3297D" w:rsidP="00E3297D">
      <w:r>
        <w:tab/>
        <w:t>Do jednej z tarcz bębna przymocowana jest tabliczka, na której podany jest typ kabla, jego długość i ciężar oraz producent.</w:t>
      </w:r>
    </w:p>
    <w:p w:rsidR="00E3297D" w:rsidRDefault="00E3297D" w:rsidP="00E3297D">
      <w:r>
        <w:tab/>
        <w:t>Stosuje się następujące typy kabli:</w:t>
      </w:r>
    </w:p>
    <w:p w:rsidR="00E3297D" w:rsidRDefault="00E3297D" w:rsidP="00E3297D">
      <w:pPr>
        <w:numPr>
          <w:ilvl w:val="0"/>
          <w:numId w:val="102"/>
        </w:numPr>
        <w:overflowPunct w:val="0"/>
        <w:autoSpaceDE w:val="0"/>
        <w:autoSpaceDN w:val="0"/>
        <w:adjustRightInd w:val="0"/>
        <w:jc w:val="both"/>
      </w:pPr>
      <w:r>
        <w:t>Kable kanałowe - w liniach kablowych kanałowych powinny być stosowane telekomunikacyjne kable miejscowe o izolacji papierowej i powłoce ołowianej (TKM), wg PN-85/T-90310 [10] i PN-85/T-90311 [11] oraz telekomunikacyjne kable miejscowe o izolacji papierowo-powietrznej i powłoce polietylenowej z zaporą przeciwwilgociową (</w:t>
      </w:r>
      <w:proofErr w:type="spellStart"/>
      <w:r>
        <w:t>XTKMwX</w:t>
      </w:r>
      <w:proofErr w:type="spellEnd"/>
      <w:r>
        <w:t>) wg PN-83/T-90331 [12]. W uzgodnieniu z odpowiednim urzędem telekomunikacyjnym można stosować telekomunikacyjne kable miejscowe o izolacji polietylenowej (XTKMX) wg PN-83/T-90330 [13].</w:t>
      </w:r>
    </w:p>
    <w:p w:rsidR="00E3297D" w:rsidRDefault="00E3297D" w:rsidP="00E3297D">
      <w:pPr>
        <w:numPr>
          <w:ilvl w:val="0"/>
          <w:numId w:val="102"/>
        </w:numPr>
        <w:overflowPunct w:val="0"/>
        <w:autoSpaceDE w:val="0"/>
        <w:autoSpaceDN w:val="0"/>
        <w:adjustRightInd w:val="0"/>
        <w:jc w:val="both"/>
      </w:pPr>
      <w:r>
        <w:t>Kable ziemne - w liniach kablowych ziemnych powinny być stosowane telekomunikacyjne kable miejscowe o izolacji papierowej i powłoce ołowianej opancerzone wg PN-85/T-90311 [11].</w:t>
      </w:r>
    </w:p>
    <w:p w:rsidR="00E3297D" w:rsidRDefault="00E3297D" w:rsidP="00E3297D">
      <w:pPr>
        <w:ind w:left="284"/>
      </w:pPr>
      <w:r>
        <w:lastRenderedPageBreak/>
        <w:t xml:space="preserve">W uzgodnieniu z urzędem telekomunikacyjnym można stosować telekomunikacyjne kable miejscowe o izolacji polietylenowej wg PN-83/T-90330 [13] oraz o izolacji i powłoce polietylenowej z zaporą przeciwwilgociową, nieopancerzone i opancerzone z osłoną polietylenową lub </w:t>
      </w:r>
      <w:proofErr w:type="spellStart"/>
      <w:r>
        <w:t>polwinitową</w:t>
      </w:r>
      <w:proofErr w:type="spellEnd"/>
      <w:r>
        <w:t>, wg PN-83/T-90331 [12].</w:t>
      </w:r>
    </w:p>
    <w:p w:rsidR="00E3297D" w:rsidRDefault="00E3297D" w:rsidP="00E3297D">
      <w:pPr>
        <w:numPr>
          <w:ilvl w:val="0"/>
          <w:numId w:val="103"/>
        </w:numPr>
        <w:tabs>
          <w:tab w:val="left" w:pos="284"/>
        </w:tabs>
        <w:overflowPunct w:val="0"/>
        <w:autoSpaceDE w:val="0"/>
        <w:autoSpaceDN w:val="0"/>
        <w:adjustRightInd w:val="0"/>
        <w:ind w:left="284" w:hanging="284"/>
        <w:jc w:val="both"/>
      </w:pPr>
      <w:r>
        <w:t>Kable nadziemne - w odcinkach nadziemnych kablowych powinny być stosowane telekomunikacyjne kable miejscowe o izolacji papierowej i powłoce ołowianej (TKM), wg PN-85/T-90311 [11] oraz o izolacji i powłoce z tworzyw termoplastycznych wg PN-83/T-90330 [13]. Ilość czwórek w tych kablach nie może przekroczyć 30.</w:t>
      </w:r>
    </w:p>
    <w:p w:rsidR="00E3297D" w:rsidRDefault="00E3297D" w:rsidP="00E3297D">
      <w:pPr>
        <w:numPr>
          <w:ilvl w:val="0"/>
          <w:numId w:val="103"/>
        </w:numPr>
        <w:tabs>
          <w:tab w:val="left" w:pos="284"/>
        </w:tabs>
        <w:overflowPunct w:val="0"/>
        <w:autoSpaceDE w:val="0"/>
        <w:autoSpaceDN w:val="0"/>
        <w:adjustRightInd w:val="0"/>
        <w:ind w:left="284" w:hanging="284"/>
        <w:jc w:val="both"/>
      </w:pPr>
      <w:r>
        <w:t>Kable dalekosiężne - do budowy telekomunikacyjnych linii kablowych dalekosiężnych należy stosować następujące kable:</w:t>
      </w:r>
    </w:p>
    <w:p w:rsidR="00E3297D" w:rsidRDefault="00E3297D" w:rsidP="00E3297D">
      <w:pPr>
        <w:numPr>
          <w:ilvl w:val="0"/>
          <w:numId w:val="104"/>
        </w:numPr>
        <w:tabs>
          <w:tab w:val="left" w:pos="567"/>
        </w:tabs>
        <w:overflowPunct w:val="0"/>
        <w:autoSpaceDE w:val="0"/>
        <w:autoSpaceDN w:val="0"/>
        <w:adjustRightInd w:val="0"/>
        <w:jc w:val="both"/>
      </w:pPr>
      <w:r>
        <w:t>dalekosiężne symetryczne z wiązkami parowymi, o izolacji polietylenowej piankowej i o powłoce aluminiowej, nieopancerzonej i opancerzonej z osłonami ochronnymi wg PN-84/T-90340 [24], PN-84/T-90341 [25], PN-84/T-90342 [26],</w:t>
      </w:r>
    </w:p>
    <w:p w:rsidR="00E3297D" w:rsidRDefault="00E3297D" w:rsidP="00E3297D">
      <w:pPr>
        <w:numPr>
          <w:ilvl w:val="0"/>
          <w:numId w:val="104"/>
        </w:numPr>
        <w:tabs>
          <w:tab w:val="left" w:pos="567"/>
        </w:tabs>
        <w:overflowPunct w:val="0"/>
        <w:autoSpaceDE w:val="0"/>
        <w:autoSpaceDN w:val="0"/>
        <w:adjustRightInd w:val="0"/>
        <w:jc w:val="both"/>
      </w:pPr>
      <w:r>
        <w:t>dalekosiężne symetryczne z wiązkami czwórkowymi, o izolacji polietylenowej i o powłoce ołowianej, z osłonami ochronnymi wg PN-84/T-90345 [27], PN-84/T-90346 [51], PN-84/T-90347 [28],</w:t>
      </w:r>
    </w:p>
    <w:p w:rsidR="00E3297D" w:rsidRDefault="00E3297D" w:rsidP="00E3297D">
      <w:pPr>
        <w:numPr>
          <w:ilvl w:val="0"/>
          <w:numId w:val="104"/>
        </w:numPr>
        <w:tabs>
          <w:tab w:val="left" w:pos="567"/>
        </w:tabs>
        <w:overflowPunct w:val="0"/>
        <w:autoSpaceDE w:val="0"/>
        <w:autoSpaceDN w:val="0"/>
        <w:adjustRightInd w:val="0"/>
        <w:jc w:val="both"/>
      </w:pPr>
      <w:r>
        <w:t xml:space="preserve">dalekosiężne symetryczne z wiązkami czwórkowymi, o izolacji papierowo-powietrznej i </w:t>
      </w:r>
      <w:proofErr w:type="spellStart"/>
      <w:r>
        <w:t>polistyrenowo-powietrznej</w:t>
      </w:r>
      <w:proofErr w:type="spellEnd"/>
      <w:r>
        <w:t>, o powłoce metalowej, z osłonami ochronnymi wg PN-87/T-90350 [52], PN-87/T-90351 [29], PN-87/T-90352 [30],</w:t>
      </w:r>
    </w:p>
    <w:p w:rsidR="00E3297D" w:rsidRDefault="00E3297D" w:rsidP="00E3297D">
      <w:pPr>
        <w:numPr>
          <w:ilvl w:val="0"/>
          <w:numId w:val="104"/>
        </w:numPr>
        <w:tabs>
          <w:tab w:val="left" w:pos="567"/>
        </w:tabs>
        <w:overflowPunct w:val="0"/>
        <w:autoSpaceDE w:val="0"/>
        <w:autoSpaceDN w:val="0"/>
        <w:adjustRightInd w:val="0"/>
        <w:jc w:val="both"/>
      </w:pPr>
      <w:r>
        <w:t>miejscowe z żyłami o izolacji papierowej i powłoce ołowianej, nieopancerzone i opancerzone z osłonami ochronnymi wg PN-85/T-90310 [10], PN-85/T-90311 [11],</w:t>
      </w:r>
    </w:p>
    <w:p w:rsidR="00E3297D" w:rsidRDefault="00E3297D" w:rsidP="00E3297D">
      <w:pPr>
        <w:numPr>
          <w:ilvl w:val="0"/>
          <w:numId w:val="104"/>
        </w:numPr>
        <w:tabs>
          <w:tab w:val="left" w:pos="567"/>
        </w:tabs>
        <w:overflowPunct w:val="0"/>
        <w:autoSpaceDE w:val="0"/>
        <w:autoSpaceDN w:val="0"/>
        <w:adjustRightInd w:val="0"/>
        <w:jc w:val="both"/>
      </w:pPr>
      <w:r>
        <w:t>miejscowe z żyłami o izolacji i powłoce polietylenowej lub stalowej, nieopancerzone i opancerzone z osłonami ochronnymi wg PN-83/T-90330 [13], PN-83/T-90331 [12], PN-83/T-90332 [31], a także ekranowane o powłoce stalowej wg WT-84/K-187 [32],</w:t>
      </w:r>
    </w:p>
    <w:p w:rsidR="00E3297D" w:rsidRDefault="00E3297D" w:rsidP="00E3297D">
      <w:pPr>
        <w:numPr>
          <w:ilvl w:val="0"/>
          <w:numId w:val="104"/>
        </w:numPr>
        <w:tabs>
          <w:tab w:val="left" w:pos="567"/>
        </w:tabs>
        <w:overflowPunct w:val="0"/>
        <w:autoSpaceDE w:val="0"/>
        <w:autoSpaceDN w:val="0"/>
        <w:adjustRightInd w:val="0"/>
        <w:jc w:val="both"/>
      </w:pPr>
      <w:r>
        <w:t>dalekosiężne współosiowe z parami typu 1.2/4.4 i 2.6/15 o powłokach ołowianych i aluminiowych, nieopancerzone i opancerzone wg WT-86/K-91.02 [33] i WT-86/K-245.02 [34],</w:t>
      </w:r>
    </w:p>
    <w:p w:rsidR="00E3297D" w:rsidRDefault="00E3297D" w:rsidP="00E3297D">
      <w:pPr>
        <w:numPr>
          <w:ilvl w:val="0"/>
          <w:numId w:val="104"/>
        </w:numPr>
        <w:tabs>
          <w:tab w:val="left" w:pos="567"/>
        </w:tabs>
        <w:overflowPunct w:val="0"/>
        <w:autoSpaceDE w:val="0"/>
        <w:autoSpaceDN w:val="0"/>
        <w:adjustRightInd w:val="0"/>
        <w:jc w:val="both"/>
      </w:pPr>
      <w:r>
        <w:t>dalekosiężne rozdzielcze z wiązkami czwórkowymi i parowymi o izolacji polietylenowej piankowej i o powłoce ołowianej, odpowiednio wg WT-80/K-132 [35] i WT-80/K-133 [36],</w:t>
      </w:r>
    </w:p>
    <w:p w:rsidR="00E3297D" w:rsidRDefault="00E3297D" w:rsidP="00E3297D">
      <w:pPr>
        <w:numPr>
          <w:ilvl w:val="0"/>
          <w:numId w:val="104"/>
        </w:numPr>
        <w:tabs>
          <w:tab w:val="left" w:pos="567"/>
        </w:tabs>
        <w:overflowPunct w:val="0"/>
        <w:autoSpaceDE w:val="0"/>
        <w:autoSpaceDN w:val="0"/>
        <w:adjustRightInd w:val="0"/>
        <w:jc w:val="both"/>
      </w:pPr>
      <w:r>
        <w:t>dalekosiężne z wiązkami czwórkowymi o izolacji piankowej, ekranowe, o powłoce stalowej, z osłoną polietylenową wg WT-84/K-186 [37].</w:t>
      </w:r>
    </w:p>
    <w:p w:rsidR="00E3297D" w:rsidRDefault="00E3297D" w:rsidP="00E3297D">
      <w:pPr>
        <w:tabs>
          <w:tab w:val="left" w:pos="567"/>
        </w:tabs>
      </w:pPr>
      <w:r>
        <w:tab/>
        <w:t>Ustalenie typu kabla, ilości żył, rodzaju izolacji i osłony ze względu na przebudowę, a nie budowę linii kablowej należy do odpowiedniego Zakładu Radiokomunikacji i Teletransmisji.</w:t>
      </w:r>
    </w:p>
    <w:p w:rsidR="00E3297D" w:rsidRDefault="00E3297D" w:rsidP="00E3297D">
      <w:pPr>
        <w:pStyle w:val="Nagwek1"/>
      </w:pPr>
      <w:bookmarkStart w:id="484" w:name="_Toc468518132"/>
      <w:bookmarkStart w:id="485" w:name="_Toc467298651"/>
      <w:bookmarkStart w:id="486" w:name="_Toc466861803"/>
      <w:bookmarkStart w:id="487" w:name="_Toc466435441"/>
      <w:r>
        <w:t>3. sprzęt</w:t>
      </w:r>
      <w:bookmarkEnd w:id="484"/>
      <w:bookmarkEnd w:id="485"/>
      <w:bookmarkEnd w:id="486"/>
      <w:bookmarkEnd w:id="487"/>
    </w:p>
    <w:p w:rsidR="00E3297D" w:rsidRDefault="00E3297D" w:rsidP="00E3297D">
      <w:pPr>
        <w:pStyle w:val="Nagwek2"/>
      </w:pPr>
      <w:r>
        <w:t>3.1. Ogólne wymagania</w:t>
      </w:r>
    </w:p>
    <w:p w:rsidR="00E3297D" w:rsidRDefault="00E3297D" w:rsidP="00E3297D">
      <w:r>
        <w:tab/>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E3297D" w:rsidRDefault="00E3297D" w:rsidP="00E3297D">
      <w:r>
        <w:tab/>
        <w:t>Sprzęt używany przez Wykonawcę powinien uzyskać akceptację Inżyniera.</w:t>
      </w:r>
    </w:p>
    <w:p w:rsidR="00E3297D" w:rsidRDefault="00E3297D" w:rsidP="00E3297D">
      <w:r>
        <w:tab/>
        <w:t xml:space="preserve">Liczba i wydajność sprzętu powinna gwarantować wykonanie robót zgodnie z zasadami określonymi w dokumentacji projektowej, </w:t>
      </w:r>
      <w:r w:rsidR="00216C9A">
        <w:t>SST</w:t>
      </w:r>
      <w:r>
        <w:t>, SST i wskazaniach Inżyniera w terminie przewidzianym kontraktem.</w:t>
      </w:r>
    </w:p>
    <w:p w:rsidR="00E3297D" w:rsidRDefault="00E3297D" w:rsidP="00E3297D">
      <w:pPr>
        <w:pStyle w:val="Nagwek2"/>
      </w:pPr>
      <w:r>
        <w:t>3.2. Sprzęt do budowy kablowych linii telekomunikacyjnych</w:t>
      </w:r>
    </w:p>
    <w:p w:rsidR="00E3297D" w:rsidRDefault="00E3297D" w:rsidP="00E3297D">
      <w:pPr>
        <w:tabs>
          <w:tab w:val="left" w:pos="567"/>
        </w:tabs>
      </w:pPr>
      <w:r>
        <w:tab/>
        <w:t>Wykonawca przystępujący do wykonania przebudowy kablowych linii  telekomunikacyjnych powinien  wykazać się możliwością korzystania z następujących maszyn i sprzętu, w zależności od zakresu robót gwarantujących właściwą jakość robót:</w:t>
      </w:r>
    </w:p>
    <w:p w:rsidR="00E3297D" w:rsidRDefault="00E3297D" w:rsidP="00E3297D">
      <w:pPr>
        <w:numPr>
          <w:ilvl w:val="0"/>
          <w:numId w:val="97"/>
        </w:numPr>
        <w:tabs>
          <w:tab w:val="left" w:pos="567"/>
        </w:tabs>
        <w:overflowPunct w:val="0"/>
        <w:autoSpaceDE w:val="0"/>
        <w:autoSpaceDN w:val="0"/>
        <w:adjustRightInd w:val="0"/>
        <w:jc w:val="both"/>
      </w:pPr>
      <w:r>
        <w:t>ubijak spalinowy,</w:t>
      </w:r>
    </w:p>
    <w:p w:rsidR="00E3297D" w:rsidRDefault="00E3297D" w:rsidP="00E3297D">
      <w:pPr>
        <w:numPr>
          <w:ilvl w:val="0"/>
          <w:numId w:val="97"/>
        </w:numPr>
        <w:tabs>
          <w:tab w:val="left" w:pos="567"/>
        </w:tabs>
        <w:overflowPunct w:val="0"/>
        <w:autoSpaceDE w:val="0"/>
        <w:autoSpaceDN w:val="0"/>
        <w:adjustRightInd w:val="0"/>
        <w:jc w:val="both"/>
      </w:pPr>
      <w:r>
        <w:t>żurawik hydrauliczny,</w:t>
      </w:r>
    </w:p>
    <w:p w:rsidR="00E3297D" w:rsidRDefault="00E3297D" w:rsidP="00E3297D">
      <w:pPr>
        <w:numPr>
          <w:ilvl w:val="0"/>
          <w:numId w:val="97"/>
        </w:numPr>
        <w:tabs>
          <w:tab w:val="left" w:pos="567"/>
        </w:tabs>
        <w:overflowPunct w:val="0"/>
        <w:autoSpaceDE w:val="0"/>
        <w:autoSpaceDN w:val="0"/>
        <w:adjustRightInd w:val="0"/>
        <w:jc w:val="both"/>
      </w:pPr>
      <w:r>
        <w:t>sprężarka powietrzna spalinowa, przewoźna,</w:t>
      </w:r>
    </w:p>
    <w:p w:rsidR="00E3297D" w:rsidRDefault="00E3297D" w:rsidP="00E3297D">
      <w:pPr>
        <w:numPr>
          <w:ilvl w:val="0"/>
          <w:numId w:val="97"/>
        </w:numPr>
        <w:tabs>
          <w:tab w:val="left" w:pos="567"/>
        </w:tabs>
        <w:overflowPunct w:val="0"/>
        <w:autoSpaceDE w:val="0"/>
        <w:autoSpaceDN w:val="0"/>
        <w:adjustRightInd w:val="0"/>
        <w:jc w:val="both"/>
      </w:pPr>
      <w:r>
        <w:t>wciągarka mechaniczna kabli,</w:t>
      </w:r>
    </w:p>
    <w:p w:rsidR="00E3297D" w:rsidRDefault="00E3297D" w:rsidP="00E3297D">
      <w:pPr>
        <w:numPr>
          <w:ilvl w:val="0"/>
          <w:numId w:val="97"/>
        </w:numPr>
        <w:tabs>
          <w:tab w:val="left" w:pos="567"/>
        </w:tabs>
        <w:overflowPunct w:val="0"/>
        <w:autoSpaceDE w:val="0"/>
        <w:autoSpaceDN w:val="0"/>
        <w:adjustRightInd w:val="0"/>
        <w:jc w:val="both"/>
      </w:pPr>
      <w:r>
        <w:t>wciągarka ręczna kabli,</w:t>
      </w:r>
    </w:p>
    <w:p w:rsidR="00E3297D" w:rsidRDefault="00E3297D" w:rsidP="00E3297D">
      <w:pPr>
        <w:numPr>
          <w:ilvl w:val="0"/>
          <w:numId w:val="97"/>
        </w:numPr>
        <w:tabs>
          <w:tab w:val="left" w:pos="567"/>
        </w:tabs>
        <w:overflowPunct w:val="0"/>
        <w:autoSpaceDE w:val="0"/>
        <w:autoSpaceDN w:val="0"/>
        <w:adjustRightInd w:val="0"/>
        <w:jc w:val="both"/>
      </w:pPr>
      <w:r>
        <w:t>miernik sprzężeń pojemnościowych,</w:t>
      </w:r>
    </w:p>
    <w:p w:rsidR="00E3297D" w:rsidRDefault="00E3297D" w:rsidP="00E3297D">
      <w:pPr>
        <w:numPr>
          <w:ilvl w:val="0"/>
          <w:numId w:val="97"/>
        </w:numPr>
        <w:tabs>
          <w:tab w:val="left" w:pos="567"/>
        </w:tabs>
        <w:overflowPunct w:val="0"/>
        <w:autoSpaceDE w:val="0"/>
        <w:autoSpaceDN w:val="0"/>
        <w:adjustRightInd w:val="0"/>
        <w:jc w:val="both"/>
      </w:pPr>
      <w:r>
        <w:t>sprężarka powietrzna, spalinowa, przewoźna,</w:t>
      </w:r>
    </w:p>
    <w:p w:rsidR="00E3297D" w:rsidRDefault="00E3297D" w:rsidP="00E3297D">
      <w:pPr>
        <w:numPr>
          <w:ilvl w:val="0"/>
          <w:numId w:val="97"/>
        </w:numPr>
        <w:tabs>
          <w:tab w:val="left" w:pos="567"/>
        </w:tabs>
        <w:overflowPunct w:val="0"/>
        <w:autoSpaceDE w:val="0"/>
        <w:autoSpaceDN w:val="0"/>
        <w:adjustRightInd w:val="0"/>
        <w:jc w:val="both"/>
      </w:pPr>
      <w:proofErr w:type="spellStart"/>
      <w:r>
        <w:t>megomierz</w:t>
      </w:r>
      <w:proofErr w:type="spellEnd"/>
      <w:r>
        <w:t>,</w:t>
      </w:r>
    </w:p>
    <w:p w:rsidR="00E3297D" w:rsidRDefault="00E3297D" w:rsidP="00E3297D">
      <w:pPr>
        <w:numPr>
          <w:ilvl w:val="0"/>
          <w:numId w:val="97"/>
        </w:numPr>
        <w:tabs>
          <w:tab w:val="left" w:pos="567"/>
        </w:tabs>
        <w:overflowPunct w:val="0"/>
        <w:autoSpaceDE w:val="0"/>
        <w:autoSpaceDN w:val="0"/>
        <w:adjustRightInd w:val="0"/>
        <w:jc w:val="both"/>
      </w:pPr>
      <w:r>
        <w:t>mostek kablowy,</w:t>
      </w:r>
    </w:p>
    <w:p w:rsidR="00E3297D" w:rsidRDefault="00E3297D" w:rsidP="00E3297D">
      <w:pPr>
        <w:numPr>
          <w:ilvl w:val="0"/>
          <w:numId w:val="97"/>
        </w:numPr>
        <w:tabs>
          <w:tab w:val="left" w:pos="567"/>
        </w:tabs>
        <w:overflowPunct w:val="0"/>
        <w:autoSpaceDE w:val="0"/>
        <w:autoSpaceDN w:val="0"/>
        <w:adjustRightInd w:val="0"/>
        <w:jc w:val="both"/>
      </w:pPr>
      <w:r>
        <w:t>generator poziomu do 20 kHz,</w:t>
      </w:r>
    </w:p>
    <w:p w:rsidR="00E3297D" w:rsidRDefault="00E3297D" w:rsidP="00E3297D">
      <w:pPr>
        <w:numPr>
          <w:ilvl w:val="0"/>
          <w:numId w:val="97"/>
        </w:numPr>
        <w:tabs>
          <w:tab w:val="left" w:pos="567"/>
        </w:tabs>
        <w:overflowPunct w:val="0"/>
        <w:autoSpaceDE w:val="0"/>
        <w:autoSpaceDN w:val="0"/>
        <w:adjustRightInd w:val="0"/>
        <w:jc w:val="both"/>
      </w:pPr>
      <w:r>
        <w:t>miernik poziomu do 20 kHz,</w:t>
      </w:r>
    </w:p>
    <w:p w:rsidR="00E3297D" w:rsidRDefault="00E3297D" w:rsidP="00E3297D">
      <w:pPr>
        <w:numPr>
          <w:ilvl w:val="0"/>
          <w:numId w:val="97"/>
        </w:numPr>
        <w:tabs>
          <w:tab w:val="left" w:pos="567"/>
        </w:tabs>
        <w:overflowPunct w:val="0"/>
        <w:autoSpaceDE w:val="0"/>
        <w:autoSpaceDN w:val="0"/>
        <w:adjustRightInd w:val="0"/>
        <w:jc w:val="both"/>
      </w:pPr>
      <w:proofErr w:type="spellStart"/>
      <w:r>
        <w:lastRenderedPageBreak/>
        <w:t>przesłuchomierz</w:t>
      </w:r>
      <w:proofErr w:type="spellEnd"/>
      <w:r>
        <w:t>,</w:t>
      </w:r>
    </w:p>
    <w:p w:rsidR="00E3297D" w:rsidRDefault="00E3297D" w:rsidP="00E3297D">
      <w:pPr>
        <w:numPr>
          <w:ilvl w:val="0"/>
          <w:numId w:val="97"/>
        </w:numPr>
        <w:tabs>
          <w:tab w:val="left" w:pos="567"/>
        </w:tabs>
        <w:overflowPunct w:val="0"/>
        <w:autoSpaceDE w:val="0"/>
        <w:autoSpaceDN w:val="0"/>
        <w:adjustRightInd w:val="0"/>
        <w:jc w:val="both"/>
      </w:pPr>
      <w:r>
        <w:t>koparka jednonaczyniowa kołowa,</w:t>
      </w:r>
    </w:p>
    <w:p w:rsidR="00E3297D" w:rsidRDefault="00E3297D" w:rsidP="00E3297D">
      <w:pPr>
        <w:numPr>
          <w:ilvl w:val="0"/>
          <w:numId w:val="97"/>
        </w:numPr>
        <w:tabs>
          <w:tab w:val="left" w:pos="567"/>
        </w:tabs>
        <w:overflowPunct w:val="0"/>
        <w:autoSpaceDE w:val="0"/>
        <w:autoSpaceDN w:val="0"/>
        <w:adjustRightInd w:val="0"/>
        <w:jc w:val="both"/>
      </w:pPr>
      <w:r>
        <w:t>urządzenie do przebić poziomych,</w:t>
      </w:r>
    </w:p>
    <w:p w:rsidR="00E3297D" w:rsidRDefault="00E3297D" w:rsidP="00E3297D">
      <w:pPr>
        <w:numPr>
          <w:ilvl w:val="0"/>
          <w:numId w:val="97"/>
        </w:numPr>
        <w:tabs>
          <w:tab w:val="left" w:pos="567"/>
        </w:tabs>
        <w:overflowPunct w:val="0"/>
        <w:autoSpaceDE w:val="0"/>
        <w:autoSpaceDN w:val="0"/>
        <w:adjustRightInd w:val="0"/>
        <w:jc w:val="both"/>
      </w:pPr>
      <w:r>
        <w:t>ciągnik balastowy,</w:t>
      </w:r>
    </w:p>
    <w:p w:rsidR="00E3297D" w:rsidRDefault="00E3297D" w:rsidP="00E3297D">
      <w:pPr>
        <w:numPr>
          <w:ilvl w:val="0"/>
          <w:numId w:val="97"/>
        </w:numPr>
        <w:tabs>
          <w:tab w:val="left" w:pos="567"/>
        </w:tabs>
        <w:overflowPunct w:val="0"/>
        <w:autoSpaceDE w:val="0"/>
        <w:autoSpaceDN w:val="0"/>
        <w:adjustRightInd w:val="0"/>
        <w:jc w:val="both"/>
      </w:pPr>
      <w:r>
        <w:t>koparka na podwoziu gąsiennicowym,</w:t>
      </w:r>
    </w:p>
    <w:p w:rsidR="00E3297D" w:rsidRDefault="00E3297D" w:rsidP="00E3297D">
      <w:pPr>
        <w:numPr>
          <w:ilvl w:val="0"/>
          <w:numId w:val="97"/>
        </w:numPr>
        <w:tabs>
          <w:tab w:val="left" w:pos="567"/>
        </w:tabs>
        <w:overflowPunct w:val="0"/>
        <w:autoSpaceDE w:val="0"/>
        <w:autoSpaceDN w:val="0"/>
        <w:adjustRightInd w:val="0"/>
        <w:jc w:val="both"/>
      </w:pPr>
      <w:r>
        <w:t>żuraw samochodowy 6 t,</w:t>
      </w:r>
    </w:p>
    <w:p w:rsidR="00E3297D" w:rsidRDefault="00E3297D" w:rsidP="00E3297D">
      <w:pPr>
        <w:numPr>
          <w:ilvl w:val="0"/>
          <w:numId w:val="97"/>
        </w:numPr>
        <w:tabs>
          <w:tab w:val="left" w:pos="567"/>
        </w:tabs>
        <w:overflowPunct w:val="0"/>
        <w:autoSpaceDE w:val="0"/>
        <w:autoSpaceDN w:val="0"/>
        <w:adjustRightInd w:val="0"/>
        <w:jc w:val="both"/>
      </w:pPr>
      <w:r>
        <w:t>ciągnik siodłowy z naczepą,</w:t>
      </w:r>
    </w:p>
    <w:p w:rsidR="00E3297D" w:rsidRDefault="00E3297D" w:rsidP="00E3297D">
      <w:pPr>
        <w:numPr>
          <w:ilvl w:val="0"/>
          <w:numId w:val="97"/>
        </w:numPr>
        <w:tabs>
          <w:tab w:val="left" w:pos="567"/>
        </w:tabs>
        <w:overflowPunct w:val="0"/>
        <w:autoSpaceDE w:val="0"/>
        <w:autoSpaceDN w:val="0"/>
        <w:adjustRightInd w:val="0"/>
        <w:jc w:val="both"/>
      </w:pPr>
      <w:proofErr w:type="spellStart"/>
      <w:r>
        <w:t>pługoukładacz</w:t>
      </w:r>
      <w:proofErr w:type="spellEnd"/>
      <w:r>
        <w:t xml:space="preserve"> kabli na ciągniku gąsiennicowym,</w:t>
      </w:r>
    </w:p>
    <w:p w:rsidR="00E3297D" w:rsidRDefault="00E3297D" w:rsidP="00E3297D">
      <w:pPr>
        <w:numPr>
          <w:ilvl w:val="0"/>
          <w:numId w:val="97"/>
        </w:numPr>
        <w:tabs>
          <w:tab w:val="left" w:pos="567"/>
        </w:tabs>
        <w:overflowPunct w:val="0"/>
        <w:autoSpaceDE w:val="0"/>
        <w:autoSpaceDN w:val="0"/>
        <w:adjustRightInd w:val="0"/>
        <w:jc w:val="both"/>
      </w:pPr>
      <w:r>
        <w:t>ciągnik gąsiennicowy,</w:t>
      </w:r>
    </w:p>
    <w:p w:rsidR="00E3297D" w:rsidRDefault="00E3297D" w:rsidP="00E3297D">
      <w:pPr>
        <w:numPr>
          <w:ilvl w:val="0"/>
          <w:numId w:val="97"/>
        </w:numPr>
        <w:tabs>
          <w:tab w:val="left" w:pos="567"/>
        </w:tabs>
        <w:overflowPunct w:val="0"/>
        <w:autoSpaceDE w:val="0"/>
        <w:autoSpaceDN w:val="0"/>
        <w:adjustRightInd w:val="0"/>
        <w:jc w:val="both"/>
      </w:pPr>
      <w:r>
        <w:t>miernik pojemności skutecznej,</w:t>
      </w:r>
    </w:p>
    <w:p w:rsidR="00E3297D" w:rsidRDefault="00E3297D" w:rsidP="00E3297D">
      <w:pPr>
        <w:numPr>
          <w:ilvl w:val="0"/>
          <w:numId w:val="97"/>
        </w:numPr>
        <w:tabs>
          <w:tab w:val="left" w:pos="567"/>
        </w:tabs>
        <w:overflowPunct w:val="0"/>
        <w:autoSpaceDE w:val="0"/>
        <w:autoSpaceDN w:val="0"/>
        <w:adjustRightInd w:val="0"/>
        <w:jc w:val="both"/>
      </w:pPr>
      <w:r>
        <w:t xml:space="preserve">zespół prądnicowy jednofazowy do 2,5 </w:t>
      </w:r>
      <w:proofErr w:type="spellStart"/>
      <w:r>
        <w:t>kVA</w:t>
      </w:r>
      <w:proofErr w:type="spellEnd"/>
      <w:r>
        <w:t>,</w:t>
      </w:r>
    </w:p>
    <w:p w:rsidR="00E3297D" w:rsidRDefault="00E3297D" w:rsidP="00E3297D">
      <w:pPr>
        <w:numPr>
          <w:ilvl w:val="0"/>
          <w:numId w:val="97"/>
        </w:numPr>
        <w:tabs>
          <w:tab w:val="left" w:pos="567"/>
        </w:tabs>
        <w:overflowPunct w:val="0"/>
        <w:autoSpaceDE w:val="0"/>
        <w:autoSpaceDN w:val="0"/>
        <w:adjustRightInd w:val="0"/>
        <w:jc w:val="both"/>
      </w:pPr>
      <w:r>
        <w:t>próbnik wytrzymałości izolacji,</w:t>
      </w:r>
    </w:p>
    <w:p w:rsidR="00E3297D" w:rsidRDefault="00E3297D" w:rsidP="00E3297D">
      <w:pPr>
        <w:numPr>
          <w:ilvl w:val="0"/>
          <w:numId w:val="97"/>
        </w:numPr>
        <w:tabs>
          <w:tab w:val="left" w:pos="567"/>
        </w:tabs>
        <w:overflowPunct w:val="0"/>
        <w:autoSpaceDE w:val="0"/>
        <w:autoSpaceDN w:val="0"/>
        <w:adjustRightInd w:val="0"/>
        <w:jc w:val="both"/>
      </w:pPr>
      <w:r>
        <w:t>wzmacniacz heterodynowy,</w:t>
      </w:r>
    </w:p>
    <w:p w:rsidR="00E3297D" w:rsidRDefault="00E3297D" w:rsidP="00E3297D">
      <w:pPr>
        <w:numPr>
          <w:ilvl w:val="0"/>
          <w:numId w:val="97"/>
        </w:numPr>
        <w:tabs>
          <w:tab w:val="left" w:pos="567"/>
        </w:tabs>
        <w:overflowPunct w:val="0"/>
        <w:autoSpaceDE w:val="0"/>
        <w:autoSpaceDN w:val="0"/>
        <w:adjustRightInd w:val="0"/>
        <w:jc w:val="both"/>
      </w:pPr>
      <w:r>
        <w:t>miernik oporności pozornej,</w:t>
      </w:r>
    </w:p>
    <w:p w:rsidR="00E3297D" w:rsidRDefault="00E3297D" w:rsidP="00E3297D">
      <w:pPr>
        <w:numPr>
          <w:ilvl w:val="0"/>
          <w:numId w:val="97"/>
        </w:numPr>
        <w:tabs>
          <w:tab w:val="left" w:pos="567"/>
        </w:tabs>
        <w:overflowPunct w:val="0"/>
        <w:autoSpaceDE w:val="0"/>
        <w:autoSpaceDN w:val="0"/>
        <w:adjustRightInd w:val="0"/>
        <w:jc w:val="both"/>
      </w:pPr>
      <w:proofErr w:type="spellStart"/>
      <w:r>
        <w:t>poziomoskop</w:t>
      </w:r>
      <w:proofErr w:type="spellEnd"/>
      <w:r>
        <w:t>,</w:t>
      </w:r>
    </w:p>
    <w:p w:rsidR="00E3297D" w:rsidRDefault="00E3297D" w:rsidP="00E3297D">
      <w:pPr>
        <w:numPr>
          <w:ilvl w:val="0"/>
          <w:numId w:val="97"/>
        </w:numPr>
        <w:tabs>
          <w:tab w:val="left" w:pos="567"/>
        </w:tabs>
        <w:overflowPunct w:val="0"/>
        <w:autoSpaceDE w:val="0"/>
        <w:autoSpaceDN w:val="0"/>
        <w:adjustRightInd w:val="0"/>
        <w:jc w:val="both"/>
      </w:pPr>
      <w:r>
        <w:t>równoważnik nastawny,</w:t>
      </w:r>
    </w:p>
    <w:p w:rsidR="00E3297D" w:rsidRDefault="00E3297D" w:rsidP="00E3297D">
      <w:pPr>
        <w:numPr>
          <w:ilvl w:val="0"/>
          <w:numId w:val="97"/>
        </w:numPr>
        <w:tabs>
          <w:tab w:val="left" w:pos="567"/>
        </w:tabs>
        <w:overflowPunct w:val="0"/>
        <w:autoSpaceDE w:val="0"/>
        <w:autoSpaceDN w:val="0"/>
        <w:adjustRightInd w:val="0"/>
        <w:jc w:val="both"/>
      </w:pPr>
      <w:r>
        <w:t>transformator symetryczny,</w:t>
      </w:r>
    </w:p>
    <w:p w:rsidR="00E3297D" w:rsidRDefault="00E3297D" w:rsidP="00E3297D">
      <w:pPr>
        <w:numPr>
          <w:ilvl w:val="0"/>
          <w:numId w:val="97"/>
        </w:numPr>
        <w:tabs>
          <w:tab w:val="left" w:pos="567"/>
        </w:tabs>
        <w:overflowPunct w:val="0"/>
        <w:autoSpaceDE w:val="0"/>
        <w:autoSpaceDN w:val="0"/>
        <w:adjustRightInd w:val="0"/>
        <w:jc w:val="both"/>
      </w:pPr>
      <w:r>
        <w:t>wzmacniacz mocy,</w:t>
      </w:r>
    </w:p>
    <w:p w:rsidR="00E3297D" w:rsidRDefault="00E3297D" w:rsidP="00E3297D">
      <w:pPr>
        <w:numPr>
          <w:ilvl w:val="0"/>
          <w:numId w:val="97"/>
        </w:numPr>
        <w:tabs>
          <w:tab w:val="left" w:pos="567"/>
        </w:tabs>
        <w:overflowPunct w:val="0"/>
        <w:autoSpaceDE w:val="0"/>
        <w:autoSpaceDN w:val="0"/>
        <w:adjustRightInd w:val="0"/>
        <w:jc w:val="both"/>
      </w:pPr>
      <w:r>
        <w:t>oscyloskopowy miernik sprzężeń.</w:t>
      </w:r>
    </w:p>
    <w:p w:rsidR="00E3297D" w:rsidRDefault="00E3297D" w:rsidP="00E3297D">
      <w:pPr>
        <w:pStyle w:val="Nagwek1"/>
      </w:pPr>
      <w:bookmarkStart w:id="488" w:name="_Toc468518133"/>
      <w:r>
        <w:t>4. transport</w:t>
      </w:r>
      <w:bookmarkEnd w:id="488"/>
    </w:p>
    <w:p w:rsidR="00E3297D" w:rsidRDefault="00E3297D" w:rsidP="00E3297D">
      <w:pPr>
        <w:pStyle w:val="Nagwek2"/>
      </w:pPr>
      <w:r>
        <w:t>4.1. Wymagania ogólne</w:t>
      </w:r>
    </w:p>
    <w:p w:rsidR="00E3297D" w:rsidRDefault="00E3297D" w:rsidP="00E3297D">
      <w:r>
        <w:tab/>
        <w:t>Wykonawca jest obowiązany do stosowania jedynie takich środków transportu, które nie wpłyną niekorzystnie na jakość wykonywanych robót.</w:t>
      </w:r>
    </w:p>
    <w:p w:rsidR="00E3297D" w:rsidRDefault="00E3297D" w:rsidP="00E3297D">
      <w:r>
        <w:tab/>
        <w:t xml:space="preserve">Liczba środków transportu powinna gwarantować prowadzenie robót zgodnie z zasadami określonymi w dokumentacji projektowej, </w:t>
      </w:r>
      <w:r w:rsidR="00216C9A">
        <w:t>SST</w:t>
      </w:r>
      <w:r>
        <w:t>, SST i wskazaniach Inżyniera, w terminie przewidzianym kontraktem.</w:t>
      </w:r>
    </w:p>
    <w:p w:rsidR="00E3297D" w:rsidRDefault="00E3297D" w:rsidP="00E3297D">
      <w:pPr>
        <w:pStyle w:val="Nagwek2"/>
      </w:pPr>
      <w:r>
        <w:t>Transport materiałów i elementów</w:t>
      </w:r>
    </w:p>
    <w:p w:rsidR="00E3297D" w:rsidRDefault="00E3297D" w:rsidP="00E3297D">
      <w:r>
        <w:tab/>
        <w:t>Wykonawca przystępujący do przebudowy kablowych linii telekomunikacyjnych powinien wykazać się możliwością korzystania z następujących środków transportu, w zależności od zakresu robót:</w:t>
      </w:r>
    </w:p>
    <w:p w:rsidR="00E3297D" w:rsidRDefault="00E3297D" w:rsidP="00E3297D">
      <w:pPr>
        <w:numPr>
          <w:ilvl w:val="0"/>
          <w:numId w:val="97"/>
        </w:numPr>
        <w:overflowPunct w:val="0"/>
        <w:autoSpaceDE w:val="0"/>
        <w:autoSpaceDN w:val="0"/>
        <w:adjustRightInd w:val="0"/>
        <w:jc w:val="both"/>
      </w:pPr>
      <w:r>
        <w:t>samochód skrzyniowy,</w:t>
      </w:r>
    </w:p>
    <w:p w:rsidR="00E3297D" w:rsidRDefault="00E3297D" w:rsidP="00E3297D">
      <w:pPr>
        <w:numPr>
          <w:ilvl w:val="0"/>
          <w:numId w:val="97"/>
        </w:numPr>
        <w:overflowPunct w:val="0"/>
        <w:autoSpaceDE w:val="0"/>
        <w:autoSpaceDN w:val="0"/>
        <w:adjustRightInd w:val="0"/>
        <w:jc w:val="both"/>
      </w:pPr>
      <w:r>
        <w:t>samochód samowyładowczy,</w:t>
      </w:r>
    </w:p>
    <w:p w:rsidR="00E3297D" w:rsidRDefault="00E3297D" w:rsidP="00E3297D">
      <w:pPr>
        <w:numPr>
          <w:ilvl w:val="0"/>
          <w:numId w:val="97"/>
        </w:numPr>
        <w:overflowPunct w:val="0"/>
        <w:autoSpaceDE w:val="0"/>
        <w:autoSpaceDN w:val="0"/>
        <w:adjustRightInd w:val="0"/>
        <w:jc w:val="both"/>
      </w:pPr>
      <w:r>
        <w:t>samochód dostawczy,</w:t>
      </w:r>
    </w:p>
    <w:p w:rsidR="00E3297D" w:rsidRDefault="00E3297D" w:rsidP="00E3297D">
      <w:pPr>
        <w:numPr>
          <w:ilvl w:val="0"/>
          <w:numId w:val="97"/>
        </w:numPr>
        <w:overflowPunct w:val="0"/>
        <w:autoSpaceDE w:val="0"/>
        <w:autoSpaceDN w:val="0"/>
        <w:adjustRightInd w:val="0"/>
        <w:jc w:val="both"/>
      </w:pPr>
      <w:r>
        <w:t>przyczepa dłużycowa,</w:t>
      </w:r>
    </w:p>
    <w:p w:rsidR="00E3297D" w:rsidRDefault="00E3297D" w:rsidP="00E3297D">
      <w:pPr>
        <w:numPr>
          <w:ilvl w:val="0"/>
          <w:numId w:val="97"/>
        </w:numPr>
        <w:overflowPunct w:val="0"/>
        <w:autoSpaceDE w:val="0"/>
        <w:autoSpaceDN w:val="0"/>
        <w:adjustRightInd w:val="0"/>
        <w:jc w:val="both"/>
      </w:pPr>
      <w:r>
        <w:t>przyczepa do przewozu kabli,</w:t>
      </w:r>
    </w:p>
    <w:p w:rsidR="00E3297D" w:rsidRDefault="00E3297D" w:rsidP="00E3297D">
      <w:pPr>
        <w:numPr>
          <w:ilvl w:val="0"/>
          <w:numId w:val="97"/>
        </w:numPr>
        <w:overflowPunct w:val="0"/>
        <w:autoSpaceDE w:val="0"/>
        <w:autoSpaceDN w:val="0"/>
        <w:adjustRightInd w:val="0"/>
        <w:jc w:val="both"/>
      </w:pPr>
      <w:r>
        <w:t>przyczepa niskopodwoziowa.</w:t>
      </w:r>
    </w:p>
    <w:p w:rsidR="00E3297D" w:rsidRDefault="00E3297D" w:rsidP="00E3297D">
      <w:r>
        <w:tab/>
        <w:t>Na środkach transportu przewożone materiały i elementy powinny być zabezpieczone przed ich przemieszczaniem, układane zgodnie z warunkami transportu wydanymi przez wytwórcę dla poszczególnych elementów.</w:t>
      </w:r>
    </w:p>
    <w:p w:rsidR="00E3297D" w:rsidRDefault="00E3297D" w:rsidP="00E3297D">
      <w:pPr>
        <w:pStyle w:val="Nagwek1"/>
      </w:pPr>
      <w:bookmarkStart w:id="489" w:name="_Toc466861805"/>
      <w:bookmarkStart w:id="490" w:name="_Toc466435443"/>
      <w:bookmarkStart w:id="491" w:name="_Toc468518134"/>
      <w:r>
        <w:t xml:space="preserve">5. </w:t>
      </w:r>
      <w:bookmarkEnd w:id="489"/>
      <w:bookmarkEnd w:id="490"/>
      <w:r>
        <w:t>WYKONANIE ROBÓT</w:t>
      </w:r>
      <w:bookmarkEnd w:id="491"/>
    </w:p>
    <w:p w:rsidR="00E3297D" w:rsidRDefault="00E3297D" w:rsidP="00E3297D">
      <w:pPr>
        <w:pStyle w:val="Nagwek2"/>
      </w:pPr>
      <w:r>
        <w:t>5.1. Ogólne zasady wykonania robót</w:t>
      </w:r>
    </w:p>
    <w:p w:rsidR="00E3297D" w:rsidRDefault="00E3297D" w:rsidP="00E3297D">
      <w:r>
        <w:tab/>
        <w:t>Przy przebudowie i budowie dróg występujące kablowe linie telekomunikacyjne, które nie spełniają wymagań norm BN-73/8984-05 [8], BN-76/8984-17 [17], BN-88/8984-17/03 [38] i BN-89/8984-18 [42] podlegają przebudowie.</w:t>
      </w:r>
    </w:p>
    <w:p w:rsidR="00E3297D" w:rsidRDefault="00E3297D" w:rsidP="00E3297D">
      <w:pPr>
        <w:ind w:firstLine="709"/>
      </w:pPr>
      <w:r>
        <w:t>Technologia przebudowy uzależniona jest od warunków technicznych wydawanych przez użytkownika linii, który w sposób ogólny określa sposób przebudowy.</w:t>
      </w:r>
    </w:p>
    <w:p w:rsidR="00E3297D" w:rsidRDefault="00E3297D" w:rsidP="00E3297D">
      <w:pPr>
        <w:ind w:firstLine="709"/>
      </w:pPr>
      <w:r>
        <w:t>Jeżeli dokumentacja projektowa nie przewiduje inaczej, to kolizyjne kablowe linie telekomunikacyjne należy przebudować zachowując następującą kolejność robót:</w:t>
      </w:r>
    </w:p>
    <w:p w:rsidR="00E3297D" w:rsidRDefault="00E3297D" w:rsidP="00E3297D">
      <w:pPr>
        <w:numPr>
          <w:ilvl w:val="0"/>
          <w:numId w:val="97"/>
        </w:numPr>
        <w:overflowPunct w:val="0"/>
        <w:autoSpaceDE w:val="0"/>
        <w:autoSpaceDN w:val="0"/>
        <w:adjustRightInd w:val="0"/>
        <w:jc w:val="both"/>
      </w:pPr>
      <w:r>
        <w:t>wybudować nowy niekolidujący odcinek linii mający identyczne parametry techniczne jak linia istniejąca,</w:t>
      </w:r>
    </w:p>
    <w:p w:rsidR="00E3297D" w:rsidRDefault="00E3297D" w:rsidP="00E3297D">
      <w:pPr>
        <w:numPr>
          <w:ilvl w:val="0"/>
          <w:numId w:val="97"/>
        </w:numPr>
        <w:overflowPunct w:val="0"/>
        <w:autoSpaceDE w:val="0"/>
        <w:autoSpaceDN w:val="0"/>
        <w:adjustRightInd w:val="0"/>
        <w:jc w:val="both"/>
      </w:pPr>
      <w:r>
        <w:t>wykonać połączenie nowego odcinka linii z istniejącym poza obszarem kolizji z drogą, przy zachowaniu ciągłości pracy poszczególnych obwodów linii,</w:t>
      </w:r>
    </w:p>
    <w:p w:rsidR="00E3297D" w:rsidRDefault="00E3297D" w:rsidP="00E3297D">
      <w:pPr>
        <w:numPr>
          <w:ilvl w:val="0"/>
          <w:numId w:val="97"/>
        </w:numPr>
        <w:overflowPunct w:val="0"/>
        <w:autoSpaceDE w:val="0"/>
        <w:autoSpaceDN w:val="0"/>
        <w:adjustRightInd w:val="0"/>
      </w:pPr>
      <w:r>
        <w:t>zdemontować kolizyjny odcinek linii.</w:t>
      </w:r>
    </w:p>
    <w:p w:rsidR="00E3297D" w:rsidRDefault="00E3297D" w:rsidP="00E3297D">
      <w:r>
        <w:lastRenderedPageBreak/>
        <w:tab/>
        <w:t>Roboty należy wykonać zgodnie z normami i przepisami budowy, bezpieczeństwa i higieny pracy [53].</w:t>
      </w:r>
    </w:p>
    <w:p w:rsidR="00E3297D" w:rsidRDefault="00E3297D" w:rsidP="00E3297D">
      <w:r>
        <w:tab/>
        <w:t>Demontaż kolizyjnych odcinków kablowych linii telekomunikacyjnych należy wykonać zgodnie z dokumentacją projektową i SST oraz zaleceniami użytkownika tych urządzeń.</w:t>
      </w:r>
    </w:p>
    <w:p w:rsidR="00E3297D" w:rsidRDefault="00E3297D" w:rsidP="00E3297D">
      <w:r>
        <w:tab/>
        <w:t>Wykonawca ma obowiązek wykonania demontażu linii w taki sposób, aby demontowane elementy nie zostały zniszczone i znajdowały się w stanie poprzedzającym demontaż.</w:t>
      </w:r>
    </w:p>
    <w:p w:rsidR="00E3297D" w:rsidRDefault="00E3297D" w:rsidP="00E3297D">
      <w:r>
        <w:tab/>
        <w:t>W przypadku niemożności zdemontowania elementów bez ich uszkodzenia, Wykonawca powinien powiadomić o tym Inżyniera i uzyskać od niego zgodę na ich uszkodzenie lub zniszczenie.</w:t>
      </w:r>
    </w:p>
    <w:p w:rsidR="00E3297D" w:rsidRDefault="00E3297D" w:rsidP="00E3297D">
      <w:r>
        <w:t>W szczególnych przypadkach Wykonawca może pozostawić elementy linii bez demontażu, o ile uzyska na to zgodę Inżyniera.</w:t>
      </w:r>
    </w:p>
    <w:p w:rsidR="00E3297D" w:rsidRDefault="00E3297D" w:rsidP="00E3297D">
      <w:r>
        <w:tab/>
        <w:t>Wykopy powstałe po demontażu elementów linii powinny być zasypane zagęszczonym  gruntem i wyrównane do poziomu terenu. Wskaźnik zagęszczenia powinien być równy 0,85.</w:t>
      </w:r>
    </w:p>
    <w:p w:rsidR="00E3297D" w:rsidRDefault="00E3297D" w:rsidP="00E3297D">
      <w:r>
        <w:tab/>
        <w:t>Wykonawca przekaże nieodpłatnie użytkownikowi zdemontowane materiały.</w:t>
      </w:r>
    </w:p>
    <w:p w:rsidR="00E3297D" w:rsidRDefault="00E3297D" w:rsidP="00E3297D">
      <w:pPr>
        <w:numPr>
          <w:ilvl w:val="0"/>
          <w:numId w:val="105"/>
        </w:numPr>
        <w:overflowPunct w:val="0"/>
        <w:autoSpaceDE w:val="0"/>
        <w:autoSpaceDN w:val="0"/>
        <w:adjustRightInd w:val="0"/>
        <w:spacing w:before="120" w:after="120"/>
        <w:ind w:left="284" w:hanging="284"/>
        <w:jc w:val="both"/>
      </w:pPr>
      <w:r>
        <w:t>Kanalizacja teletechniczna</w:t>
      </w:r>
    </w:p>
    <w:p w:rsidR="00E3297D" w:rsidRDefault="00E3297D" w:rsidP="00E3297D">
      <w:pPr>
        <w:numPr>
          <w:ilvl w:val="0"/>
          <w:numId w:val="106"/>
        </w:numPr>
        <w:overflowPunct w:val="0"/>
        <w:autoSpaceDE w:val="0"/>
        <w:autoSpaceDN w:val="0"/>
        <w:adjustRightInd w:val="0"/>
        <w:spacing w:after="120"/>
        <w:ind w:left="284" w:hanging="284"/>
        <w:jc w:val="both"/>
      </w:pPr>
      <w:r>
        <w:t>Lokalizacja kanalizacji</w:t>
      </w:r>
    </w:p>
    <w:p w:rsidR="00E3297D" w:rsidRDefault="00E3297D" w:rsidP="00E3297D">
      <w:r>
        <w:tab/>
        <w:t>Wzdłuż dróg kanalizacja kablowa powinna być ułożona równolegle do osi drogi poza pasem drogowym lub za zgodą zarządu drogowego w pasie drogowym, zgodnie z ustawą nr 60 Rady Ministrów [54].</w:t>
      </w:r>
    </w:p>
    <w:p w:rsidR="00E3297D" w:rsidRDefault="00E3297D" w:rsidP="00E3297D">
      <w:pPr>
        <w:numPr>
          <w:ilvl w:val="0"/>
          <w:numId w:val="107"/>
        </w:numPr>
        <w:overflowPunct w:val="0"/>
        <w:autoSpaceDE w:val="0"/>
        <w:autoSpaceDN w:val="0"/>
        <w:adjustRightInd w:val="0"/>
        <w:spacing w:before="120" w:after="120"/>
        <w:ind w:left="284" w:hanging="284"/>
        <w:jc w:val="both"/>
      </w:pPr>
      <w:r>
        <w:t>Usytuowanie studni kablowych</w:t>
      </w:r>
    </w:p>
    <w:p w:rsidR="00E3297D" w:rsidRDefault="00E3297D" w:rsidP="00E3297D">
      <w:r>
        <w:tab/>
        <w:t>Studnie kablowe powinny być usytuowane w następujących miejscach kanalizacji:</w:t>
      </w:r>
    </w:p>
    <w:p w:rsidR="00E3297D" w:rsidRDefault="00E3297D" w:rsidP="00E3297D">
      <w:pPr>
        <w:numPr>
          <w:ilvl w:val="0"/>
          <w:numId w:val="108"/>
        </w:numPr>
        <w:overflowPunct w:val="0"/>
        <w:autoSpaceDE w:val="0"/>
        <w:autoSpaceDN w:val="0"/>
        <w:adjustRightInd w:val="0"/>
        <w:jc w:val="both"/>
      </w:pPr>
      <w:r>
        <w:t>na prostej trasie kanalizacji oraz w miejscach zmian poziomu kanalizacji - studnie przelotowe,</w:t>
      </w:r>
    </w:p>
    <w:p w:rsidR="00E3297D" w:rsidRDefault="00E3297D" w:rsidP="00E3297D">
      <w:pPr>
        <w:numPr>
          <w:ilvl w:val="0"/>
          <w:numId w:val="108"/>
        </w:numPr>
        <w:overflowPunct w:val="0"/>
        <w:autoSpaceDE w:val="0"/>
        <w:autoSpaceDN w:val="0"/>
        <w:adjustRightInd w:val="0"/>
        <w:jc w:val="both"/>
      </w:pPr>
      <w:r>
        <w:t>na załomach trasy - studnie narożne,</w:t>
      </w:r>
    </w:p>
    <w:p w:rsidR="00E3297D" w:rsidRDefault="00E3297D" w:rsidP="00E3297D">
      <w:pPr>
        <w:numPr>
          <w:ilvl w:val="0"/>
          <w:numId w:val="108"/>
        </w:numPr>
        <w:overflowPunct w:val="0"/>
        <w:autoSpaceDE w:val="0"/>
        <w:autoSpaceDN w:val="0"/>
        <w:adjustRightInd w:val="0"/>
        <w:jc w:val="both"/>
      </w:pPr>
      <w:r>
        <w:t xml:space="preserve">na </w:t>
      </w:r>
      <w:proofErr w:type="spellStart"/>
      <w:r>
        <w:t>odgałęzieniach</w:t>
      </w:r>
      <w:proofErr w:type="spellEnd"/>
      <w:r>
        <w:t xml:space="preserve"> kanalizacji - studnie odgałęźne,</w:t>
      </w:r>
    </w:p>
    <w:p w:rsidR="00E3297D" w:rsidRDefault="00E3297D" w:rsidP="00E3297D">
      <w:pPr>
        <w:numPr>
          <w:ilvl w:val="0"/>
          <w:numId w:val="108"/>
        </w:numPr>
        <w:overflowPunct w:val="0"/>
        <w:autoSpaceDE w:val="0"/>
        <w:autoSpaceDN w:val="0"/>
        <w:adjustRightInd w:val="0"/>
        <w:jc w:val="both"/>
      </w:pPr>
      <w:r>
        <w:t>przed szafkami kablowymi - studnie szafkowe,</w:t>
      </w:r>
    </w:p>
    <w:p w:rsidR="00E3297D" w:rsidRDefault="00E3297D" w:rsidP="00E3297D">
      <w:pPr>
        <w:numPr>
          <w:ilvl w:val="0"/>
          <w:numId w:val="108"/>
        </w:numPr>
        <w:overflowPunct w:val="0"/>
        <w:autoSpaceDE w:val="0"/>
        <w:autoSpaceDN w:val="0"/>
        <w:adjustRightInd w:val="0"/>
        <w:jc w:val="both"/>
      </w:pPr>
      <w:r>
        <w:t>na zakończeniach kanalizacji - studnie końcowe.</w:t>
      </w:r>
    </w:p>
    <w:p w:rsidR="00E3297D" w:rsidRDefault="00E3297D" w:rsidP="00E3297D">
      <w:pPr>
        <w:numPr>
          <w:ilvl w:val="0"/>
          <w:numId w:val="109"/>
        </w:numPr>
        <w:overflowPunct w:val="0"/>
        <w:autoSpaceDE w:val="0"/>
        <w:autoSpaceDN w:val="0"/>
        <w:adjustRightInd w:val="0"/>
        <w:spacing w:before="120" w:after="120"/>
        <w:ind w:left="284" w:hanging="284"/>
        <w:jc w:val="both"/>
      </w:pPr>
      <w:r>
        <w:t>Długość przelotów między studniami</w:t>
      </w:r>
    </w:p>
    <w:p w:rsidR="00E3297D" w:rsidRDefault="00E3297D" w:rsidP="00E3297D">
      <w:r>
        <w:tab/>
        <w:t>Długość przelotów między sąsiednimi studniami nie powinna przekraczać:</w:t>
      </w:r>
    </w:p>
    <w:p w:rsidR="00E3297D" w:rsidRDefault="00E3297D" w:rsidP="00E3297D">
      <w:pPr>
        <w:numPr>
          <w:ilvl w:val="0"/>
          <w:numId w:val="110"/>
        </w:numPr>
        <w:overflowPunct w:val="0"/>
        <w:autoSpaceDE w:val="0"/>
        <w:autoSpaceDN w:val="0"/>
        <w:adjustRightInd w:val="0"/>
        <w:jc w:val="both"/>
      </w:pPr>
      <w:r>
        <w:t>120 m między studniami magistralnymi dla kanalizacji z rur stalowych lub bloków betonowych,</w:t>
      </w:r>
    </w:p>
    <w:p w:rsidR="00E3297D" w:rsidRDefault="00E3297D" w:rsidP="00E3297D">
      <w:pPr>
        <w:numPr>
          <w:ilvl w:val="0"/>
          <w:numId w:val="110"/>
        </w:numPr>
        <w:overflowPunct w:val="0"/>
        <w:autoSpaceDE w:val="0"/>
        <w:autoSpaceDN w:val="0"/>
        <w:adjustRightInd w:val="0"/>
        <w:jc w:val="both"/>
      </w:pPr>
      <w:r>
        <w:t>150 m między studniami magistralnymi dla kanalizacji z rur PCW,</w:t>
      </w:r>
    </w:p>
    <w:p w:rsidR="00E3297D" w:rsidRDefault="00E3297D" w:rsidP="00E3297D">
      <w:pPr>
        <w:numPr>
          <w:ilvl w:val="0"/>
          <w:numId w:val="110"/>
        </w:numPr>
        <w:overflowPunct w:val="0"/>
        <w:autoSpaceDE w:val="0"/>
        <w:autoSpaceDN w:val="0"/>
        <w:adjustRightInd w:val="0"/>
        <w:jc w:val="both"/>
      </w:pPr>
      <w:r>
        <w:t>100 m między studniami rozdzielczymi SK2 dla kanalizacji z rur stalowych lub bloków betonowych,</w:t>
      </w:r>
    </w:p>
    <w:p w:rsidR="00E3297D" w:rsidRDefault="00E3297D" w:rsidP="00E3297D">
      <w:pPr>
        <w:numPr>
          <w:ilvl w:val="0"/>
          <w:numId w:val="110"/>
        </w:numPr>
        <w:overflowPunct w:val="0"/>
        <w:autoSpaceDE w:val="0"/>
        <w:autoSpaceDN w:val="0"/>
        <w:adjustRightInd w:val="0"/>
        <w:jc w:val="both"/>
      </w:pPr>
      <w:r>
        <w:t>120 m między studniami rozdzielczymi SK2 dla kanalizacji z rur PCW,</w:t>
      </w:r>
    </w:p>
    <w:p w:rsidR="00E3297D" w:rsidRDefault="00E3297D" w:rsidP="00E3297D">
      <w:pPr>
        <w:numPr>
          <w:ilvl w:val="0"/>
          <w:numId w:val="110"/>
        </w:numPr>
        <w:overflowPunct w:val="0"/>
        <w:autoSpaceDE w:val="0"/>
        <w:autoSpaceDN w:val="0"/>
        <w:adjustRightInd w:val="0"/>
        <w:jc w:val="both"/>
      </w:pPr>
      <w:r>
        <w:t>50 m między studniami rozdzielczymi SK2 i SK1 dla kanalizacji z rur stalowych i bloków betonowych,</w:t>
      </w:r>
    </w:p>
    <w:p w:rsidR="00E3297D" w:rsidRDefault="00E3297D" w:rsidP="00E3297D">
      <w:pPr>
        <w:numPr>
          <w:ilvl w:val="0"/>
          <w:numId w:val="110"/>
        </w:numPr>
        <w:overflowPunct w:val="0"/>
        <w:autoSpaceDE w:val="0"/>
        <w:autoSpaceDN w:val="0"/>
        <w:adjustRightInd w:val="0"/>
        <w:jc w:val="both"/>
      </w:pPr>
      <w:r>
        <w:t>70 m między studniami rozdzielczymi SK2 i SK1 dla kanalizacji z rur PCW.</w:t>
      </w:r>
    </w:p>
    <w:p w:rsidR="00E3297D" w:rsidRDefault="00E3297D" w:rsidP="00E3297D">
      <w:pPr>
        <w:numPr>
          <w:ilvl w:val="0"/>
          <w:numId w:val="111"/>
        </w:numPr>
        <w:overflowPunct w:val="0"/>
        <w:autoSpaceDE w:val="0"/>
        <w:autoSpaceDN w:val="0"/>
        <w:adjustRightInd w:val="0"/>
        <w:spacing w:before="120" w:after="120"/>
        <w:ind w:left="284" w:hanging="284"/>
        <w:jc w:val="both"/>
      </w:pPr>
      <w:r>
        <w:t>Głębokość ułożenia kanalizacji</w:t>
      </w:r>
    </w:p>
    <w:p w:rsidR="00E3297D" w:rsidRDefault="00E3297D" w:rsidP="00E3297D">
      <w:r>
        <w:tab/>
        <w:t>Głębokość ułożenia kanalizacji powinna być taka, aby najmniejsze pokrycie liczone od poziomu terenu lub chodnika do górnej powierzchni kanalizacji wynosiło:</w:t>
      </w:r>
    </w:p>
    <w:p w:rsidR="00E3297D" w:rsidRDefault="00E3297D" w:rsidP="00E3297D">
      <w:pPr>
        <w:numPr>
          <w:ilvl w:val="0"/>
          <w:numId w:val="112"/>
        </w:numPr>
        <w:overflowPunct w:val="0"/>
        <w:autoSpaceDE w:val="0"/>
        <w:autoSpaceDN w:val="0"/>
        <w:adjustRightInd w:val="0"/>
        <w:jc w:val="both"/>
      </w:pPr>
      <w:r>
        <w:t>0,7 m dla kanalizacji magistralnej,</w:t>
      </w:r>
    </w:p>
    <w:p w:rsidR="00E3297D" w:rsidRDefault="00E3297D" w:rsidP="00E3297D">
      <w:pPr>
        <w:numPr>
          <w:ilvl w:val="0"/>
          <w:numId w:val="112"/>
        </w:numPr>
        <w:overflowPunct w:val="0"/>
        <w:autoSpaceDE w:val="0"/>
        <w:autoSpaceDN w:val="0"/>
        <w:adjustRightInd w:val="0"/>
        <w:jc w:val="both"/>
      </w:pPr>
      <w:r>
        <w:t>0,6 m dla kanalizacji rozdzielczej 2-otworowej,</w:t>
      </w:r>
    </w:p>
    <w:p w:rsidR="00E3297D" w:rsidRDefault="00E3297D" w:rsidP="00E3297D">
      <w:pPr>
        <w:numPr>
          <w:ilvl w:val="0"/>
          <w:numId w:val="112"/>
        </w:numPr>
        <w:overflowPunct w:val="0"/>
        <w:autoSpaceDE w:val="0"/>
        <w:autoSpaceDN w:val="0"/>
        <w:adjustRightInd w:val="0"/>
        <w:jc w:val="both"/>
      </w:pPr>
      <w:r>
        <w:t>0,5 m dla kanalizacji rozdzielczej 1-otworowej.</w:t>
      </w:r>
    </w:p>
    <w:p w:rsidR="00E3297D" w:rsidRDefault="00E3297D" w:rsidP="00E3297D">
      <w:r>
        <w:tab/>
        <w:t>Przy przejściach pod jezdnią głębokość ułożenia kanalizacji powinna być taka, aby odległość od nawierzchni nie była mniejsza od 0,8 m. W przypadkach uwarunkowanych trudnościami technicznymi dopuszcza się zmniejszenie głębokości ułożenia kanalizacji do 0,4 m jeśli jest zbudowana z rur PCW i 0,2 m jeśli jest zbudowana z bloków betonowych.</w:t>
      </w:r>
    </w:p>
    <w:p w:rsidR="00E3297D" w:rsidRDefault="00E3297D" w:rsidP="00E3297D">
      <w:pPr>
        <w:numPr>
          <w:ilvl w:val="0"/>
          <w:numId w:val="113"/>
        </w:numPr>
        <w:overflowPunct w:val="0"/>
        <w:autoSpaceDE w:val="0"/>
        <w:autoSpaceDN w:val="0"/>
        <w:adjustRightInd w:val="0"/>
        <w:spacing w:after="120"/>
        <w:ind w:left="284" w:hanging="284"/>
        <w:jc w:val="both"/>
      </w:pPr>
      <w:r>
        <w:t>Prostoliniowość przebiegu</w:t>
      </w:r>
    </w:p>
    <w:p w:rsidR="00E3297D" w:rsidRDefault="00E3297D" w:rsidP="00E3297D">
      <w:r>
        <w:tab/>
        <w:t>Kanalizacja powinna, na odcinkach między sąsiednimi studniami, przebiegać po linii prostej.</w:t>
      </w:r>
    </w:p>
    <w:p w:rsidR="00E3297D" w:rsidRDefault="00E3297D" w:rsidP="00E3297D">
      <w:r>
        <w:tab/>
        <w:t>Dopuszczalne odchylenia osi kanalizacji z bloków betonowych od linii prostej wynoszą:</w:t>
      </w:r>
    </w:p>
    <w:p w:rsidR="00E3297D" w:rsidRDefault="00E3297D" w:rsidP="00E3297D">
      <w:pPr>
        <w:numPr>
          <w:ilvl w:val="0"/>
          <w:numId w:val="114"/>
        </w:numPr>
        <w:overflowPunct w:val="0"/>
        <w:autoSpaceDE w:val="0"/>
        <w:autoSpaceDN w:val="0"/>
        <w:adjustRightInd w:val="0"/>
        <w:jc w:val="both"/>
      </w:pPr>
      <w:r>
        <w:t>3 cm przy przelocie między studniami do 30 m,</w:t>
      </w:r>
    </w:p>
    <w:p w:rsidR="00E3297D" w:rsidRDefault="00E3297D" w:rsidP="00E3297D">
      <w:pPr>
        <w:numPr>
          <w:ilvl w:val="0"/>
          <w:numId w:val="114"/>
        </w:numPr>
        <w:overflowPunct w:val="0"/>
        <w:autoSpaceDE w:val="0"/>
        <w:autoSpaceDN w:val="0"/>
        <w:adjustRightInd w:val="0"/>
        <w:jc w:val="both"/>
      </w:pPr>
      <w:r>
        <w:t>5 cm przy przelocie między studniami od 30 do 50 m,</w:t>
      </w:r>
    </w:p>
    <w:p w:rsidR="00E3297D" w:rsidRDefault="00E3297D" w:rsidP="00E3297D">
      <w:pPr>
        <w:numPr>
          <w:ilvl w:val="0"/>
          <w:numId w:val="114"/>
        </w:numPr>
        <w:overflowPunct w:val="0"/>
        <w:autoSpaceDE w:val="0"/>
        <w:autoSpaceDN w:val="0"/>
        <w:adjustRightInd w:val="0"/>
        <w:jc w:val="both"/>
      </w:pPr>
      <w:r>
        <w:t>7 cm przy przelotach między studniami od 50 do 75 m,</w:t>
      </w:r>
    </w:p>
    <w:p w:rsidR="00E3297D" w:rsidRDefault="00E3297D" w:rsidP="00E3297D">
      <w:pPr>
        <w:numPr>
          <w:ilvl w:val="0"/>
          <w:numId w:val="114"/>
        </w:numPr>
        <w:overflowPunct w:val="0"/>
        <w:autoSpaceDE w:val="0"/>
        <w:autoSpaceDN w:val="0"/>
        <w:adjustRightInd w:val="0"/>
        <w:jc w:val="both"/>
      </w:pPr>
      <w:r>
        <w:t>10 cm przy przelotach między studniami od 75 do 100 m,</w:t>
      </w:r>
    </w:p>
    <w:p w:rsidR="00E3297D" w:rsidRDefault="00E3297D" w:rsidP="00E3297D">
      <w:pPr>
        <w:numPr>
          <w:ilvl w:val="0"/>
          <w:numId w:val="114"/>
        </w:numPr>
        <w:overflowPunct w:val="0"/>
        <w:autoSpaceDE w:val="0"/>
        <w:autoSpaceDN w:val="0"/>
        <w:adjustRightInd w:val="0"/>
        <w:jc w:val="both"/>
      </w:pPr>
      <w:r>
        <w:t>12 cm przy przelotach między studniami od 100 do 120 m.</w:t>
      </w:r>
    </w:p>
    <w:p w:rsidR="00E3297D" w:rsidRDefault="00E3297D" w:rsidP="00E3297D">
      <w:r>
        <w:tab/>
        <w:t>Dopuszczalne odchylenia osi kanalizacji od linii prostej dotyczą miejsc, w których konieczne jest ominięcie przeszkód terenowych.</w:t>
      </w:r>
    </w:p>
    <w:p w:rsidR="00E3297D" w:rsidRDefault="00E3297D" w:rsidP="00E3297D">
      <w:r>
        <w:tab/>
        <w:t>W celu ominięcia przeszkód ciągi kanalizacji z rur PCW mogą być wygięte tak, aby promień wygięcia nie był mniejszy od 6 m.</w:t>
      </w:r>
    </w:p>
    <w:p w:rsidR="00E3297D" w:rsidRDefault="00E3297D" w:rsidP="00E3297D">
      <w:pPr>
        <w:numPr>
          <w:ilvl w:val="0"/>
          <w:numId w:val="115"/>
        </w:numPr>
        <w:overflowPunct w:val="0"/>
        <w:autoSpaceDE w:val="0"/>
        <w:autoSpaceDN w:val="0"/>
        <w:adjustRightInd w:val="0"/>
        <w:spacing w:before="120" w:after="120"/>
        <w:ind w:left="284" w:hanging="284"/>
        <w:jc w:val="both"/>
      </w:pPr>
      <w:r>
        <w:t>Spadek kanalizacji</w:t>
      </w:r>
    </w:p>
    <w:p w:rsidR="00E3297D" w:rsidRDefault="00E3297D" w:rsidP="00E3297D">
      <w:r>
        <w:lastRenderedPageBreak/>
        <w:tab/>
        <w:t>Kanalizacja powinna być układana ze spadkiem od 1 do 3%. Przy wprowadzaniu do komór kablowych spadek można zwiększyć do 2%, a do budynków do 5%.</w:t>
      </w:r>
    </w:p>
    <w:p w:rsidR="00E3297D" w:rsidRDefault="00E3297D" w:rsidP="00E3297D">
      <w:pPr>
        <w:numPr>
          <w:ilvl w:val="0"/>
          <w:numId w:val="116"/>
        </w:numPr>
        <w:overflowPunct w:val="0"/>
        <w:autoSpaceDE w:val="0"/>
        <w:autoSpaceDN w:val="0"/>
        <w:adjustRightInd w:val="0"/>
        <w:spacing w:before="120" w:after="120"/>
        <w:ind w:left="284" w:hanging="284"/>
        <w:jc w:val="both"/>
      </w:pPr>
      <w:r>
        <w:t>Ciągi kanalizacji</w:t>
      </w:r>
    </w:p>
    <w:p w:rsidR="00E3297D" w:rsidRDefault="00E3297D" w:rsidP="00E3297D">
      <w:pPr>
        <w:numPr>
          <w:ilvl w:val="0"/>
          <w:numId w:val="117"/>
        </w:numPr>
        <w:overflowPunct w:val="0"/>
        <w:autoSpaceDE w:val="0"/>
        <w:autoSpaceDN w:val="0"/>
        <w:adjustRightInd w:val="0"/>
        <w:spacing w:after="120"/>
        <w:ind w:left="284" w:hanging="284"/>
        <w:jc w:val="both"/>
      </w:pPr>
      <w:r>
        <w:t>Wymagania ogólne</w:t>
      </w:r>
    </w:p>
    <w:p w:rsidR="00E3297D" w:rsidRDefault="00E3297D" w:rsidP="00E3297D">
      <w:pPr>
        <w:ind w:firstLine="709"/>
      </w:pPr>
      <w:r>
        <w:t>Ilość otworów kanalizacji powinna być ustalona w uzgodnieniu z urzędem telekomunikacyjnym odpowiednim dla danego terenu.</w:t>
      </w:r>
    </w:p>
    <w:p w:rsidR="00E3297D" w:rsidRDefault="00E3297D" w:rsidP="00E3297D">
      <w:pPr>
        <w:numPr>
          <w:ilvl w:val="0"/>
          <w:numId w:val="118"/>
        </w:numPr>
        <w:overflowPunct w:val="0"/>
        <w:autoSpaceDE w:val="0"/>
        <w:autoSpaceDN w:val="0"/>
        <w:adjustRightInd w:val="0"/>
        <w:spacing w:before="120" w:after="120"/>
        <w:ind w:left="284" w:hanging="284"/>
        <w:jc w:val="both"/>
      </w:pPr>
      <w:r>
        <w:t>Zestawy z bloków betonowych</w:t>
      </w:r>
    </w:p>
    <w:p w:rsidR="00E3297D" w:rsidRDefault="00E3297D" w:rsidP="00E3297D">
      <w:r>
        <w:tab/>
        <w:t>Do zestawów kanalizacji z bloków betonowych należy stosować bloki betonowe wg BN-74/3233-15 [5].</w:t>
      </w:r>
    </w:p>
    <w:p w:rsidR="00E3297D" w:rsidRDefault="00E3297D" w:rsidP="00E3297D">
      <w:pPr>
        <w:numPr>
          <w:ilvl w:val="0"/>
          <w:numId w:val="119"/>
        </w:numPr>
        <w:overflowPunct w:val="0"/>
        <w:autoSpaceDE w:val="0"/>
        <w:autoSpaceDN w:val="0"/>
        <w:adjustRightInd w:val="0"/>
        <w:spacing w:before="120" w:after="120"/>
        <w:ind w:left="284" w:hanging="284"/>
        <w:jc w:val="both"/>
      </w:pPr>
      <w:r>
        <w:t>Zestawy z rur PCW</w:t>
      </w:r>
    </w:p>
    <w:p w:rsidR="00E3297D" w:rsidRDefault="00E3297D" w:rsidP="00E3297D">
      <w:r>
        <w:tab/>
        <w:t xml:space="preserve">Do zestawów kanalizacji z rur PCW należy stosować rury z </w:t>
      </w:r>
      <w:proofErr w:type="spellStart"/>
      <w:r>
        <w:t>nieplastyfikowanego</w:t>
      </w:r>
      <w:proofErr w:type="spellEnd"/>
      <w:r>
        <w:t xml:space="preserve"> polichlorku winylu o średnicy 120 mm (110 mm) i grubościach ścianek nie mniejszych od      2 mm wg BN-80/C-89203 [6].</w:t>
      </w:r>
    </w:p>
    <w:p w:rsidR="00E3297D" w:rsidRDefault="00E3297D" w:rsidP="00E3297D">
      <w:pPr>
        <w:numPr>
          <w:ilvl w:val="0"/>
          <w:numId w:val="120"/>
        </w:numPr>
        <w:overflowPunct w:val="0"/>
        <w:autoSpaceDE w:val="0"/>
        <w:autoSpaceDN w:val="0"/>
        <w:adjustRightInd w:val="0"/>
        <w:spacing w:before="120" w:after="120"/>
        <w:ind w:left="284" w:hanging="284"/>
        <w:jc w:val="both"/>
      </w:pPr>
      <w:r>
        <w:t>Roboty ziemne</w:t>
      </w:r>
    </w:p>
    <w:p w:rsidR="00E3297D" w:rsidRDefault="00E3297D" w:rsidP="00E3297D">
      <w:pPr>
        <w:numPr>
          <w:ilvl w:val="0"/>
          <w:numId w:val="121"/>
        </w:numPr>
        <w:overflowPunct w:val="0"/>
        <w:autoSpaceDE w:val="0"/>
        <w:autoSpaceDN w:val="0"/>
        <w:adjustRightInd w:val="0"/>
        <w:spacing w:after="120"/>
        <w:ind w:left="284" w:hanging="284"/>
        <w:jc w:val="both"/>
      </w:pPr>
      <w:r>
        <w:t>Trasa kanalizacji</w:t>
      </w:r>
    </w:p>
    <w:p w:rsidR="00E3297D" w:rsidRDefault="00E3297D" w:rsidP="00E3297D">
      <w:r>
        <w:tab/>
        <w:t>Wytyczona w terenie trasa kanalizacji kablowej powinna być zgodna z podaną w dokumentacji projektowej.</w:t>
      </w:r>
    </w:p>
    <w:p w:rsidR="00E3297D" w:rsidRDefault="00E3297D" w:rsidP="00E3297D">
      <w:pPr>
        <w:numPr>
          <w:ilvl w:val="0"/>
          <w:numId w:val="122"/>
        </w:numPr>
        <w:overflowPunct w:val="0"/>
        <w:autoSpaceDE w:val="0"/>
        <w:autoSpaceDN w:val="0"/>
        <w:adjustRightInd w:val="0"/>
        <w:spacing w:before="120" w:after="120"/>
        <w:ind w:left="284" w:hanging="284"/>
        <w:jc w:val="both"/>
      </w:pPr>
      <w:r>
        <w:t>Głębokość wykopów</w:t>
      </w:r>
    </w:p>
    <w:p w:rsidR="00E3297D" w:rsidRDefault="00E3297D" w:rsidP="00E3297D">
      <w:pPr>
        <w:ind w:firstLine="709"/>
      </w:pPr>
      <w:r>
        <w:t>Głębokości wykopów podane są w tablicy 3 normy BN-73/8984-05 [8]. W przypadkach przewidywanej rozbudowy kanalizacji wykopy powinny być odpowiednio głębsze.</w:t>
      </w:r>
    </w:p>
    <w:p w:rsidR="00E3297D" w:rsidRDefault="00E3297D" w:rsidP="00E3297D">
      <w:pPr>
        <w:numPr>
          <w:ilvl w:val="0"/>
          <w:numId w:val="123"/>
        </w:numPr>
        <w:overflowPunct w:val="0"/>
        <w:autoSpaceDE w:val="0"/>
        <w:autoSpaceDN w:val="0"/>
        <w:adjustRightInd w:val="0"/>
        <w:spacing w:after="120"/>
        <w:ind w:left="284" w:hanging="284"/>
        <w:jc w:val="both"/>
      </w:pPr>
      <w:r>
        <w:t>Szerokość wykopów</w:t>
      </w:r>
    </w:p>
    <w:p w:rsidR="00E3297D" w:rsidRDefault="00E3297D" w:rsidP="00E3297D">
      <w:r>
        <w:tab/>
        <w:t>Szerokości wykopów podane są w tablicy 4 normy BN-73/8984-05 [8].</w:t>
      </w:r>
    </w:p>
    <w:p w:rsidR="00E3297D" w:rsidRDefault="00E3297D" w:rsidP="00E3297D">
      <w:pPr>
        <w:numPr>
          <w:ilvl w:val="0"/>
          <w:numId w:val="124"/>
        </w:numPr>
        <w:overflowPunct w:val="0"/>
        <w:autoSpaceDE w:val="0"/>
        <w:autoSpaceDN w:val="0"/>
        <w:adjustRightInd w:val="0"/>
        <w:spacing w:before="120" w:after="120"/>
        <w:ind w:left="284" w:hanging="284"/>
        <w:jc w:val="both"/>
      </w:pPr>
      <w:r>
        <w:t>Przygotowanie wykopów</w:t>
      </w:r>
    </w:p>
    <w:p w:rsidR="00E3297D" w:rsidRDefault="00E3297D" w:rsidP="00E3297D">
      <w:r>
        <w:tab/>
        <w:t>Wykopy powinny być tak przygotowane, aby spełniały wymagania podane w punkcie 5.9 normy BN-73/8984-05 [8]. Ściany wykopów powinny być pochyłe.</w:t>
      </w:r>
    </w:p>
    <w:p w:rsidR="00E3297D" w:rsidRDefault="00E3297D" w:rsidP="00E3297D">
      <w:pPr>
        <w:numPr>
          <w:ilvl w:val="0"/>
          <w:numId w:val="125"/>
        </w:numPr>
        <w:overflowPunct w:val="0"/>
        <w:autoSpaceDE w:val="0"/>
        <w:autoSpaceDN w:val="0"/>
        <w:adjustRightInd w:val="0"/>
        <w:spacing w:before="120" w:after="120"/>
        <w:ind w:left="284" w:hanging="284"/>
        <w:jc w:val="both"/>
      </w:pPr>
      <w:r>
        <w:t>Wyrównanie i wzmocnienie dna wykopu</w:t>
      </w:r>
    </w:p>
    <w:p w:rsidR="00E3297D" w:rsidRDefault="00E3297D" w:rsidP="00E3297D">
      <w:r>
        <w:tab/>
        <w:t>Przed ułożeniem kanalizacji dno wykopu powinno być wyrównane i ukształtowane ze spadkiem zgodnie z wymaganiami pkt 3.6 normy BN-73/8984-05 [8]. W gruntach mało spoistych na dno wykopu należy ułożyć ławę z betonu kl. B20 o grubości co najmniej           10 cm.</w:t>
      </w:r>
    </w:p>
    <w:p w:rsidR="00E3297D" w:rsidRDefault="00E3297D" w:rsidP="00E3297D">
      <w:pPr>
        <w:numPr>
          <w:ilvl w:val="0"/>
          <w:numId w:val="126"/>
        </w:numPr>
        <w:overflowPunct w:val="0"/>
        <w:autoSpaceDE w:val="0"/>
        <w:autoSpaceDN w:val="0"/>
        <w:adjustRightInd w:val="0"/>
        <w:spacing w:before="120" w:after="120"/>
        <w:ind w:left="284" w:hanging="284"/>
        <w:jc w:val="both"/>
      </w:pPr>
      <w:r>
        <w:t>Układanie ciągów kanalizacji</w:t>
      </w:r>
    </w:p>
    <w:p w:rsidR="00E3297D" w:rsidRDefault="00E3297D" w:rsidP="00E3297D">
      <w:pPr>
        <w:numPr>
          <w:ilvl w:val="0"/>
          <w:numId w:val="127"/>
        </w:numPr>
        <w:overflowPunct w:val="0"/>
        <w:autoSpaceDE w:val="0"/>
        <w:autoSpaceDN w:val="0"/>
        <w:adjustRightInd w:val="0"/>
        <w:spacing w:after="120"/>
        <w:ind w:left="284" w:hanging="284"/>
        <w:jc w:val="both"/>
      </w:pPr>
      <w:r>
        <w:t>Układanie bloków betonowych</w:t>
      </w:r>
    </w:p>
    <w:p w:rsidR="00E3297D" w:rsidRDefault="00E3297D" w:rsidP="00E3297D">
      <w:r>
        <w:tab/>
        <w:t xml:space="preserve">Układane bloki betonowe powinny być oczyszczone. Na odcinku od studni do studni bloki powinny być układane bez załamań i </w:t>
      </w:r>
      <w:proofErr w:type="spellStart"/>
      <w:r>
        <w:t>wyboczeń</w:t>
      </w:r>
      <w:proofErr w:type="spellEnd"/>
      <w:r>
        <w:t xml:space="preserve"> w pionie i poziomie. Miejsce styków bloków, po połączeniu ich kołkami stalowymi z pręta o średnicy 8 mm, powinny być polane wodą i pokryte zaprawą z betonu kl. B20 szerokości około 10 cm i grubości co najmniej 2 cm.</w:t>
      </w:r>
    </w:p>
    <w:p w:rsidR="00E3297D" w:rsidRDefault="00E3297D" w:rsidP="00E3297D">
      <w:r>
        <w:tab/>
        <w:t>Po zestawieniu dwóch kolejnych bloków powinna być sprawdzona współosiowość obu bloków za pomocą sprawdzianu wg BN-76/3238-13 [9].</w:t>
      </w:r>
    </w:p>
    <w:p w:rsidR="00E3297D" w:rsidRDefault="00E3297D" w:rsidP="00E3297D">
      <w:pPr>
        <w:numPr>
          <w:ilvl w:val="0"/>
          <w:numId w:val="128"/>
        </w:numPr>
        <w:overflowPunct w:val="0"/>
        <w:autoSpaceDE w:val="0"/>
        <w:autoSpaceDN w:val="0"/>
        <w:adjustRightInd w:val="0"/>
        <w:spacing w:before="120" w:after="120"/>
        <w:ind w:left="284" w:hanging="284"/>
        <w:jc w:val="both"/>
      </w:pPr>
      <w:r>
        <w:t>Układanie rur PCW</w:t>
      </w:r>
    </w:p>
    <w:p w:rsidR="00E3297D" w:rsidRDefault="00E3297D" w:rsidP="00E3297D">
      <w:r>
        <w:tab/>
        <w:t>Z pojedynczych rur PCW należy tworzyć zestawy kanalizacji wg ustalonych z urzędem telekomunikacyjnym ilości otworów w warstwach.</w:t>
      </w:r>
    </w:p>
    <w:p w:rsidR="00E3297D" w:rsidRDefault="00E3297D" w:rsidP="00E3297D">
      <w:r>
        <w:tab/>
        <w:t>Odległości pomiędzy poszczególnymi rurami w warstwie nie powinny być mniejsze od 2 cm, a między warstwami od 3 cm. Na przygotowane dno wykopu należy ułożyć jedną lub kilka rur w jednej warstwie. W przypadku układania następnych warstw, ułożoną warstwę rur należy zasypać piaskiem lub przesianym gruntem, wyrównać i ubijać ubijakiem mechanicznym.</w:t>
      </w:r>
    </w:p>
    <w:p w:rsidR="00E3297D" w:rsidRDefault="00E3297D" w:rsidP="00E3297D">
      <w:pPr>
        <w:numPr>
          <w:ilvl w:val="0"/>
          <w:numId w:val="129"/>
        </w:numPr>
        <w:overflowPunct w:val="0"/>
        <w:autoSpaceDE w:val="0"/>
        <w:autoSpaceDN w:val="0"/>
        <w:adjustRightInd w:val="0"/>
        <w:spacing w:before="120" w:after="120"/>
        <w:ind w:left="284" w:hanging="284"/>
        <w:jc w:val="both"/>
      </w:pPr>
      <w:r>
        <w:t>Zasypywanie kanalizacji</w:t>
      </w:r>
    </w:p>
    <w:p w:rsidR="00E3297D" w:rsidRDefault="00E3297D" w:rsidP="00E3297D">
      <w:pPr>
        <w:numPr>
          <w:ilvl w:val="0"/>
          <w:numId w:val="130"/>
        </w:numPr>
        <w:overflowPunct w:val="0"/>
        <w:autoSpaceDE w:val="0"/>
        <w:autoSpaceDN w:val="0"/>
        <w:adjustRightInd w:val="0"/>
        <w:spacing w:after="120"/>
        <w:ind w:left="284" w:hanging="284"/>
        <w:jc w:val="both"/>
      </w:pPr>
      <w:r>
        <w:t>Zasypywanie kanalizacji z bloków betonowych</w:t>
      </w:r>
    </w:p>
    <w:p w:rsidR="00E3297D" w:rsidRDefault="00E3297D" w:rsidP="00E3297D">
      <w:r>
        <w:tab/>
        <w:t>Zasypywanie ciągów kanalizacji z bloków betonowych należy rozpoczynać od zasypania przestrzeni między ściankami wykopu i bocznymi ściankami bloków piaskiem lub rozkruszonym gruntem.</w:t>
      </w:r>
    </w:p>
    <w:p w:rsidR="00E3297D" w:rsidRDefault="00E3297D" w:rsidP="00E3297D">
      <w:r>
        <w:lastRenderedPageBreak/>
        <w:tab/>
        <w:t>Następne bloki powinny być zasypane rozdrobnionym gruntem w warstwie o grubości około 10 cm bez ubijania, a z kolei warstwami rodzimego gruntu o grubości po około 20 cm ubijając każdą warstwę ubijakami mechanicznymi.</w:t>
      </w:r>
    </w:p>
    <w:p w:rsidR="00E3297D" w:rsidRDefault="00E3297D" w:rsidP="00E3297D">
      <w:pPr>
        <w:numPr>
          <w:ilvl w:val="0"/>
          <w:numId w:val="131"/>
        </w:numPr>
        <w:overflowPunct w:val="0"/>
        <w:autoSpaceDE w:val="0"/>
        <w:autoSpaceDN w:val="0"/>
        <w:adjustRightInd w:val="0"/>
        <w:spacing w:after="120"/>
        <w:ind w:left="284" w:hanging="284"/>
        <w:jc w:val="both"/>
      </w:pPr>
      <w:r>
        <w:t>Zasypywanie kanalizacji z rur PCW</w:t>
      </w:r>
    </w:p>
    <w:p w:rsidR="00E3297D" w:rsidRDefault="00E3297D" w:rsidP="00E3297D">
      <w:r>
        <w:tab/>
        <w:t>Ostatnią, górną warstwę kanalizacji z rur PCW należy przysypać piaskiem lub przesianym gruntem do grubości przykrycia nie mniejszej od 5 cm, a następnie warstwą piasku lub przesianego gruntu grubości około 20 cm. Następnie należy zasypać wykop gruntem warstwami co 20 cm i ubijać ubijakami mechanicznymi.</w:t>
      </w:r>
    </w:p>
    <w:p w:rsidR="00E3297D" w:rsidRDefault="00E3297D" w:rsidP="00E3297D">
      <w:pPr>
        <w:numPr>
          <w:ilvl w:val="0"/>
          <w:numId w:val="132"/>
        </w:numPr>
        <w:overflowPunct w:val="0"/>
        <w:autoSpaceDE w:val="0"/>
        <w:autoSpaceDN w:val="0"/>
        <w:adjustRightInd w:val="0"/>
        <w:spacing w:before="120" w:after="120"/>
        <w:ind w:left="284" w:hanging="284"/>
        <w:jc w:val="both"/>
      </w:pPr>
      <w:r>
        <w:t>Kanalizacja kablowa na mostach i wiaduktach</w:t>
      </w:r>
    </w:p>
    <w:p w:rsidR="00E3297D" w:rsidRDefault="00E3297D" w:rsidP="00E3297D">
      <w:r>
        <w:tab/>
        <w:t>Ciągi kanalizacji w konstrukcji żelbetowej mostów i wiaduktów powinny być budowane z bloków betonowych, rur PCW lub rur stalowych.</w:t>
      </w:r>
    </w:p>
    <w:p w:rsidR="00E3297D" w:rsidRDefault="00E3297D" w:rsidP="00E3297D">
      <w:pPr>
        <w:numPr>
          <w:ilvl w:val="0"/>
          <w:numId w:val="133"/>
        </w:numPr>
        <w:overflowPunct w:val="0"/>
        <w:autoSpaceDE w:val="0"/>
        <w:autoSpaceDN w:val="0"/>
        <w:adjustRightInd w:val="0"/>
        <w:spacing w:before="120" w:after="120"/>
        <w:jc w:val="both"/>
      </w:pPr>
      <w:r>
        <w:t>Skrzyżowania i zbliżenia kanalizacji</w:t>
      </w:r>
    </w:p>
    <w:p w:rsidR="00E3297D" w:rsidRDefault="00E3297D" w:rsidP="00E3297D">
      <w:pPr>
        <w:numPr>
          <w:ilvl w:val="0"/>
          <w:numId w:val="134"/>
        </w:numPr>
        <w:overflowPunct w:val="0"/>
        <w:autoSpaceDE w:val="0"/>
        <w:autoSpaceDN w:val="0"/>
        <w:adjustRightInd w:val="0"/>
        <w:spacing w:after="120"/>
        <w:ind w:left="284" w:hanging="284"/>
        <w:jc w:val="both"/>
      </w:pPr>
      <w:r>
        <w:t>Trasa kanalizacji</w:t>
      </w:r>
    </w:p>
    <w:p w:rsidR="00E3297D" w:rsidRDefault="00E3297D" w:rsidP="00E3297D">
      <w:r>
        <w:tab/>
        <w:t xml:space="preserve">Na skrzyżowaniach z jezdniami trasa kanalizacji powinna być  zgodna z wymaganiami podanymi w punkcie 5.1.8.1 niniejszej </w:t>
      </w:r>
      <w:r w:rsidR="00216C9A">
        <w:t>SST</w:t>
      </w:r>
      <w:r>
        <w:t xml:space="preserve"> i zlokalizowana pod kątem 90</w:t>
      </w:r>
      <w:r>
        <w:rPr>
          <w:vertAlign w:val="superscript"/>
        </w:rPr>
        <w:t>o</w:t>
      </w:r>
      <w:r>
        <w:t xml:space="preserve"> do osi jezdni z dopuszczalną odchyłką 15</w:t>
      </w:r>
      <w:r>
        <w:rPr>
          <w:vertAlign w:val="superscript"/>
        </w:rPr>
        <w:t>o</w:t>
      </w:r>
      <w:r>
        <w:t>. Pod projektowanymi drogami kanalizację teletechniczną należy układać w wykopach przed robotami drogowymi, a pod jezdniami istniejącymi metodą poziomego wiercenia sprzętem dostępnym Wykonawcy i zaakceptowanym przez Inżyniera.</w:t>
      </w:r>
    </w:p>
    <w:p w:rsidR="00E3297D" w:rsidRDefault="00E3297D" w:rsidP="00E3297D">
      <w:pPr>
        <w:numPr>
          <w:ilvl w:val="0"/>
          <w:numId w:val="135"/>
        </w:numPr>
        <w:overflowPunct w:val="0"/>
        <w:autoSpaceDE w:val="0"/>
        <w:autoSpaceDN w:val="0"/>
        <w:adjustRightInd w:val="0"/>
        <w:spacing w:before="120" w:after="120"/>
        <w:ind w:left="284" w:hanging="284"/>
        <w:jc w:val="both"/>
      </w:pPr>
      <w:r>
        <w:t>Skrzyżowania i zbliżenia z urządzeniami podziemnymi</w:t>
      </w:r>
    </w:p>
    <w:p w:rsidR="00E3297D" w:rsidRDefault="00E3297D" w:rsidP="00E3297D">
      <w:r>
        <w:tab/>
        <w:t xml:space="preserve">Przy skrzyżowaniach z innymi urządzeniami podziemnymi kanalizacja kablowa powinna znajdować się w zasadzie nad tymi urządzeniami. Inne rozwiązania dopuszcza się tylko w wyjątkowych przypadkach, gdy pokrycie kanalizacji górą byłoby mniejsze od wymaganego wg pkt 5.1.4 niniejszej </w:t>
      </w:r>
      <w:r w:rsidR="00216C9A">
        <w:t>SST</w:t>
      </w:r>
      <w:r>
        <w:t>.</w:t>
      </w:r>
    </w:p>
    <w:p w:rsidR="00E3297D" w:rsidRDefault="00E3297D" w:rsidP="00E3297D">
      <w:r>
        <w:tab/>
        <w:t>Najważniejsze dopuszczalne odległości w rzucie pionowym lub poziomym między krawędziami ciągów kanalizacji a innymi urządzeniami podziemnymi nie powinny być mniejsze od podanych w tablicy 5 normy BN-73/8984-05 [8].</w:t>
      </w:r>
    </w:p>
    <w:p w:rsidR="00E3297D" w:rsidRDefault="00E3297D" w:rsidP="00E3297D">
      <w:pPr>
        <w:pStyle w:val="Nagwek2"/>
      </w:pPr>
      <w:r>
        <w:t>5.2. Studnie kablowe</w:t>
      </w:r>
    </w:p>
    <w:p w:rsidR="00E3297D" w:rsidRDefault="00E3297D" w:rsidP="00E3297D">
      <w:pPr>
        <w:numPr>
          <w:ilvl w:val="0"/>
          <w:numId w:val="136"/>
        </w:numPr>
        <w:overflowPunct w:val="0"/>
        <w:autoSpaceDE w:val="0"/>
        <w:autoSpaceDN w:val="0"/>
        <w:adjustRightInd w:val="0"/>
        <w:spacing w:after="120"/>
        <w:ind w:left="284" w:hanging="284"/>
        <w:jc w:val="both"/>
      </w:pPr>
      <w:r>
        <w:t>Stosowane typy studni kablowych</w:t>
      </w:r>
    </w:p>
    <w:p w:rsidR="00E3297D" w:rsidRDefault="00E3297D" w:rsidP="00E3297D">
      <w:r>
        <w:tab/>
        <w:t>Na ciągach kanalizacji kablowej należy stosować studnie kablowe wg klasyfikacji i wymiarów zgodnych z wymaganiami normy BN-85/8984-01 [4].</w:t>
      </w:r>
    </w:p>
    <w:p w:rsidR="00E3297D" w:rsidRDefault="00E3297D" w:rsidP="00E3297D">
      <w:r>
        <w:tab/>
        <w:t>Studnie kablowe należy stosować wg zasad:</w:t>
      </w:r>
    </w:p>
    <w:p w:rsidR="00E3297D" w:rsidRDefault="00E3297D" w:rsidP="00E3297D">
      <w:pPr>
        <w:numPr>
          <w:ilvl w:val="0"/>
          <w:numId w:val="137"/>
        </w:numPr>
        <w:overflowPunct w:val="0"/>
        <w:autoSpaceDE w:val="0"/>
        <w:autoSpaceDN w:val="0"/>
        <w:adjustRightInd w:val="0"/>
        <w:jc w:val="both"/>
      </w:pPr>
      <w:r>
        <w:t>SK1   - kanalizacja 1-otworowa rozdzielcza,</w:t>
      </w:r>
    </w:p>
    <w:p w:rsidR="00E3297D" w:rsidRDefault="00E3297D" w:rsidP="00E3297D">
      <w:pPr>
        <w:numPr>
          <w:ilvl w:val="0"/>
          <w:numId w:val="137"/>
        </w:numPr>
        <w:overflowPunct w:val="0"/>
        <w:autoSpaceDE w:val="0"/>
        <w:autoSpaceDN w:val="0"/>
        <w:adjustRightInd w:val="0"/>
        <w:jc w:val="both"/>
      </w:pPr>
      <w:r>
        <w:t>SK2   - kanalizacja 2-otworowa rozdzielcza,</w:t>
      </w:r>
    </w:p>
    <w:p w:rsidR="00E3297D" w:rsidRDefault="00E3297D" w:rsidP="00E3297D">
      <w:pPr>
        <w:numPr>
          <w:ilvl w:val="0"/>
          <w:numId w:val="137"/>
        </w:numPr>
        <w:overflowPunct w:val="0"/>
        <w:autoSpaceDE w:val="0"/>
        <w:autoSpaceDN w:val="0"/>
        <w:adjustRightInd w:val="0"/>
        <w:jc w:val="both"/>
      </w:pPr>
      <w:r>
        <w:t>SK6   - kanalizacja od 2 do 6 otworów magistralna,</w:t>
      </w:r>
    </w:p>
    <w:p w:rsidR="00E3297D" w:rsidRDefault="00E3297D" w:rsidP="00E3297D">
      <w:pPr>
        <w:numPr>
          <w:ilvl w:val="0"/>
          <w:numId w:val="137"/>
        </w:numPr>
        <w:overflowPunct w:val="0"/>
        <w:autoSpaceDE w:val="0"/>
        <w:autoSpaceDN w:val="0"/>
        <w:adjustRightInd w:val="0"/>
        <w:jc w:val="both"/>
      </w:pPr>
      <w:r>
        <w:t>SK12 - kanalizacja od 6 do 12 otworów magistralna,</w:t>
      </w:r>
    </w:p>
    <w:p w:rsidR="00E3297D" w:rsidRDefault="00E3297D" w:rsidP="00E3297D">
      <w:pPr>
        <w:numPr>
          <w:ilvl w:val="0"/>
          <w:numId w:val="137"/>
        </w:numPr>
        <w:overflowPunct w:val="0"/>
        <w:autoSpaceDE w:val="0"/>
        <w:autoSpaceDN w:val="0"/>
        <w:adjustRightInd w:val="0"/>
        <w:jc w:val="both"/>
      </w:pPr>
      <w:r>
        <w:t>SK24 - kanalizacja od 12 do 24 otworów magistralna,</w:t>
      </w:r>
    </w:p>
    <w:p w:rsidR="00E3297D" w:rsidRDefault="00E3297D" w:rsidP="00E3297D">
      <w:pPr>
        <w:numPr>
          <w:ilvl w:val="0"/>
          <w:numId w:val="137"/>
        </w:numPr>
        <w:overflowPunct w:val="0"/>
        <w:autoSpaceDE w:val="0"/>
        <w:autoSpaceDN w:val="0"/>
        <w:adjustRightInd w:val="0"/>
        <w:jc w:val="both"/>
      </w:pPr>
      <w:r>
        <w:t>SKS   - przed szafkami kablowymi.</w:t>
      </w:r>
    </w:p>
    <w:p w:rsidR="00E3297D" w:rsidRDefault="00E3297D" w:rsidP="00E3297D">
      <w:pPr>
        <w:numPr>
          <w:ilvl w:val="0"/>
          <w:numId w:val="138"/>
        </w:numPr>
        <w:overflowPunct w:val="0"/>
        <w:autoSpaceDE w:val="0"/>
        <w:autoSpaceDN w:val="0"/>
        <w:adjustRightInd w:val="0"/>
        <w:spacing w:before="120" w:after="120"/>
        <w:ind w:left="284" w:hanging="284"/>
        <w:jc w:val="both"/>
      </w:pPr>
      <w:r>
        <w:t>Wykonywanie studni bezpośrednio na budowie</w:t>
      </w:r>
    </w:p>
    <w:p w:rsidR="00E3297D" w:rsidRDefault="00E3297D" w:rsidP="00E3297D">
      <w:r>
        <w:tab/>
        <w:t>Studnie bezpośrednio na budowie powinny być wykonywane zgodnie z normą BN-73/8984-05 [8] i typową dokumentacją na nie.</w:t>
      </w:r>
    </w:p>
    <w:p w:rsidR="00E3297D" w:rsidRDefault="00E3297D" w:rsidP="00E3297D">
      <w:pPr>
        <w:numPr>
          <w:ilvl w:val="0"/>
          <w:numId w:val="139"/>
        </w:numPr>
        <w:overflowPunct w:val="0"/>
        <w:autoSpaceDE w:val="0"/>
        <w:autoSpaceDN w:val="0"/>
        <w:adjustRightInd w:val="0"/>
        <w:spacing w:before="120" w:after="120"/>
        <w:ind w:left="284" w:hanging="284"/>
        <w:jc w:val="both"/>
      </w:pPr>
      <w:r>
        <w:t>Wykonywanie studni z prefabrykatów</w:t>
      </w:r>
    </w:p>
    <w:p w:rsidR="00E3297D" w:rsidRDefault="00E3297D" w:rsidP="00E3297D">
      <w:r>
        <w:tab/>
        <w:t>Wykonywanie studni kablowych z prefabrykatów powinno być zgodne z wymaganiami zawartymi w typowej dokumentacji na te studnie (katalog).</w:t>
      </w:r>
    </w:p>
    <w:p w:rsidR="00E3297D" w:rsidRDefault="00E3297D" w:rsidP="00E3297D">
      <w:pPr>
        <w:pStyle w:val="Nagwek2"/>
      </w:pPr>
      <w:r>
        <w:t>5.3. Telekomunikacyjne sieci kablowe miejscowe</w:t>
      </w:r>
    </w:p>
    <w:p w:rsidR="00E3297D" w:rsidRDefault="00E3297D" w:rsidP="00E3297D">
      <w:pPr>
        <w:numPr>
          <w:ilvl w:val="0"/>
          <w:numId w:val="140"/>
        </w:numPr>
        <w:overflowPunct w:val="0"/>
        <w:autoSpaceDE w:val="0"/>
        <w:autoSpaceDN w:val="0"/>
        <w:adjustRightInd w:val="0"/>
        <w:spacing w:after="120"/>
        <w:ind w:left="284" w:hanging="284"/>
        <w:jc w:val="both"/>
        <w:rPr>
          <w:b/>
        </w:rPr>
      </w:pPr>
      <w:r>
        <w:t>Stosowane typy kabli</w:t>
      </w:r>
    </w:p>
    <w:p w:rsidR="00E3297D" w:rsidRDefault="00E3297D" w:rsidP="00E3297D">
      <w:r>
        <w:rPr>
          <w:b/>
        </w:rPr>
        <w:tab/>
      </w:r>
      <w:r>
        <w:t xml:space="preserve">Typy stosowanych kabli podaje się w punkcie 2.4.6 </w:t>
      </w:r>
      <w:r w:rsidR="00216C9A">
        <w:t>SST</w:t>
      </w:r>
      <w:r>
        <w:t>.</w:t>
      </w:r>
    </w:p>
    <w:p w:rsidR="00E3297D" w:rsidRDefault="00E3297D" w:rsidP="00E3297D">
      <w:pPr>
        <w:numPr>
          <w:ilvl w:val="0"/>
          <w:numId w:val="141"/>
        </w:numPr>
        <w:overflowPunct w:val="0"/>
        <w:autoSpaceDE w:val="0"/>
        <w:autoSpaceDN w:val="0"/>
        <w:adjustRightInd w:val="0"/>
        <w:spacing w:before="120" w:after="120"/>
        <w:ind w:left="284" w:hanging="284"/>
        <w:jc w:val="both"/>
      </w:pPr>
      <w:r>
        <w:t>Pupinizacja kabli</w:t>
      </w:r>
    </w:p>
    <w:p w:rsidR="00E3297D" w:rsidRDefault="00E3297D" w:rsidP="00E3297D">
      <w:r>
        <w:tab/>
        <w:t>Jeśli przebudowywane telekomunikacyjne linie miejscowe są pupinizowane, w przebudowie należy zachować parametry elektryczne pupinizowanych czwórek.</w:t>
      </w:r>
    </w:p>
    <w:p w:rsidR="00E3297D" w:rsidRDefault="00E3297D" w:rsidP="00E3297D">
      <w:pPr>
        <w:numPr>
          <w:ilvl w:val="0"/>
          <w:numId w:val="142"/>
        </w:numPr>
        <w:overflowPunct w:val="0"/>
        <w:autoSpaceDE w:val="0"/>
        <w:autoSpaceDN w:val="0"/>
        <w:adjustRightInd w:val="0"/>
        <w:spacing w:before="120" w:after="120"/>
        <w:ind w:left="284" w:hanging="284"/>
        <w:jc w:val="both"/>
        <w:rPr>
          <w:b/>
        </w:rPr>
      </w:pPr>
      <w:r>
        <w:t>Układanie kabli w kanalizacji</w:t>
      </w:r>
    </w:p>
    <w:p w:rsidR="00E3297D" w:rsidRDefault="00E3297D" w:rsidP="00E3297D">
      <w:r>
        <w:rPr>
          <w:b/>
        </w:rPr>
        <w:tab/>
      </w:r>
      <w:r>
        <w:t>Układanie kabli w kanalizacji powinno być wykonywane z zachowaniem następujących postanowień:</w:t>
      </w:r>
    </w:p>
    <w:p w:rsidR="00E3297D" w:rsidRDefault="00E3297D" w:rsidP="00E3297D">
      <w:pPr>
        <w:numPr>
          <w:ilvl w:val="0"/>
          <w:numId w:val="143"/>
        </w:numPr>
        <w:overflowPunct w:val="0"/>
        <w:autoSpaceDE w:val="0"/>
        <w:autoSpaceDN w:val="0"/>
        <w:adjustRightInd w:val="0"/>
        <w:jc w:val="both"/>
      </w:pPr>
      <w:r>
        <w:lastRenderedPageBreak/>
        <w:t>w pierwszej kolejności należy zajmować otwory w dolnej warstwie ciągu kanalizacji, a do jednego otworu nie wolno wciągać więcej niż:</w:t>
      </w:r>
    </w:p>
    <w:p w:rsidR="00E3297D" w:rsidRDefault="00E3297D" w:rsidP="00E3297D">
      <w:pPr>
        <w:numPr>
          <w:ilvl w:val="0"/>
          <w:numId w:val="144"/>
        </w:numPr>
        <w:overflowPunct w:val="0"/>
        <w:autoSpaceDE w:val="0"/>
        <w:autoSpaceDN w:val="0"/>
        <w:adjustRightInd w:val="0"/>
        <w:ind w:left="284" w:firstLine="0"/>
      </w:pPr>
      <w:r>
        <w:t>1 kabel, jeżeli średnica zewnętrzna jest większa od 50 mm,</w:t>
      </w:r>
    </w:p>
    <w:p w:rsidR="00E3297D" w:rsidRDefault="00E3297D" w:rsidP="00E3297D">
      <w:pPr>
        <w:numPr>
          <w:ilvl w:val="0"/>
          <w:numId w:val="144"/>
        </w:numPr>
        <w:overflowPunct w:val="0"/>
        <w:autoSpaceDE w:val="0"/>
        <w:autoSpaceDN w:val="0"/>
        <w:adjustRightInd w:val="0"/>
        <w:ind w:left="284" w:firstLine="0"/>
      </w:pPr>
      <w:r>
        <w:t>2 kable, jeżeli suma ich średnic nie przekracza 75% średnicy otworu,</w:t>
      </w:r>
    </w:p>
    <w:p w:rsidR="00E3297D" w:rsidRDefault="00E3297D" w:rsidP="00E3297D">
      <w:pPr>
        <w:numPr>
          <w:ilvl w:val="0"/>
          <w:numId w:val="144"/>
        </w:numPr>
        <w:overflowPunct w:val="0"/>
        <w:autoSpaceDE w:val="0"/>
        <w:autoSpaceDN w:val="0"/>
        <w:adjustRightInd w:val="0"/>
        <w:jc w:val="both"/>
      </w:pPr>
      <w:r>
        <w:t>3 i więcej kabli, jeżeli suma ich średnic nie przekracza wielkości średnicy otworu kanalizacji,</w:t>
      </w:r>
    </w:p>
    <w:p w:rsidR="00E3297D" w:rsidRDefault="00E3297D" w:rsidP="00E3297D">
      <w:pPr>
        <w:numPr>
          <w:ilvl w:val="0"/>
          <w:numId w:val="145"/>
        </w:numPr>
        <w:overflowPunct w:val="0"/>
        <w:autoSpaceDE w:val="0"/>
        <w:autoSpaceDN w:val="0"/>
        <w:adjustRightInd w:val="0"/>
        <w:jc w:val="both"/>
      </w:pPr>
      <w:r>
        <w:t>w studniach kablowych kable powinny być ułożone na wspornikach kablowych, kable nie powinny się krzyżować między sobą, promień wygięcia kabla TKM nie powinien być mniejszy od 10-krotnej jego średnicy, a kabla XTKM od 12-krotnej jego średnicy.</w:t>
      </w:r>
    </w:p>
    <w:p w:rsidR="00E3297D" w:rsidRDefault="00E3297D" w:rsidP="00E3297D">
      <w:pPr>
        <w:numPr>
          <w:ilvl w:val="0"/>
          <w:numId w:val="146"/>
        </w:numPr>
        <w:overflowPunct w:val="0"/>
        <w:autoSpaceDE w:val="0"/>
        <w:autoSpaceDN w:val="0"/>
        <w:adjustRightInd w:val="0"/>
        <w:spacing w:before="120" w:after="120"/>
        <w:ind w:left="284" w:hanging="284"/>
        <w:jc w:val="both"/>
      </w:pPr>
      <w:r>
        <w:t>Układanie kabli w ziemi</w:t>
      </w:r>
    </w:p>
    <w:p w:rsidR="00E3297D" w:rsidRDefault="00E3297D" w:rsidP="00E3297D">
      <w:r>
        <w:tab/>
        <w:t>Kable ziemne sieci miejscowej powinny być ułożone równolegle do osi drogi i równolegle do ciągów innych urządzeń podziemnych.</w:t>
      </w:r>
    </w:p>
    <w:p w:rsidR="00E3297D" w:rsidRDefault="00E3297D" w:rsidP="00E3297D">
      <w:r>
        <w:tab/>
        <w:t>Kabel ziemny powinien być ułożony w wykopie linią falistą, przy czym zwiększenie długości na falowanie powinno wynosić co najmniej 2</w:t>
      </w:r>
      <w:r>
        <w:sym w:font="Times New Roman" w:char="F030"/>
      </w:r>
      <w:r>
        <w:t>, a na terenach zapadlinowych co najmniej 2% długości trasowej.</w:t>
      </w:r>
    </w:p>
    <w:p w:rsidR="00E3297D" w:rsidRDefault="00E3297D" w:rsidP="00E3297D">
      <w:r>
        <w:tab/>
        <w:t>Głębokość ułożenia kabla w ziemi liczona od powierzchni do odzieży nie powinna być mniejsza od 0,8 m. W miejscach skrzyżowania kabla z innymi urządzeniami podziemnymi dopuszcza się zmniejszenie tej odległości do 0,5 m.</w:t>
      </w:r>
    </w:p>
    <w:p w:rsidR="00E3297D" w:rsidRDefault="00E3297D" w:rsidP="00E3297D">
      <w:r>
        <w:tab/>
        <w:t>Przy złączach kablowych w ziemi, zapasy kabli nie powinny być mniejsze od        0,25 m, a przy skrzyni pupinizacyjnej od 0,5 m z każdej strony złącza lub skrzyni.</w:t>
      </w:r>
    </w:p>
    <w:p w:rsidR="00E3297D" w:rsidRDefault="00E3297D" w:rsidP="00E3297D">
      <w:pPr>
        <w:numPr>
          <w:ilvl w:val="0"/>
          <w:numId w:val="147"/>
        </w:numPr>
        <w:overflowPunct w:val="0"/>
        <w:autoSpaceDE w:val="0"/>
        <w:autoSpaceDN w:val="0"/>
        <w:adjustRightInd w:val="0"/>
        <w:spacing w:after="120"/>
        <w:ind w:left="284" w:hanging="284"/>
        <w:jc w:val="both"/>
      </w:pPr>
      <w:r>
        <w:t>Zawieszanie kabli</w:t>
      </w:r>
    </w:p>
    <w:p w:rsidR="00E3297D" w:rsidRDefault="00E3297D" w:rsidP="00E3297D">
      <w:r>
        <w:tab/>
        <w:t>Kable linii nadziemnych należy zawieszać na linkach nośnych lub drutach, zakończonych naprężnikami śrubowymi wg BN-70/3233-05 [49].</w:t>
      </w:r>
    </w:p>
    <w:p w:rsidR="00E3297D" w:rsidRDefault="00E3297D" w:rsidP="00E3297D">
      <w:r>
        <w:tab/>
        <w:t>Odległość między sąsiednimi haczykami zawieszonymi na lince nośnej lub drucie, powinna wynosić:</w:t>
      </w:r>
    </w:p>
    <w:p w:rsidR="00E3297D" w:rsidRDefault="00E3297D" w:rsidP="00E3297D">
      <w:pPr>
        <w:numPr>
          <w:ilvl w:val="0"/>
          <w:numId w:val="144"/>
        </w:numPr>
        <w:overflowPunct w:val="0"/>
        <w:autoSpaceDE w:val="0"/>
        <w:autoSpaceDN w:val="0"/>
        <w:adjustRightInd w:val="0"/>
        <w:ind w:left="283"/>
        <w:jc w:val="both"/>
      </w:pPr>
      <w:r>
        <w:t>0,25 m - dla kabli o średnicy do 18 mm,</w:t>
      </w:r>
    </w:p>
    <w:p w:rsidR="00E3297D" w:rsidRDefault="00E3297D" w:rsidP="00E3297D">
      <w:pPr>
        <w:numPr>
          <w:ilvl w:val="0"/>
          <w:numId w:val="144"/>
        </w:numPr>
        <w:overflowPunct w:val="0"/>
        <w:autoSpaceDE w:val="0"/>
        <w:autoSpaceDN w:val="0"/>
        <w:adjustRightInd w:val="0"/>
        <w:ind w:left="283"/>
        <w:jc w:val="both"/>
      </w:pPr>
      <w:r>
        <w:t>0,3   m - dla kabli o średnicy powyżej 18 mm.</w:t>
      </w:r>
    </w:p>
    <w:p w:rsidR="00E3297D" w:rsidRDefault="00E3297D" w:rsidP="00E3297D">
      <w:r>
        <w:tab/>
        <w:t>Wysokość zawieszenia kabla od dróg nie powinna być mniejsza od 3,5 m w odniesieniu do najniżej położonego punktu kabla od powierzchni terenu.</w:t>
      </w:r>
    </w:p>
    <w:p w:rsidR="00E3297D" w:rsidRDefault="00E3297D" w:rsidP="00E3297D">
      <w:pPr>
        <w:numPr>
          <w:ilvl w:val="0"/>
          <w:numId w:val="148"/>
        </w:numPr>
        <w:overflowPunct w:val="0"/>
        <w:autoSpaceDE w:val="0"/>
        <w:autoSpaceDN w:val="0"/>
        <w:adjustRightInd w:val="0"/>
        <w:spacing w:before="120" w:after="120"/>
        <w:ind w:left="284" w:hanging="284"/>
        <w:jc w:val="both"/>
      </w:pPr>
      <w:r>
        <w:t>Wprowadzenie kabli na słupy kablowe</w:t>
      </w:r>
    </w:p>
    <w:p w:rsidR="00E3297D" w:rsidRDefault="00E3297D" w:rsidP="00E3297D">
      <w:r>
        <w:tab/>
        <w:t>Odcinek kabla wprowadzony do skrzynki kablowej na słupie linii napowietrznej powinien być zabezpieczony osłoną ochronną lub rurą z PCW do wysokości 3 m w górę i 0,5 m w dół od powierzchni ziemi. Przy słupie powinien być ułożony zapas kabla.</w:t>
      </w:r>
    </w:p>
    <w:p w:rsidR="00E3297D" w:rsidRDefault="00E3297D" w:rsidP="00E3297D">
      <w:r>
        <w:tab/>
        <w:t>Wprowadzone na słup kable należy zakończyć głowicami mocowanymi w skrzynkach kablowych 10 x 2 wg BN-80/3231-25 [14] i 30 x 2 wg BN-85/3231-28 [15].</w:t>
      </w:r>
    </w:p>
    <w:p w:rsidR="00E3297D" w:rsidRDefault="00E3297D" w:rsidP="00E3297D">
      <w:pPr>
        <w:numPr>
          <w:ilvl w:val="0"/>
          <w:numId w:val="149"/>
        </w:numPr>
        <w:overflowPunct w:val="0"/>
        <w:autoSpaceDE w:val="0"/>
        <w:autoSpaceDN w:val="0"/>
        <w:adjustRightInd w:val="0"/>
        <w:spacing w:before="120" w:after="120"/>
        <w:ind w:left="284" w:hanging="284"/>
        <w:jc w:val="both"/>
      </w:pPr>
      <w:r>
        <w:t>Montaż kabli</w:t>
      </w:r>
    </w:p>
    <w:p w:rsidR="00E3297D" w:rsidRDefault="00E3297D" w:rsidP="00E3297D">
      <w:pPr>
        <w:spacing w:after="120"/>
      </w:pPr>
      <w:r>
        <w:tab/>
        <w:t xml:space="preserve">Złącza na kablach </w:t>
      </w:r>
      <w:proofErr w:type="spellStart"/>
      <w:r>
        <w:t>obołowionych</w:t>
      </w:r>
      <w:proofErr w:type="spellEnd"/>
      <w:r>
        <w:t xml:space="preserve"> powinny odpowiadać wymaganiom normy BN-65/8984-11 [16]. Złącza na kablach XTKMX powinny być wykonane zgodnie z instrukcją montażu [50].</w:t>
      </w:r>
    </w:p>
    <w:p w:rsidR="00E3297D" w:rsidRDefault="00E3297D" w:rsidP="00E3297D">
      <w:pPr>
        <w:numPr>
          <w:ilvl w:val="0"/>
          <w:numId w:val="150"/>
        </w:numPr>
        <w:overflowPunct w:val="0"/>
        <w:autoSpaceDE w:val="0"/>
        <w:autoSpaceDN w:val="0"/>
        <w:adjustRightInd w:val="0"/>
        <w:spacing w:after="120"/>
        <w:jc w:val="both"/>
      </w:pPr>
      <w:r>
        <w:t xml:space="preserve">Skrzyżowania i zbliżenia </w:t>
      </w:r>
    </w:p>
    <w:p w:rsidR="00E3297D" w:rsidRDefault="00E3297D" w:rsidP="00E3297D">
      <w:pPr>
        <w:numPr>
          <w:ilvl w:val="0"/>
          <w:numId w:val="151"/>
        </w:numPr>
        <w:overflowPunct w:val="0"/>
        <w:autoSpaceDE w:val="0"/>
        <w:autoSpaceDN w:val="0"/>
        <w:adjustRightInd w:val="0"/>
        <w:spacing w:after="120"/>
        <w:jc w:val="both"/>
      </w:pPr>
      <w:r>
        <w:t>Skrzyżowania i zbliżenia kabli ziemnych z drogami</w:t>
      </w:r>
    </w:p>
    <w:p w:rsidR="00E3297D" w:rsidRDefault="00E3297D" w:rsidP="00E3297D">
      <w:pPr>
        <w:spacing w:after="120"/>
      </w:pPr>
      <w:r>
        <w:tab/>
        <w:t>Przejście kabla ziemnego pod drogami powinno być wykonane w rurach stalowych, betonowych lub innych o nie gorszej wytrzymałości mechanicznej, układanych zgodnie z wymaganiami BN-73/8984-05 [8].</w:t>
      </w:r>
    </w:p>
    <w:p w:rsidR="00E3297D" w:rsidRDefault="00E3297D" w:rsidP="00E3297D">
      <w:pPr>
        <w:numPr>
          <w:ilvl w:val="0"/>
          <w:numId w:val="152"/>
        </w:numPr>
        <w:overflowPunct w:val="0"/>
        <w:autoSpaceDE w:val="0"/>
        <w:autoSpaceDN w:val="0"/>
        <w:adjustRightInd w:val="0"/>
        <w:spacing w:after="120"/>
        <w:jc w:val="both"/>
      </w:pPr>
      <w:r>
        <w:t>Skrzyżowania kabli ziemnych z rurociągami</w:t>
      </w:r>
    </w:p>
    <w:p w:rsidR="00E3297D" w:rsidRDefault="00E3297D" w:rsidP="00E3297D">
      <w:pPr>
        <w:spacing w:after="120"/>
      </w:pPr>
      <w:r>
        <w:tab/>
        <w:t>Przy skrzyżowaniu linii kablowej z rurociągiem podziemnym, kabel powinien być ułożony nad rurociągiem. Jeśli odległość w pionie między rurociągiem a kablem mniejsza jest od podanych w tablicy 5 normy BN-76/8984-17 [17], należy stosować jako rurę ochronną stalową lub inną o nie gorszych właściwościach na długości po 1,0 m z obu stron miejsca skrzyżowania od gabarytu rurociągu.</w:t>
      </w:r>
    </w:p>
    <w:p w:rsidR="00E3297D" w:rsidRDefault="00E3297D" w:rsidP="00E3297D">
      <w:pPr>
        <w:numPr>
          <w:ilvl w:val="0"/>
          <w:numId w:val="153"/>
        </w:numPr>
        <w:overflowPunct w:val="0"/>
        <w:autoSpaceDE w:val="0"/>
        <w:autoSpaceDN w:val="0"/>
        <w:adjustRightInd w:val="0"/>
        <w:ind w:left="284" w:hanging="284"/>
        <w:jc w:val="both"/>
      </w:pPr>
      <w:r>
        <w:t xml:space="preserve">Skrzyżowania telekomunikacyjnych kabli ziemnych z kablami </w:t>
      </w:r>
    </w:p>
    <w:p w:rsidR="00E3297D" w:rsidRDefault="00E3297D" w:rsidP="00E3297D">
      <w:pPr>
        <w:spacing w:after="120"/>
      </w:pPr>
      <w:r>
        <w:t xml:space="preserve">            elektroenergetycznymi</w:t>
      </w:r>
    </w:p>
    <w:p w:rsidR="00E3297D" w:rsidRDefault="00E3297D" w:rsidP="00E3297D">
      <w:pPr>
        <w:spacing w:after="120"/>
      </w:pPr>
      <w:r>
        <w:tab/>
        <w:t>Skrzyżowania telekomunikacyjnych kabli miejscowych z elektroenergetycznymi liniami kablowymi powinny być wykonane zgodnie z wymaganiami PN-78/E-05125 [18].</w:t>
      </w:r>
    </w:p>
    <w:p w:rsidR="00E3297D" w:rsidRDefault="00E3297D" w:rsidP="00E3297D">
      <w:pPr>
        <w:numPr>
          <w:ilvl w:val="0"/>
          <w:numId w:val="154"/>
        </w:numPr>
        <w:overflowPunct w:val="0"/>
        <w:autoSpaceDE w:val="0"/>
        <w:autoSpaceDN w:val="0"/>
        <w:adjustRightInd w:val="0"/>
        <w:ind w:left="284" w:hanging="284"/>
        <w:jc w:val="both"/>
      </w:pPr>
      <w:r>
        <w:t>Zbliżenia telekomunikacyjnych kabli ziemnych z podbudową linii</w:t>
      </w:r>
    </w:p>
    <w:p w:rsidR="00E3297D" w:rsidRDefault="00E3297D" w:rsidP="00E3297D">
      <w:pPr>
        <w:spacing w:after="120"/>
      </w:pPr>
      <w:r>
        <w:t xml:space="preserve">            elektroenergetycznych</w:t>
      </w:r>
    </w:p>
    <w:p w:rsidR="00E3297D" w:rsidRDefault="00E3297D" w:rsidP="00E3297D">
      <w:r>
        <w:tab/>
        <w:t>Zbliżenia telekomunikacyjnej linii kablowej z podbudową linii elektroenergetycznych powinny być zgodne z PN-75/E-05100 [19].</w:t>
      </w:r>
    </w:p>
    <w:p w:rsidR="00E3297D" w:rsidRDefault="00E3297D" w:rsidP="00E3297D">
      <w:pPr>
        <w:numPr>
          <w:ilvl w:val="0"/>
          <w:numId w:val="155"/>
        </w:numPr>
        <w:overflowPunct w:val="0"/>
        <w:autoSpaceDE w:val="0"/>
        <w:autoSpaceDN w:val="0"/>
        <w:adjustRightInd w:val="0"/>
        <w:spacing w:before="120"/>
        <w:ind w:left="284" w:hanging="284"/>
        <w:jc w:val="both"/>
      </w:pPr>
      <w:r>
        <w:lastRenderedPageBreak/>
        <w:t>Najmniejsze dopuszczalne odległości kabla ziemnego od innych urządzeń</w:t>
      </w:r>
    </w:p>
    <w:p w:rsidR="00E3297D" w:rsidRDefault="00E3297D" w:rsidP="00E3297D">
      <w:pPr>
        <w:spacing w:after="120"/>
      </w:pPr>
      <w:r>
        <w:t xml:space="preserve">            i obiektów</w:t>
      </w:r>
    </w:p>
    <w:p w:rsidR="00E3297D" w:rsidRDefault="00E3297D" w:rsidP="00E3297D">
      <w:r>
        <w:tab/>
        <w:t>Najmniejsze dopuszczalne odległości kabla ziemnego od innych urządzeń i obiektów podane są w tablicy 5 normy BN-76/8984-17 [17].</w:t>
      </w:r>
    </w:p>
    <w:p w:rsidR="00E3297D" w:rsidRDefault="00E3297D" w:rsidP="00E3297D">
      <w:pPr>
        <w:numPr>
          <w:ilvl w:val="0"/>
          <w:numId w:val="156"/>
        </w:numPr>
        <w:overflowPunct w:val="0"/>
        <w:autoSpaceDE w:val="0"/>
        <w:autoSpaceDN w:val="0"/>
        <w:adjustRightInd w:val="0"/>
        <w:spacing w:before="120" w:after="120"/>
        <w:ind w:left="284" w:hanging="284"/>
        <w:jc w:val="both"/>
      </w:pPr>
      <w:r>
        <w:t>Skrzyżowania telekomunikacyjnych linii kablowych nadziemnych z drogami</w:t>
      </w:r>
    </w:p>
    <w:p w:rsidR="00E3297D" w:rsidRDefault="00E3297D" w:rsidP="00E3297D">
      <w:r>
        <w:tab/>
        <w:t>Najmniejsza dopuszczalna wysokość zawieszenia telekomunikacyjnych kabli nadziemnych przy skrzyżowaniu z drogami powinna wynosić 5 m.</w:t>
      </w:r>
    </w:p>
    <w:p w:rsidR="00E3297D" w:rsidRDefault="00E3297D" w:rsidP="00E3297D">
      <w:pPr>
        <w:numPr>
          <w:ilvl w:val="0"/>
          <w:numId w:val="157"/>
        </w:numPr>
        <w:overflowPunct w:val="0"/>
        <w:autoSpaceDE w:val="0"/>
        <w:autoSpaceDN w:val="0"/>
        <w:adjustRightInd w:val="0"/>
        <w:spacing w:before="120"/>
        <w:ind w:left="284" w:hanging="284"/>
        <w:jc w:val="both"/>
      </w:pPr>
      <w:r>
        <w:t>Ochrona linii kablowych</w:t>
      </w:r>
    </w:p>
    <w:p w:rsidR="00E3297D" w:rsidRDefault="00E3297D" w:rsidP="00E3297D">
      <w:pPr>
        <w:numPr>
          <w:ilvl w:val="0"/>
          <w:numId w:val="158"/>
        </w:numPr>
        <w:overflowPunct w:val="0"/>
        <w:autoSpaceDE w:val="0"/>
        <w:autoSpaceDN w:val="0"/>
        <w:adjustRightInd w:val="0"/>
        <w:spacing w:before="120"/>
        <w:ind w:left="284" w:hanging="284"/>
        <w:jc w:val="both"/>
      </w:pPr>
      <w:r>
        <w:t>Zabezpieczenie kabli od uszkodzeń mechanicznych</w:t>
      </w:r>
    </w:p>
    <w:p w:rsidR="00E3297D" w:rsidRDefault="00E3297D" w:rsidP="00E3297D">
      <w:pPr>
        <w:spacing w:before="120"/>
      </w:pPr>
      <w:r>
        <w:tab/>
        <w:t>Kabel ziemny powinien być zabezpieczony od uszkodzeń mechanicznych przykrywami kablowymi w następujących przypadkach:</w:t>
      </w:r>
    </w:p>
    <w:p w:rsidR="00E3297D" w:rsidRDefault="00E3297D" w:rsidP="00E3297D">
      <w:pPr>
        <w:numPr>
          <w:ilvl w:val="0"/>
          <w:numId w:val="159"/>
        </w:numPr>
        <w:overflowPunct w:val="0"/>
        <w:autoSpaceDE w:val="0"/>
        <w:autoSpaceDN w:val="0"/>
        <w:adjustRightInd w:val="0"/>
        <w:jc w:val="both"/>
      </w:pPr>
      <w:r>
        <w:t>na całym przebiegu w terenie zabudowanym oraz dodatkowo po 10 m z każdej strony granicy zabudowy,</w:t>
      </w:r>
    </w:p>
    <w:p w:rsidR="00E3297D" w:rsidRDefault="00E3297D" w:rsidP="00E3297D">
      <w:pPr>
        <w:numPr>
          <w:ilvl w:val="0"/>
          <w:numId w:val="159"/>
        </w:numPr>
        <w:overflowPunct w:val="0"/>
        <w:autoSpaceDE w:val="0"/>
        <w:autoSpaceDN w:val="0"/>
        <w:adjustRightInd w:val="0"/>
        <w:jc w:val="both"/>
      </w:pPr>
      <w:r>
        <w:t>przy zbliżeniach z kablami elektroenergetycznymi i innymi urządzeniami podziemnymi o odległościach mniejszych od 1,0 m - na całej długości zbliżenia.</w:t>
      </w:r>
    </w:p>
    <w:p w:rsidR="00E3297D" w:rsidRDefault="00E3297D" w:rsidP="00E3297D">
      <w:pPr>
        <w:numPr>
          <w:ilvl w:val="0"/>
          <w:numId w:val="160"/>
        </w:numPr>
        <w:overflowPunct w:val="0"/>
        <w:autoSpaceDE w:val="0"/>
        <w:autoSpaceDN w:val="0"/>
        <w:adjustRightInd w:val="0"/>
        <w:spacing w:before="120" w:after="120"/>
        <w:ind w:left="284" w:hanging="284"/>
        <w:jc w:val="both"/>
      </w:pPr>
      <w:r>
        <w:t>Zabezpieczenie kabli od wyładowań atmosferycznych</w:t>
      </w:r>
    </w:p>
    <w:p w:rsidR="00E3297D" w:rsidRDefault="00E3297D" w:rsidP="00E3297D">
      <w:r>
        <w:tab/>
        <w:t>W miejscach wprowadzenia torów napowietrznych do kabli sieci miejscowej należy w skrzynkach kablowych na słupach stosować zespoły odgromnikowo-bezpiecznikowe.</w:t>
      </w:r>
    </w:p>
    <w:p w:rsidR="00E3297D" w:rsidRDefault="00E3297D" w:rsidP="00E3297D">
      <w:pPr>
        <w:numPr>
          <w:ilvl w:val="0"/>
          <w:numId w:val="161"/>
        </w:numPr>
        <w:overflowPunct w:val="0"/>
        <w:autoSpaceDE w:val="0"/>
        <w:autoSpaceDN w:val="0"/>
        <w:adjustRightInd w:val="0"/>
        <w:spacing w:before="120" w:after="120"/>
        <w:ind w:left="284" w:hanging="284"/>
        <w:jc w:val="both"/>
      </w:pPr>
      <w:r>
        <w:t>Kontrola ciśnieniowa szczelności powłok kabli</w:t>
      </w:r>
    </w:p>
    <w:p w:rsidR="00E3297D" w:rsidRDefault="00E3297D" w:rsidP="00E3297D">
      <w:r>
        <w:tab/>
        <w:t>W sieciach miejscowych należy stosować bezpiecznikowy system kontroli ciśnieniowej kabli wg BN-76/8984-26 [20]. Kontrolą ciśnieniową powinny być objęte kable międzycentralowe i magistralne.</w:t>
      </w:r>
    </w:p>
    <w:p w:rsidR="00E3297D" w:rsidRDefault="00E3297D" w:rsidP="00E3297D">
      <w:pPr>
        <w:numPr>
          <w:ilvl w:val="0"/>
          <w:numId w:val="162"/>
        </w:numPr>
        <w:overflowPunct w:val="0"/>
        <w:autoSpaceDE w:val="0"/>
        <w:autoSpaceDN w:val="0"/>
        <w:adjustRightInd w:val="0"/>
        <w:spacing w:before="120" w:after="120"/>
        <w:ind w:left="284" w:hanging="284"/>
        <w:jc w:val="both"/>
      </w:pPr>
      <w:r>
        <w:t>Znakowanie telekomunikacyjnych kabli miejscowych</w:t>
      </w:r>
    </w:p>
    <w:p w:rsidR="00E3297D" w:rsidRDefault="00E3297D" w:rsidP="00E3297D">
      <w:pPr>
        <w:numPr>
          <w:ilvl w:val="0"/>
          <w:numId w:val="163"/>
        </w:numPr>
        <w:overflowPunct w:val="0"/>
        <w:autoSpaceDE w:val="0"/>
        <w:autoSpaceDN w:val="0"/>
        <w:adjustRightInd w:val="0"/>
        <w:spacing w:after="120"/>
        <w:ind w:left="284" w:hanging="284"/>
        <w:jc w:val="both"/>
      </w:pPr>
      <w:r>
        <w:t>Wymagania ogólne</w:t>
      </w:r>
    </w:p>
    <w:p w:rsidR="00E3297D" w:rsidRDefault="00E3297D" w:rsidP="00E3297D">
      <w:r>
        <w:rPr>
          <w:b/>
        </w:rPr>
        <w:tab/>
      </w:r>
      <w:r>
        <w:t>Trwałą i wyraźną numerację należy umieszczać na szafkach kablowych, kablach, głowicach oraz puszkach i skrzynkach kablowych. Numerację należy wykonać za pomocą szablonów wg BN-73/3238-08 [21].</w:t>
      </w:r>
    </w:p>
    <w:p w:rsidR="00E3297D" w:rsidRDefault="00E3297D" w:rsidP="00E3297D">
      <w:pPr>
        <w:numPr>
          <w:ilvl w:val="0"/>
          <w:numId w:val="164"/>
        </w:numPr>
        <w:overflowPunct w:val="0"/>
        <w:autoSpaceDE w:val="0"/>
        <w:autoSpaceDN w:val="0"/>
        <w:adjustRightInd w:val="0"/>
        <w:spacing w:before="120" w:after="120"/>
        <w:ind w:left="284" w:hanging="284"/>
        <w:jc w:val="both"/>
      </w:pPr>
      <w:r>
        <w:t>Znakowanie kabli</w:t>
      </w:r>
    </w:p>
    <w:p w:rsidR="00E3297D" w:rsidRDefault="00E3297D" w:rsidP="00E3297D">
      <w:r>
        <w:tab/>
        <w:t xml:space="preserve">Znakowanie kabli w kanalizacji powinno być wykonane w studniach kablowych za pomocą opasek </w:t>
      </w:r>
      <w:proofErr w:type="spellStart"/>
      <w:r>
        <w:t>oznaczeniowych</w:t>
      </w:r>
      <w:proofErr w:type="spellEnd"/>
      <w:r>
        <w:t xml:space="preserve"> wg BN-72/3233-13 [22] z wyraźnie odciśniętymi numerami.</w:t>
      </w:r>
    </w:p>
    <w:p w:rsidR="00E3297D" w:rsidRDefault="00E3297D" w:rsidP="00E3297D">
      <w:r>
        <w:tab/>
        <w:t xml:space="preserve">Oznaczenie położenia kabla ziemnego w miejscach, w których brak jest stałych i trwałych obiektów, powinno być wykonane słupkami </w:t>
      </w:r>
      <w:proofErr w:type="spellStart"/>
      <w:r>
        <w:t>oznaczeniowymi</w:t>
      </w:r>
      <w:proofErr w:type="spellEnd"/>
      <w:r>
        <w:t xml:space="preserve"> wg BN-74/3233-17 [23].</w:t>
      </w:r>
    </w:p>
    <w:p w:rsidR="00E3297D" w:rsidRDefault="00E3297D" w:rsidP="00E3297D">
      <w:pPr>
        <w:pStyle w:val="Nagwek2"/>
      </w:pPr>
      <w:r>
        <w:t>5.4. Telekomunikacyjne kable wewnątrzstrefowe i dalekosiężne</w:t>
      </w:r>
    </w:p>
    <w:p w:rsidR="00E3297D" w:rsidRDefault="00E3297D" w:rsidP="00E3297D">
      <w:pPr>
        <w:numPr>
          <w:ilvl w:val="0"/>
          <w:numId w:val="165"/>
        </w:numPr>
        <w:overflowPunct w:val="0"/>
        <w:autoSpaceDE w:val="0"/>
        <w:autoSpaceDN w:val="0"/>
        <w:adjustRightInd w:val="0"/>
        <w:spacing w:after="120"/>
        <w:ind w:left="284" w:hanging="284"/>
        <w:jc w:val="both"/>
      </w:pPr>
      <w:r>
        <w:t>Uwagi ogólne</w:t>
      </w:r>
    </w:p>
    <w:p w:rsidR="00E3297D" w:rsidRDefault="00E3297D" w:rsidP="00E3297D">
      <w:r>
        <w:tab/>
        <w:t xml:space="preserve">Zasady budowy telekomunikacyjnych kabli wewnątrzstrefowych (okręgowych) i dalekosiężnych (międzymiastowych) są jednakowe i dlatego w dalszej części niniejszej </w:t>
      </w:r>
      <w:r w:rsidR="00216C9A">
        <w:t>SST</w:t>
      </w:r>
      <w:r>
        <w:t xml:space="preserve"> nie rozróżnia się tego podziału.</w:t>
      </w:r>
    </w:p>
    <w:p w:rsidR="00E3297D" w:rsidRDefault="00E3297D" w:rsidP="00E3297D">
      <w:pPr>
        <w:spacing w:before="120" w:after="120"/>
      </w:pPr>
      <w:r>
        <w:rPr>
          <w:b/>
        </w:rPr>
        <w:t xml:space="preserve">5.4.2. </w:t>
      </w:r>
      <w:r>
        <w:t>Stosowane typy kabli</w:t>
      </w:r>
    </w:p>
    <w:p w:rsidR="00E3297D" w:rsidRDefault="00E3297D" w:rsidP="00E3297D">
      <w:r>
        <w:tab/>
        <w:t>Typy kabli podaje się w punkcie 2.4.6.</w:t>
      </w:r>
    </w:p>
    <w:p w:rsidR="00E3297D" w:rsidRDefault="00E3297D" w:rsidP="00E3297D">
      <w:pPr>
        <w:numPr>
          <w:ilvl w:val="0"/>
          <w:numId w:val="166"/>
        </w:numPr>
        <w:overflowPunct w:val="0"/>
        <w:autoSpaceDE w:val="0"/>
        <w:autoSpaceDN w:val="0"/>
        <w:adjustRightInd w:val="0"/>
        <w:spacing w:before="120" w:after="120"/>
        <w:ind w:left="284" w:hanging="284"/>
        <w:jc w:val="both"/>
      </w:pPr>
      <w:r>
        <w:t>Wybór trasy linii kablowej</w:t>
      </w:r>
    </w:p>
    <w:p w:rsidR="00E3297D" w:rsidRDefault="00E3297D" w:rsidP="00E3297D">
      <w:pPr>
        <w:numPr>
          <w:ilvl w:val="0"/>
          <w:numId w:val="167"/>
        </w:numPr>
        <w:overflowPunct w:val="0"/>
        <w:autoSpaceDE w:val="0"/>
        <w:autoSpaceDN w:val="0"/>
        <w:adjustRightInd w:val="0"/>
        <w:spacing w:after="120"/>
        <w:ind w:left="284" w:hanging="284"/>
        <w:jc w:val="both"/>
      </w:pPr>
      <w:r>
        <w:t>Usytuowanie linii kablowej wzdłuż dróg</w:t>
      </w:r>
    </w:p>
    <w:p w:rsidR="00E3297D" w:rsidRDefault="00E3297D" w:rsidP="00E3297D">
      <w:r>
        <w:rPr>
          <w:b/>
        </w:rPr>
        <w:tab/>
      </w:r>
      <w:r>
        <w:t>Trasa przebiegu linii kablowej wzdłuż dróg powinna być usytuowana poza pasem drogowym w odległości co najmniej 1 m od jego granicy.</w:t>
      </w:r>
    </w:p>
    <w:p w:rsidR="00E3297D" w:rsidRDefault="00E3297D" w:rsidP="00E3297D">
      <w:r>
        <w:tab/>
        <w:t>Na odcinkach dróg przechodzących przez tereny zabudowane, zalesione, zalewowe i bagniste lub zajęte przez różne obiekty nie pozwalające na dotrzymanie wymagań zbliżeń i skrzyżowań, dopuszcza się usytuowanie kabla odpowiednio w pasie drogowym:</w:t>
      </w:r>
    </w:p>
    <w:p w:rsidR="00E3297D" w:rsidRDefault="00E3297D" w:rsidP="00E3297D">
      <w:pPr>
        <w:numPr>
          <w:ilvl w:val="0"/>
          <w:numId w:val="144"/>
        </w:numPr>
        <w:overflowPunct w:val="0"/>
        <w:autoSpaceDE w:val="0"/>
        <w:autoSpaceDN w:val="0"/>
        <w:adjustRightInd w:val="0"/>
        <w:ind w:left="283"/>
        <w:jc w:val="both"/>
        <w:rPr>
          <w:b/>
        </w:rPr>
      </w:pPr>
      <w:r>
        <w:t>w koronie drogi na poboczu jezdni, na terenach bezpośrednio zabudowanych bez odcinków lub terenów zalewowo-bagnistych,</w:t>
      </w:r>
    </w:p>
    <w:p w:rsidR="00E3297D" w:rsidRDefault="00E3297D" w:rsidP="00E3297D">
      <w:pPr>
        <w:numPr>
          <w:ilvl w:val="0"/>
          <w:numId w:val="144"/>
        </w:numPr>
        <w:overflowPunct w:val="0"/>
        <w:autoSpaceDE w:val="0"/>
        <w:autoSpaceDN w:val="0"/>
        <w:adjustRightInd w:val="0"/>
        <w:ind w:left="283"/>
        <w:jc w:val="both"/>
        <w:rPr>
          <w:b/>
        </w:rPr>
      </w:pPr>
      <w:r>
        <w:t>poza koroną drogi - w przypadkach, gdy poza pasem drogowym istnieją tereny zalesione lub zadrzewione,</w:t>
      </w:r>
    </w:p>
    <w:p w:rsidR="00E3297D" w:rsidRDefault="00E3297D" w:rsidP="00E3297D">
      <w:pPr>
        <w:numPr>
          <w:ilvl w:val="0"/>
          <w:numId w:val="144"/>
        </w:numPr>
        <w:overflowPunct w:val="0"/>
        <w:autoSpaceDE w:val="0"/>
        <w:autoSpaceDN w:val="0"/>
        <w:adjustRightInd w:val="0"/>
        <w:ind w:left="283"/>
        <w:jc w:val="both"/>
        <w:rPr>
          <w:b/>
        </w:rPr>
      </w:pPr>
      <w:r>
        <w:t>w koronie drogi na poboczu za zgodą zarządu drogi.</w:t>
      </w:r>
    </w:p>
    <w:p w:rsidR="00E3297D" w:rsidRDefault="00E3297D" w:rsidP="00E3297D">
      <w:r>
        <w:rPr>
          <w:b/>
        </w:rPr>
        <w:tab/>
      </w:r>
      <w:r>
        <w:t>Odległość ułożonego kabla od istniejącego lub projektowanego zadrzewienia drogowego powinna wynosić co najmniej 2 m licząc od lica pni drzew.</w:t>
      </w:r>
    </w:p>
    <w:p w:rsidR="00E3297D" w:rsidRDefault="00E3297D" w:rsidP="00E3297D">
      <w:r>
        <w:lastRenderedPageBreak/>
        <w:tab/>
        <w:t>Odcinki instalacyjne kabli powinny być tak ułożone, aby złącza kablowe i skrzynie pupinizacyjne były usytuowane w miejscach zapewniających trwałe poziome ich położenie.</w:t>
      </w:r>
    </w:p>
    <w:p w:rsidR="00E3297D" w:rsidRDefault="00E3297D" w:rsidP="00E3297D">
      <w:pPr>
        <w:numPr>
          <w:ilvl w:val="0"/>
          <w:numId w:val="168"/>
        </w:numPr>
        <w:overflowPunct w:val="0"/>
        <w:autoSpaceDE w:val="0"/>
        <w:autoSpaceDN w:val="0"/>
        <w:adjustRightInd w:val="0"/>
        <w:spacing w:before="120" w:after="120"/>
        <w:ind w:left="284" w:hanging="284"/>
        <w:jc w:val="both"/>
      </w:pPr>
      <w:r>
        <w:t>Dobór osłon złączowych i muf</w:t>
      </w:r>
    </w:p>
    <w:p w:rsidR="00E3297D" w:rsidRDefault="00E3297D" w:rsidP="00E3297D">
      <w:r>
        <w:rPr>
          <w:b/>
        </w:rPr>
        <w:tab/>
      </w:r>
      <w:r>
        <w:t>Osłony złączowe i mufy powinny być zgodne z dokumentacją projektową i SST oraz dostosowane do typu kabla, średnic i liczby żył oraz średnicy zewnętrznej kabla, jak również warunków środowiskowych.</w:t>
      </w:r>
    </w:p>
    <w:p w:rsidR="00E3297D" w:rsidRDefault="00E3297D" w:rsidP="00E3297D">
      <w:pPr>
        <w:numPr>
          <w:ilvl w:val="0"/>
          <w:numId w:val="169"/>
        </w:numPr>
        <w:overflowPunct w:val="0"/>
        <w:autoSpaceDE w:val="0"/>
        <w:autoSpaceDN w:val="0"/>
        <w:adjustRightInd w:val="0"/>
        <w:spacing w:before="120" w:after="120"/>
        <w:ind w:left="284" w:hanging="284"/>
        <w:jc w:val="both"/>
      </w:pPr>
      <w:r>
        <w:t>Odcinki pupinizacyjne</w:t>
      </w:r>
    </w:p>
    <w:p w:rsidR="00E3297D" w:rsidRDefault="00E3297D" w:rsidP="00E3297D">
      <w:r>
        <w:tab/>
        <w:t>Nominalna długość odcinka pupinizacyjnego powinna wynosić 1700 m ± 2%. Długość ta powinna być jednakowa dla całej linii, z dopuszczalną różnicą między sąsiednimi odcinkami pupinizacyjnymi ± 10 m.</w:t>
      </w:r>
    </w:p>
    <w:p w:rsidR="00E3297D" w:rsidRDefault="00E3297D" w:rsidP="00E3297D">
      <w:pPr>
        <w:numPr>
          <w:ilvl w:val="0"/>
          <w:numId w:val="170"/>
        </w:numPr>
        <w:overflowPunct w:val="0"/>
        <w:autoSpaceDE w:val="0"/>
        <w:autoSpaceDN w:val="0"/>
        <w:adjustRightInd w:val="0"/>
        <w:spacing w:before="120" w:after="120"/>
        <w:ind w:left="284" w:hanging="284"/>
        <w:jc w:val="both"/>
      </w:pPr>
      <w:r>
        <w:t>Układanie kabli w ziemi</w:t>
      </w:r>
    </w:p>
    <w:p w:rsidR="00E3297D" w:rsidRDefault="00E3297D" w:rsidP="00E3297D">
      <w:pPr>
        <w:numPr>
          <w:ilvl w:val="0"/>
          <w:numId w:val="171"/>
        </w:numPr>
        <w:overflowPunct w:val="0"/>
        <w:autoSpaceDE w:val="0"/>
        <w:autoSpaceDN w:val="0"/>
        <w:adjustRightInd w:val="0"/>
        <w:spacing w:after="120"/>
        <w:ind w:left="284" w:hanging="284"/>
        <w:jc w:val="both"/>
      </w:pPr>
      <w:r>
        <w:t>Wymagania ogólne</w:t>
      </w:r>
    </w:p>
    <w:p w:rsidR="00E3297D" w:rsidRDefault="00E3297D" w:rsidP="00E3297D">
      <w:r>
        <w:tab/>
        <w:t>Odcinki kabli mogą być układane ręcznie lub za pomocą maszyn. Zastosowana technologia układania kabli w ziemi powinna zapewnić właściwe ułożenie kabli.</w:t>
      </w:r>
    </w:p>
    <w:p w:rsidR="00E3297D" w:rsidRDefault="00E3297D" w:rsidP="00E3297D">
      <w:r>
        <w:tab/>
        <w:t xml:space="preserve">Kable w ziemi powinny być układane bez </w:t>
      </w:r>
      <w:proofErr w:type="spellStart"/>
      <w:r>
        <w:t>naprężeń</w:t>
      </w:r>
      <w:proofErr w:type="spellEnd"/>
      <w:r>
        <w:t xml:space="preserve"> z falowaniem 0,3% długości.</w:t>
      </w:r>
    </w:p>
    <w:p w:rsidR="00E3297D" w:rsidRDefault="00E3297D" w:rsidP="00E3297D">
      <w:r>
        <w:tab/>
        <w:t>Przy zmianie kierunku trasy linii kablowej promień gięcia kabla nie może być mniejszy od:</w:t>
      </w:r>
    </w:p>
    <w:p w:rsidR="00E3297D" w:rsidRDefault="00E3297D" w:rsidP="00E3297D">
      <w:pPr>
        <w:numPr>
          <w:ilvl w:val="0"/>
          <w:numId w:val="144"/>
        </w:numPr>
        <w:overflowPunct w:val="0"/>
        <w:autoSpaceDE w:val="0"/>
        <w:autoSpaceDN w:val="0"/>
        <w:adjustRightInd w:val="0"/>
        <w:ind w:left="283"/>
        <w:jc w:val="both"/>
      </w:pPr>
      <w:r>
        <w:t>20-krotnej średnicy zewnętrznej - w przypadku kabli współosiowych,</w:t>
      </w:r>
    </w:p>
    <w:p w:rsidR="00E3297D" w:rsidRDefault="00E3297D" w:rsidP="00E3297D">
      <w:pPr>
        <w:numPr>
          <w:ilvl w:val="0"/>
          <w:numId w:val="144"/>
        </w:numPr>
        <w:overflowPunct w:val="0"/>
        <w:autoSpaceDE w:val="0"/>
        <w:autoSpaceDN w:val="0"/>
        <w:adjustRightInd w:val="0"/>
        <w:ind w:left="283"/>
        <w:jc w:val="both"/>
      </w:pPr>
      <w:r>
        <w:t xml:space="preserve">16-krotnej średnicy zewnętrznej - w przypadku kabli symetrycznych z żyłami z izolacją </w:t>
      </w:r>
      <w:proofErr w:type="spellStart"/>
      <w:r>
        <w:t>polistyrenowo-powietrzną</w:t>
      </w:r>
      <w:proofErr w:type="spellEnd"/>
      <w:r>
        <w:t>,</w:t>
      </w:r>
    </w:p>
    <w:p w:rsidR="00E3297D" w:rsidRDefault="00E3297D" w:rsidP="00E3297D">
      <w:pPr>
        <w:numPr>
          <w:ilvl w:val="0"/>
          <w:numId w:val="144"/>
        </w:numPr>
        <w:overflowPunct w:val="0"/>
        <w:autoSpaceDE w:val="0"/>
        <w:autoSpaceDN w:val="0"/>
        <w:adjustRightInd w:val="0"/>
        <w:ind w:left="283"/>
        <w:jc w:val="both"/>
      </w:pPr>
      <w:r>
        <w:t>13-krotnej średnicy zewnętrznej - w przypadku kabli symetrycznych z powłoką ołowianą.</w:t>
      </w:r>
    </w:p>
    <w:p w:rsidR="00E3297D" w:rsidRDefault="00E3297D" w:rsidP="00E3297D">
      <w:pPr>
        <w:numPr>
          <w:ilvl w:val="0"/>
          <w:numId w:val="172"/>
        </w:numPr>
        <w:overflowPunct w:val="0"/>
        <w:autoSpaceDE w:val="0"/>
        <w:autoSpaceDN w:val="0"/>
        <w:adjustRightInd w:val="0"/>
        <w:spacing w:before="120" w:after="120"/>
        <w:ind w:left="284" w:hanging="284"/>
        <w:jc w:val="both"/>
      </w:pPr>
      <w:r>
        <w:t>Głębokość układania kabli</w:t>
      </w:r>
    </w:p>
    <w:p w:rsidR="00E3297D" w:rsidRDefault="00E3297D" w:rsidP="00E3297D">
      <w:r>
        <w:tab/>
        <w:t>Głębokość ułożenia kabla w ziemi mierzona od dolnej powierzchni kabla ułożonego na dnie rowu powinna wynosić:</w:t>
      </w:r>
    </w:p>
    <w:p w:rsidR="00E3297D" w:rsidRDefault="00E3297D" w:rsidP="00E3297D">
      <w:pPr>
        <w:numPr>
          <w:ilvl w:val="0"/>
          <w:numId w:val="144"/>
        </w:numPr>
        <w:overflowPunct w:val="0"/>
        <w:autoSpaceDE w:val="0"/>
        <w:autoSpaceDN w:val="0"/>
        <w:adjustRightInd w:val="0"/>
        <w:ind w:left="283"/>
        <w:jc w:val="both"/>
      </w:pPr>
      <w:r>
        <w:t>1 m - dla kabli z torami współosiowymi oraz symetrycznymi dla systemów 60-krotnych      i wyższych,</w:t>
      </w:r>
    </w:p>
    <w:p w:rsidR="00E3297D" w:rsidRDefault="00E3297D" w:rsidP="00E3297D">
      <w:pPr>
        <w:numPr>
          <w:ilvl w:val="0"/>
          <w:numId w:val="144"/>
        </w:numPr>
        <w:overflowPunct w:val="0"/>
        <w:autoSpaceDE w:val="0"/>
        <w:autoSpaceDN w:val="0"/>
        <w:adjustRightInd w:val="0"/>
        <w:ind w:left="283"/>
        <w:jc w:val="both"/>
      </w:pPr>
      <w:r>
        <w:t>0,8 m - dla pozostałych kabli symetrycznych.</w:t>
      </w:r>
    </w:p>
    <w:p w:rsidR="00E3297D" w:rsidRDefault="00E3297D" w:rsidP="00E3297D">
      <w:pPr>
        <w:numPr>
          <w:ilvl w:val="0"/>
          <w:numId w:val="173"/>
        </w:numPr>
        <w:overflowPunct w:val="0"/>
        <w:autoSpaceDE w:val="0"/>
        <w:autoSpaceDN w:val="0"/>
        <w:adjustRightInd w:val="0"/>
        <w:spacing w:before="120" w:after="120"/>
        <w:ind w:left="284" w:hanging="284"/>
        <w:jc w:val="both"/>
      </w:pPr>
      <w:r>
        <w:t>Zapasy kabli</w:t>
      </w:r>
    </w:p>
    <w:p w:rsidR="00E3297D" w:rsidRDefault="00E3297D" w:rsidP="00E3297D">
      <w:r>
        <w:rPr>
          <w:b/>
        </w:rPr>
        <w:tab/>
      </w:r>
      <w:r>
        <w:t>W czasie układania kabli należy pozostawić następujące zapasy kabli:</w:t>
      </w:r>
    </w:p>
    <w:p w:rsidR="00E3297D" w:rsidRDefault="00E3297D" w:rsidP="00E3297D">
      <w:pPr>
        <w:numPr>
          <w:ilvl w:val="0"/>
          <w:numId w:val="144"/>
        </w:numPr>
        <w:overflowPunct w:val="0"/>
        <w:autoSpaceDE w:val="0"/>
        <w:autoSpaceDN w:val="0"/>
        <w:adjustRightInd w:val="0"/>
        <w:ind w:left="283"/>
        <w:jc w:val="both"/>
        <w:rPr>
          <w:b/>
        </w:rPr>
      </w:pPr>
      <w:r>
        <w:t>w miejscach styku dwóch odcinków fabrykacyjnych; końcówki kabli dla wykonania złącza powinny zachodzić na siebie na długość 1,5 m,</w:t>
      </w:r>
    </w:p>
    <w:p w:rsidR="00E3297D" w:rsidRDefault="00E3297D" w:rsidP="00E3297D">
      <w:pPr>
        <w:numPr>
          <w:ilvl w:val="0"/>
          <w:numId w:val="144"/>
        </w:numPr>
        <w:overflowPunct w:val="0"/>
        <w:autoSpaceDE w:val="0"/>
        <w:autoSpaceDN w:val="0"/>
        <w:adjustRightInd w:val="0"/>
        <w:ind w:left="283"/>
        <w:jc w:val="both"/>
        <w:rPr>
          <w:b/>
        </w:rPr>
      </w:pPr>
      <w:r>
        <w:t>przy złączach na kablach symetrycznych należy przewidzieć zapasy po 0,3 m z każdej strony złącza,</w:t>
      </w:r>
    </w:p>
    <w:p w:rsidR="00E3297D" w:rsidRDefault="00E3297D" w:rsidP="00E3297D">
      <w:pPr>
        <w:numPr>
          <w:ilvl w:val="0"/>
          <w:numId w:val="144"/>
        </w:numPr>
        <w:overflowPunct w:val="0"/>
        <w:autoSpaceDE w:val="0"/>
        <w:autoSpaceDN w:val="0"/>
        <w:adjustRightInd w:val="0"/>
        <w:ind w:left="283"/>
        <w:jc w:val="both"/>
        <w:rPr>
          <w:b/>
        </w:rPr>
      </w:pPr>
      <w:r>
        <w:t>przy złączach na kablach współosiowych należy przewidzieć zapasy po 0,5 m z każdej strony złącza,</w:t>
      </w:r>
    </w:p>
    <w:p w:rsidR="00E3297D" w:rsidRDefault="00E3297D" w:rsidP="00E3297D">
      <w:pPr>
        <w:numPr>
          <w:ilvl w:val="0"/>
          <w:numId w:val="144"/>
        </w:numPr>
        <w:overflowPunct w:val="0"/>
        <w:autoSpaceDE w:val="0"/>
        <w:autoSpaceDN w:val="0"/>
        <w:adjustRightInd w:val="0"/>
        <w:ind w:left="283"/>
        <w:jc w:val="both"/>
        <w:rPr>
          <w:b/>
        </w:rPr>
      </w:pPr>
      <w:r>
        <w:t>przy skrzyniach pupinizacyjnych należy przewidzieć ułożenie zapasów po 1,5 m z każdej strony skrzyni.</w:t>
      </w:r>
    </w:p>
    <w:p w:rsidR="00E3297D" w:rsidRDefault="00E3297D" w:rsidP="00E3297D">
      <w:pPr>
        <w:numPr>
          <w:ilvl w:val="0"/>
          <w:numId w:val="174"/>
        </w:numPr>
        <w:overflowPunct w:val="0"/>
        <w:autoSpaceDE w:val="0"/>
        <w:autoSpaceDN w:val="0"/>
        <w:adjustRightInd w:val="0"/>
        <w:spacing w:before="120" w:after="120"/>
        <w:ind w:left="284" w:hanging="284"/>
        <w:jc w:val="both"/>
      </w:pPr>
      <w:r>
        <w:t>Oznaczenie przebiegu kabla</w:t>
      </w:r>
    </w:p>
    <w:p w:rsidR="00E3297D" w:rsidRDefault="00E3297D" w:rsidP="00E3297D">
      <w:r>
        <w:rPr>
          <w:b/>
        </w:rPr>
        <w:tab/>
      </w:r>
      <w:r>
        <w:t>W dokumentacji powykonawczej linii kablowej powinny być zwymiarowane wzdłużnie i poprzecznie:</w:t>
      </w:r>
    </w:p>
    <w:p w:rsidR="00E3297D" w:rsidRDefault="00E3297D" w:rsidP="00E3297D">
      <w:pPr>
        <w:numPr>
          <w:ilvl w:val="0"/>
          <w:numId w:val="144"/>
        </w:numPr>
        <w:overflowPunct w:val="0"/>
        <w:autoSpaceDE w:val="0"/>
        <w:autoSpaceDN w:val="0"/>
        <w:adjustRightInd w:val="0"/>
        <w:ind w:left="283"/>
        <w:jc w:val="both"/>
        <w:rPr>
          <w:b/>
        </w:rPr>
      </w:pPr>
      <w:r>
        <w:t>przebieg kabla,</w:t>
      </w:r>
    </w:p>
    <w:p w:rsidR="00E3297D" w:rsidRDefault="00E3297D" w:rsidP="00E3297D">
      <w:pPr>
        <w:numPr>
          <w:ilvl w:val="0"/>
          <w:numId w:val="144"/>
        </w:numPr>
        <w:overflowPunct w:val="0"/>
        <w:autoSpaceDE w:val="0"/>
        <w:autoSpaceDN w:val="0"/>
        <w:adjustRightInd w:val="0"/>
        <w:ind w:left="283"/>
        <w:jc w:val="both"/>
        <w:rPr>
          <w:b/>
        </w:rPr>
      </w:pPr>
      <w:r>
        <w:t>położenie złączy, skrzyń pupinizacyjnych, stacji wzmacniakowych, przepustów dla kabla oraz zapasów kabla.</w:t>
      </w:r>
    </w:p>
    <w:p w:rsidR="00E3297D" w:rsidRDefault="00E3297D" w:rsidP="00E3297D">
      <w:proofErr w:type="spellStart"/>
      <w:r>
        <w:t>Domiarowanie</w:t>
      </w:r>
      <w:proofErr w:type="spellEnd"/>
      <w:r>
        <w:t xml:space="preserve"> powinno być wykonane do istniejących w terenie obiektów stałych lub do słupków </w:t>
      </w:r>
      <w:proofErr w:type="spellStart"/>
      <w:r>
        <w:t>oznaczeniowych</w:t>
      </w:r>
      <w:proofErr w:type="spellEnd"/>
      <w:r>
        <w:t xml:space="preserve"> ustawionych w czasie budowy linii kablowej. Należy stosować słupki </w:t>
      </w:r>
      <w:proofErr w:type="spellStart"/>
      <w:r>
        <w:t>oznaczeniowe</w:t>
      </w:r>
      <w:proofErr w:type="spellEnd"/>
      <w:r>
        <w:t xml:space="preserve"> (SO) lub </w:t>
      </w:r>
      <w:proofErr w:type="spellStart"/>
      <w:r>
        <w:t>oznaczeniowo</w:t>
      </w:r>
      <w:proofErr w:type="spellEnd"/>
      <w:r>
        <w:t>-pomiarowe wg BN-74/3233-17 [23].</w:t>
      </w:r>
    </w:p>
    <w:p w:rsidR="00E3297D" w:rsidRDefault="00E3297D" w:rsidP="00E3297D">
      <w:pPr>
        <w:numPr>
          <w:ilvl w:val="0"/>
          <w:numId w:val="175"/>
        </w:numPr>
        <w:overflowPunct w:val="0"/>
        <w:autoSpaceDE w:val="0"/>
        <w:autoSpaceDN w:val="0"/>
        <w:adjustRightInd w:val="0"/>
        <w:spacing w:before="120" w:after="120"/>
        <w:ind w:left="284" w:hanging="284"/>
        <w:jc w:val="both"/>
      </w:pPr>
      <w:r>
        <w:t>Układanie kabli w kanalizacji kablowej</w:t>
      </w:r>
    </w:p>
    <w:p w:rsidR="00E3297D" w:rsidRDefault="00E3297D" w:rsidP="00E3297D">
      <w:pPr>
        <w:numPr>
          <w:ilvl w:val="0"/>
          <w:numId w:val="176"/>
        </w:numPr>
        <w:overflowPunct w:val="0"/>
        <w:autoSpaceDE w:val="0"/>
        <w:autoSpaceDN w:val="0"/>
        <w:adjustRightInd w:val="0"/>
        <w:spacing w:after="120"/>
        <w:ind w:left="284" w:hanging="284"/>
        <w:jc w:val="both"/>
      </w:pPr>
      <w:r>
        <w:t>Odcinki instalacyjne</w:t>
      </w:r>
    </w:p>
    <w:p w:rsidR="00E3297D" w:rsidRDefault="00E3297D" w:rsidP="00E3297D">
      <w:r>
        <w:tab/>
        <w:t>Odcinki instalacyjne kabli powinny być zgodne z dokumentacją projektową.</w:t>
      </w:r>
    </w:p>
    <w:p w:rsidR="00E3297D" w:rsidRDefault="00E3297D" w:rsidP="00E3297D">
      <w:pPr>
        <w:numPr>
          <w:ilvl w:val="0"/>
          <w:numId w:val="177"/>
        </w:numPr>
        <w:overflowPunct w:val="0"/>
        <w:autoSpaceDE w:val="0"/>
        <w:autoSpaceDN w:val="0"/>
        <w:adjustRightInd w:val="0"/>
        <w:spacing w:before="120" w:after="120"/>
        <w:ind w:left="284" w:hanging="284"/>
        <w:jc w:val="both"/>
      </w:pPr>
      <w:r>
        <w:t>Znakowanie kabli</w:t>
      </w:r>
    </w:p>
    <w:p w:rsidR="00E3297D" w:rsidRDefault="00E3297D" w:rsidP="00E3297D">
      <w:r>
        <w:tab/>
        <w:t>Kable w studniach kablowych powinny być oznaczone opaskami kablowymi wg BN-78/3233-13 [24] zawierającymi numer kabla.</w:t>
      </w:r>
    </w:p>
    <w:p w:rsidR="00E3297D" w:rsidRDefault="00E3297D" w:rsidP="00E3297D">
      <w:pPr>
        <w:numPr>
          <w:ilvl w:val="0"/>
          <w:numId w:val="178"/>
        </w:numPr>
        <w:overflowPunct w:val="0"/>
        <w:autoSpaceDE w:val="0"/>
        <w:autoSpaceDN w:val="0"/>
        <w:adjustRightInd w:val="0"/>
        <w:spacing w:before="120" w:after="120"/>
        <w:ind w:left="284" w:hanging="284"/>
        <w:jc w:val="both"/>
      </w:pPr>
      <w:r>
        <w:t>Skrzyżowania i zbliżenia</w:t>
      </w:r>
    </w:p>
    <w:p w:rsidR="00E3297D" w:rsidRDefault="00E3297D" w:rsidP="00E3297D">
      <w:pPr>
        <w:numPr>
          <w:ilvl w:val="0"/>
          <w:numId w:val="179"/>
        </w:numPr>
        <w:overflowPunct w:val="0"/>
        <w:autoSpaceDE w:val="0"/>
        <w:autoSpaceDN w:val="0"/>
        <w:adjustRightInd w:val="0"/>
        <w:spacing w:after="120"/>
        <w:ind w:left="284" w:hanging="284"/>
        <w:jc w:val="both"/>
      </w:pPr>
      <w:r>
        <w:t>Wymagania ogólne</w:t>
      </w:r>
    </w:p>
    <w:p w:rsidR="00E3297D" w:rsidRDefault="00E3297D" w:rsidP="00E3297D">
      <w:pPr>
        <w:rPr>
          <w:b/>
        </w:rPr>
      </w:pPr>
      <w:r>
        <w:rPr>
          <w:b/>
        </w:rPr>
        <w:tab/>
      </w:r>
      <w:r>
        <w:t>Przebieg linii kablowej powinien  być wykonany tak, aby liczba miejsc kolizyjnych z innymi urządzeniami była jak najmniejsza.</w:t>
      </w:r>
    </w:p>
    <w:p w:rsidR="00E3297D" w:rsidRDefault="00E3297D" w:rsidP="00E3297D">
      <w:r>
        <w:tab/>
        <w:t>Skrzyżowanie kabli z drogami powinno być pod kątem 90</w:t>
      </w:r>
      <w:r>
        <w:rPr>
          <w:vertAlign w:val="superscript"/>
        </w:rPr>
        <w:t>o</w:t>
      </w:r>
      <w:r>
        <w:t xml:space="preserve"> z dopuszczalną odchyłką do 15</w:t>
      </w:r>
      <w:r>
        <w:rPr>
          <w:vertAlign w:val="superscript"/>
        </w:rPr>
        <w:t>o</w:t>
      </w:r>
      <w:r>
        <w:t>.</w:t>
      </w:r>
    </w:p>
    <w:p w:rsidR="00E3297D" w:rsidRDefault="00E3297D" w:rsidP="00E3297D">
      <w:pPr>
        <w:numPr>
          <w:ilvl w:val="0"/>
          <w:numId w:val="180"/>
        </w:numPr>
        <w:overflowPunct w:val="0"/>
        <w:autoSpaceDE w:val="0"/>
        <w:autoSpaceDN w:val="0"/>
        <w:adjustRightInd w:val="0"/>
        <w:spacing w:before="120" w:after="120"/>
        <w:ind w:left="284" w:hanging="284"/>
        <w:jc w:val="both"/>
      </w:pPr>
      <w:r>
        <w:lastRenderedPageBreak/>
        <w:t>Skrzyżowania i zbliżenia z drogami</w:t>
      </w:r>
    </w:p>
    <w:p w:rsidR="00E3297D" w:rsidRDefault="00E3297D" w:rsidP="00E3297D">
      <w:r>
        <w:tab/>
        <w:t>Na skrzyżowaniach z drogami kable powinny być ułożone w kanalizacji kablowej lub też w rurach ochronnych stalowych, betonowych lub grubościennych z PCW ułożonych zgodnie z wymaganiami wg BN-73/8984-05 [8].</w:t>
      </w:r>
    </w:p>
    <w:p w:rsidR="00E3297D" w:rsidRDefault="00E3297D" w:rsidP="00E3297D">
      <w:r>
        <w:tab/>
        <w:t>Rury ochronne powinny być ułożone poziomo na całej szerokości drogi i co najmniej po 0,5 m poza krawędzie drogi. Przy każdym końcu rury ochronnej powinien być ułożony zapas kabla o długości co najmniej 1 m.</w:t>
      </w:r>
    </w:p>
    <w:p w:rsidR="00E3297D" w:rsidRDefault="00E3297D" w:rsidP="00E3297D">
      <w:r>
        <w:tab/>
        <w:t>Rury ochronne powinny być układane na głębokości:</w:t>
      </w:r>
    </w:p>
    <w:p w:rsidR="00E3297D" w:rsidRDefault="00E3297D" w:rsidP="00E3297D">
      <w:pPr>
        <w:numPr>
          <w:ilvl w:val="0"/>
          <w:numId w:val="144"/>
        </w:numPr>
        <w:overflowPunct w:val="0"/>
        <w:autoSpaceDE w:val="0"/>
        <w:autoSpaceDN w:val="0"/>
        <w:adjustRightInd w:val="0"/>
        <w:ind w:left="328"/>
        <w:jc w:val="both"/>
      </w:pPr>
      <w:r>
        <w:t>co najmniej 1,2 m od powierzchni dróg autostradowych,</w:t>
      </w:r>
    </w:p>
    <w:p w:rsidR="00E3297D" w:rsidRDefault="00E3297D" w:rsidP="00E3297D">
      <w:pPr>
        <w:numPr>
          <w:ilvl w:val="0"/>
          <w:numId w:val="144"/>
        </w:numPr>
        <w:overflowPunct w:val="0"/>
        <w:autoSpaceDE w:val="0"/>
        <w:autoSpaceDN w:val="0"/>
        <w:adjustRightInd w:val="0"/>
        <w:ind w:left="328"/>
        <w:jc w:val="both"/>
      </w:pPr>
      <w:r>
        <w:t>co najmniej 1,0 m od górnej powierzchni dróg pozostałych,</w:t>
      </w:r>
    </w:p>
    <w:p w:rsidR="00E3297D" w:rsidRDefault="00E3297D" w:rsidP="00E3297D">
      <w:pPr>
        <w:numPr>
          <w:ilvl w:val="0"/>
          <w:numId w:val="144"/>
        </w:numPr>
        <w:overflowPunct w:val="0"/>
        <w:autoSpaceDE w:val="0"/>
        <w:autoSpaceDN w:val="0"/>
        <w:adjustRightInd w:val="0"/>
        <w:ind w:left="328"/>
        <w:jc w:val="both"/>
      </w:pPr>
      <w:r>
        <w:t>co najmniej 0,5 m pod dnem rowu odwadniającego.</w:t>
      </w:r>
    </w:p>
    <w:p w:rsidR="00E3297D" w:rsidRDefault="00E3297D" w:rsidP="00E3297D">
      <w:r>
        <w:tab/>
        <w:t>W przypadku równoległego usytuowania trasy linii kablowej w pasie drogowym odległość kabla powinna wynosić co najmniej:</w:t>
      </w:r>
    </w:p>
    <w:p w:rsidR="00E3297D" w:rsidRDefault="00E3297D" w:rsidP="00E3297D">
      <w:pPr>
        <w:numPr>
          <w:ilvl w:val="0"/>
          <w:numId w:val="144"/>
        </w:numPr>
        <w:overflowPunct w:val="0"/>
        <w:autoSpaceDE w:val="0"/>
        <w:autoSpaceDN w:val="0"/>
        <w:adjustRightInd w:val="0"/>
        <w:ind w:left="283"/>
        <w:jc w:val="both"/>
      </w:pPr>
      <w:r>
        <w:t>1 m od krawędzi rowu odwadniającego lub linii podstawy nasypu,</w:t>
      </w:r>
    </w:p>
    <w:p w:rsidR="00E3297D" w:rsidRDefault="00E3297D" w:rsidP="00E3297D">
      <w:pPr>
        <w:numPr>
          <w:ilvl w:val="0"/>
          <w:numId w:val="144"/>
        </w:numPr>
        <w:overflowPunct w:val="0"/>
        <w:autoSpaceDE w:val="0"/>
        <w:autoSpaceDN w:val="0"/>
        <w:adjustRightInd w:val="0"/>
        <w:ind w:left="283"/>
        <w:jc w:val="both"/>
      </w:pPr>
      <w:r>
        <w:t>1 m na zewnątrz od krawędzi jezdni, jeżeli istnieje konieczność usytuowania kabla w koronie drogi,</w:t>
      </w:r>
    </w:p>
    <w:p w:rsidR="00E3297D" w:rsidRDefault="00E3297D" w:rsidP="00E3297D">
      <w:pPr>
        <w:numPr>
          <w:ilvl w:val="0"/>
          <w:numId w:val="144"/>
        </w:numPr>
        <w:overflowPunct w:val="0"/>
        <w:autoSpaceDE w:val="0"/>
        <w:autoSpaceDN w:val="0"/>
        <w:adjustRightInd w:val="0"/>
        <w:ind w:left="283"/>
        <w:jc w:val="both"/>
      </w:pPr>
      <w:r>
        <w:t>0,5 m od krawędzi jezdni, w chodniku lub pasie zieleni.</w:t>
      </w:r>
    </w:p>
    <w:p w:rsidR="00E3297D" w:rsidRDefault="00E3297D" w:rsidP="00E3297D">
      <w:pPr>
        <w:numPr>
          <w:ilvl w:val="0"/>
          <w:numId w:val="181"/>
        </w:numPr>
        <w:overflowPunct w:val="0"/>
        <w:autoSpaceDE w:val="0"/>
        <w:autoSpaceDN w:val="0"/>
        <w:adjustRightInd w:val="0"/>
        <w:spacing w:before="120" w:after="120"/>
        <w:ind w:left="284" w:hanging="284"/>
        <w:jc w:val="both"/>
      </w:pPr>
      <w:r>
        <w:t>Skrzyżowania i zbliżenia z rurociągami</w:t>
      </w:r>
    </w:p>
    <w:p w:rsidR="00E3297D" w:rsidRDefault="00E3297D" w:rsidP="00E3297D">
      <w:r>
        <w:tab/>
        <w:t>Przy skrzyżowaniu z rurociągami podziemnymi kable należy układać nad rurociągami w rurach ochronnych.</w:t>
      </w:r>
    </w:p>
    <w:p w:rsidR="00E3297D" w:rsidRDefault="00E3297D" w:rsidP="00E3297D">
      <w:r>
        <w:tab/>
        <w:t>Długość rury powinna przekraczać o 1 m szerokość obrysu rurociągu z każdej jego strony. Dopuszcza się zabezpieczenie kabla blokami betonowymi wg BN-79/8976-78 [39].</w:t>
      </w:r>
    </w:p>
    <w:p w:rsidR="00E3297D" w:rsidRDefault="00E3297D" w:rsidP="00E3297D">
      <w:r>
        <w:t>Dopuszcza się również ułożenie kabla pod rurociągami, jeżeli górna powierzchnia jego ułożenia jest na głębokości mniejszej niż 0,5 m. W tym przypadku kabel powinien być ułożony w rurze ochronnej lub zabezpieczony pustakami kablowymi wg BN-79/8976-78 [39].</w:t>
      </w:r>
    </w:p>
    <w:p w:rsidR="00E3297D" w:rsidRDefault="00E3297D" w:rsidP="00E3297D">
      <w:pPr>
        <w:numPr>
          <w:ilvl w:val="0"/>
          <w:numId w:val="182"/>
        </w:numPr>
        <w:overflowPunct w:val="0"/>
        <w:autoSpaceDE w:val="0"/>
        <w:autoSpaceDN w:val="0"/>
        <w:adjustRightInd w:val="0"/>
        <w:spacing w:before="120" w:after="120"/>
        <w:ind w:left="284" w:hanging="284"/>
        <w:jc w:val="both"/>
      </w:pPr>
      <w:r>
        <w:t>Skrzyżowania i zbliżenia z kablami elektroenergetycznymi</w:t>
      </w:r>
    </w:p>
    <w:p w:rsidR="00E3297D" w:rsidRDefault="00E3297D" w:rsidP="00E3297D">
      <w:r>
        <w:tab/>
        <w:t>Skrzyżowania i zbliżenia telekomunikacyjnych linii kablowych z liniami kablowymi elektroenergetycznymi powinny być wykonane wg PN-76/E-05125 [18].</w:t>
      </w:r>
    </w:p>
    <w:p w:rsidR="00E3297D" w:rsidRDefault="00E3297D" w:rsidP="00E3297D">
      <w:pPr>
        <w:numPr>
          <w:ilvl w:val="0"/>
          <w:numId w:val="183"/>
        </w:numPr>
        <w:overflowPunct w:val="0"/>
        <w:autoSpaceDE w:val="0"/>
        <w:autoSpaceDN w:val="0"/>
        <w:adjustRightInd w:val="0"/>
        <w:spacing w:before="120"/>
        <w:ind w:left="284" w:hanging="284"/>
        <w:jc w:val="both"/>
      </w:pPr>
      <w:r>
        <w:t xml:space="preserve">Skrzyżowania i zbliżenia z napowietrznymi liniami elektroenergetycznymi </w:t>
      </w:r>
    </w:p>
    <w:p w:rsidR="00E3297D" w:rsidRDefault="00E3297D" w:rsidP="00E3297D">
      <w:pPr>
        <w:spacing w:after="120"/>
      </w:pPr>
      <w:r>
        <w:t xml:space="preserve">            i stacjami transformatorowymi</w:t>
      </w:r>
    </w:p>
    <w:p w:rsidR="00E3297D" w:rsidRDefault="00E3297D" w:rsidP="00E3297D">
      <w:r>
        <w:tab/>
        <w:t>Skrzyżowania i zbliżenia telekomunikacyjnych linii kablowych z napowietrznymi liniami elektroenergetycznymi i stacjami transformatorowymi powinny być wykonane wg PN-75/E-5100 [19].</w:t>
      </w:r>
    </w:p>
    <w:p w:rsidR="00E3297D" w:rsidRDefault="00E3297D" w:rsidP="00E3297D">
      <w:pPr>
        <w:numPr>
          <w:ilvl w:val="0"/>
          <w:numId w:val="184"/>
        </w:numPr>
        <w:overflowPunct w:val="0"/>
        <w:autoSpaceDE w:val="0"/>
        <w:autoSpaceDN w:val="0"/>
        <w:adjustRightInd w:val="0"/>
        <w:spacing w:before="120" w:after="120"/>
        <w:ind w:left="284" w:hanging="284"/>
        <w:jc w:val="both"/>
      </w:pPr>
      <w:r>
        <w:t>Ochrona linii kablowych</w:t>
      </w:r>
    </w:p>
    <w:p w:rsidR="00E3297D" w:rsidRDefault="00E3297D" w:rsidP="00E3297D">
      <w:pPr>
        <w:numPr>
          <w:ilvl w:val="0"/>
          <w:numId w:val="185"/>
        </w:numPr>
        <w:overflowPunct w:val="0"/>
        <w:autoSpaceDE w:val="0"/>
        <w:autoSpaceDN w:val="0"/>
        <w:adjustRightInd w:val="0"/>
        <w:spacing w:after="120"/>
        <w:ind w:left="284" w:hanging="284"/>
        <w:jc w:val="both"/>
      </w:pPr>
      <w:r>
        <w:t>Ochrona kabli przed uszkodzeniami mechanicznymi</w:t>
      </w:r>
    </w:p>
    <w:p w:rsidR="00E3297D" w:rsidRDefault="00E3297D" w:rsidP="00E3297D">
      <w:r>
        <w:tab/>
        <w:t>Kable ułożone bezpośrednio w ziemi powinny być dodatkowo zabezpieczone przed uszkodzeniami mechanicznymi w następujących przypadkach:</w:t>
      </w:r>
    </w:p>
    <w:p w:rsidR="00E3297D" w:rsidRDefault="00E3297D" w:rsidP="00E3297D">
      <w:pPr>
        <w:numPr>
          <w:ilvl w:val="0"/>
          <w:numId w:val="186"/>
        </w:numPr>
        <w:overflowPunct w:val="0"/>
        <w:autoSpaceDE w:val="0"/>
        <w:autoSpaceDN w:val="0"/>
        <w:adjustRightInd w:val="0"/>
        <w:jc w:val="both"/>
      </w:pPr>
      <w:r>
        <w:t>na terenach zabudowanych miast, osiedli i wsi - w granicach zabudowy i po 10 m poza granicą,</w:t>
      </w:r>
    </w:p>
    <w:p w:rsidR="00E3297D" w:rsidRDefault="00E3297D" w:rsidP="00E3297D">
      <w:pPr>
        <w:numPr>
          <w:ilvl w:val="0"/>
          <w:numId w:val="186"/>
        </w:numPr>
        <w:overflowPunct w:val="0"/>
        <w:autoSpaceDE w:val="0"/>
        <w:autoSpaceDN w:val="0"/>
        <w:adjustRightInd w:val="0"/>
        <w:jc w:val="both"/>
      </w:pPr>
      <w:r>
        <w:t>w miejscach ułożenia złączy kablowych, skrzyni pupinizacyjnych oraz po 1 m poza tymi miejscami,</w:t>
      </w:r>
    </w:p>
    <w:p w:rsidR="00E3297D" w:rsidRDefault="00E3297D" w:rsidP="00E3297D">
      <w:pPr>
        <w:numPr>
          <w:ilvl w:val="0"/>
          <w:numId w:val="186"/>
        </w:numPr>
        <w:overflowPunct w:val="0"/>
        <w:autoSpaceDE w:val="0"/>
        <w:autoSpaceDN w:val="0"/>
        <w:adjustRightInd w:val="0"/>
        <w:jc w:val="both"/>
      </w:pPr>
      <w:r>
        <w:t>w miejscach położonych w odległości mniejszej niż 2 m do słupów linii telekomunikacyjnych lub elektroenergetycznych, a także od drzew na terenie leśnym.</w:t>
      </w:r>
    </w:p>
    <w:p w:rsidR="00E3297D" w:rsidRDefault="00E3297D" w:rsidP="00E3297D">
      <w:r>
        <w:tab/>
        <w:t>Kable ułożone bezpośrednio w ziemi zabezpiecza się przed uszkodzeniami mechanicznymi przez:</w:t>
      </w:r>
    </w:p>
    <w:p w:rsidR="00E3297D" w:rsidRDefault="00E3297D" w:rsidP="00E3297D">
      <w:pPr>
        <w:numPr>
          <w:ilvl w:val="0"/>
          <w:numId w:val="144"/>
        </w:numPr>
        <w:overflowPunct w:val="0"/>
        <w:autoSpaceDE w:val="0"/>
        <w:autoSpaceDN w:val="0"/>
        <w:adjustRightInd w:val="0"/>
        <w:ind w:left="283"/>
        <w:jc w:val="both"/>
      </w:pPr>
      <w:r>
        <w:t>ułożenie nad kablem taśmy ostrzegawczej w kolorze żółtym z napisem „Uwaga kabel” - w połowie głębokości ułożenia kabla,</w:t>
      </w:r>
    </w:p>
    <w:p w:rsidR="00E3297D" w:rsidRDefault="00E3297D" w:rsidP="00E3297D">
      <w:pPr>
        <w:numPr>
          <w:ilvl w:val="0"/>
          <w:numId w:val="144"/>
        </w:numPr>
        <w:overflowPunct w:val="0"/>
        <w:autoSpaceDE w:val="0"/>
        <w:autoSpaceDN w:val="0"/>
        <w:adjustRightInd w:val="0"/>
        <w:ind w:left="283"/>
        <w:jc w:val="both"/>
      </w:pPr>
      <w:r>
        <w:t>ułożenie nad kablem kształtek ceramicznych, przykryw betonowych lub żelbetowych wg BN-72/3233-12 [40] na 10 cm warstwie piasku lub rozkruszonego gruntu.</w:t>
      </w:r>
    </w:p>
    <w:p w:rsidR="00E3297D" w:rsidRDefault="00E3297D" w:rsidP="00E3297D">
      <w:pPr>
        <w:numPr>
          <w:ilvl w:val="0"/>
          <w:numId w:val="187"/>
        </w:numPr>
        <w:overflowPunct w:val="0"/>
        <w:autoSpaceDE w:val="0"/>
        <w:autoSpaceDN w:val="0"/>
        <w:adjustRightInd w:val="0"/>
        <w:spacing w:before="120" w:after="120"/>
        <w:ind w:left="284" w:hanging="284"/>
        <w:jc w:val="both"/>
      </w:pPr>
      <w:r>
        <w:t>Ochrona kabli ziemnych przed wyładowaniami atmosferycznymi</w:t>
      </w:r>
    </w:p>
    <w:p w:rsidR="00E3297D" w:rsidRDefault="00E3297D" w:rsidP="00E3297D">
      <w:r>
        <w:tab/>
        <w:t>Ochrona kabli ułożonych w ziemi przed wyładowaniami atmosferycznymi powinna być wykonana zgodnie z wytycznymi ochrony odgromowej telekomunikacyjnych kabli dalekosiężnych o powłokach metalowych.</w:t>
      </w:r>
    </w:p>
    <w:p w:rsidR="00E3297D" w:rsidRDefault="00E3297D" w:rsidP="00E3297D">
      <w:pPr>
        <w:numPr>
          <w:ilvl w:val="0"/>
          <w:numId w:val="188"/>
        </w:numPr>
        <w:overflowPunct w:val="0"/>
        <w:autoSpaceDE w:val="0"/>
        <w:autoSpaceDN w:val="0"/>
        <w:adjustRightInd w:val="0"/>
        <w:spacing w:before="120" w:after="120"/>
        <w:ind w:left="284" w:hanging="284"/>
        <w:jc w:val="both"/>
      </w:pPr>
      <w:r>
        <w:t>Ochrona kabli przed korozją</w:t>
      </w:r>
    </w:p>
    <w:p w:rsidR="00E3297D" w:rsidRDefault="00E3297D" w:rsidP="00E3297D">
      <w:r>
        <w:tab/>
        <w:t>Kable telekomunikacyjne powinny być zabezpieczone przed działaniem korozji elektrochemicznej przez zastosowanie ochrony biernej i ochrony katodowej zgodnie z PN-77/E-05030/00 i 01 [41].</w:t>
      </w:r>
    </w:p>
    <w:p w:rsidR="00E3297D" w:rsidRDefault="00E3297D" w:rsidP="00E3297D">
      <w:pPr>
        <w:numPr>
          <w:ilvl w:val="0"/>
          <w:numId w:val="189"/>
        </w:numPr>
        <w:overflowPunct w:val="0"/>
        <w:autoSpaceDE w:val="0"/>
        <w:autoSpaceDN w:val="0"/>
        <w:adjustRightInd w:val="0"/>
        <w:spacing w:after="120"/>
        <w:ind w:left="284" w:hanging="284"/>
        <w:jc w:val="both"/>
      </w:pPr>
      <w:r>
        <w:t>Ochrona ciśnieniowa linii kablowych</w:t>
      </w:r>
    </w:p>
    <w:p w:rsidR="00E3297D" w:rsidRDefault="00E3297D" w:rsidP="00E3297D">
      <w:r>
        <w:lastRenderedPageBreak/>
        <w:tab/>
        <w:t>Wszystkie linie kablowe międzymiastowe i wewnątrzstrefowe powinny być szczelne, a więc ośrodki tych kabli powinny być trwale zabezpieczone przed dostępem wilgoci za pomocą powłok kablowych. Linie kablowe powinny być poddane kontroli ciśnieniowej z automatycznym dopełnieniem gazu wg BN-76/8984-26 [20].</w:t>
      </w:r>
    </w:p>
    <w:p w:rsidR="00E3297D" w:rsidRDefault="00E3297D" w:rsidP="00E3297D">
      <w:pPr>
        <w:pStyle w:val="Nagwek1"/>
      </w:pPr>
      <w:bookmarkStart w:id="492" w:name="_Toc468518135"/>
      <w:bookmarkStart w:id="493" w:name="_Toc466861806"/>
      <w:bookmarkStart w:id="494" w:name="_Toc466435444"/>
      <w:r>
        <w:t>6. kontrola jakości robót</w:t>
      </w:r>
      <w:bookmarkEnd w:id="492"/>
      <w:bookmarkEnd w:id="493"/>
      <w:bookmarkEnd w:id="494"/>
    </w:p>
    <w:p w:rsidR="00E3297D" w:rsidRDefault="00E3297D" w:rsidP="00E3297D">
      <w:pPr>
        <w:pStyle w:val="Nagwek2"/>
      </w:pPr>
      <w:r>
        <w:t>6.1. Ogólne zasady kontroli jakości robót</w:t>
      </w:r>
    </w:p>
    <w:p w:rsidR="00E3297D" w:rsidRDefault="00E3297D" w:rsidP="00E3297D">
      <w:r>
        <w:tab/>
        <w:t xml:space="preserve">Ogólne zasady kontroli jakości robót podano w </w:t>
      </w:r>
      <w:r w:rsidR="00216C9A">
        <w:t>SST</w:t>
      </w:r>
      <w:r>
        <w:t xml:space="preserve"> D-M-00.00.00 „Wymagania ogólne”.</w:t>
      </w:r>
    </w:p>
    <w:p w:rsidR="00E3297D" w:rsidRDefault="00E3297D" w:rsidP="00E3297D">
      <w:r>
        <w:tab/>
        <w:t>Celem kontroli jest stwierdzenie osiągnięcia założonej jakości wykonywanych robót przy przebudowie linii kablowej.</w:t>
      </w:r>
    </w:p>
    <w:p w:rsidR="00E3297D" w:rsidRDefault="00E3297D" w:rsidP="00E3297D">
      <w:r>
        <w:tab/>
        <w:t xml:space="preserve">Wykonawca ma obowiązek wykonania pełnego zakresu badań na budowie w celu wskazania Inżynierowi zgodności dostarczonych materiałów i realizowanych robót z dokumentacją projektową oraz wymaganiami </w:t>
      </w:r>
      <w:r w:rsidR="00216C9A">
        <w:t>SST</w:t>
      </w:r>
      <w:r>
        <w:t>, SST i PZJ.</w:t>
      </w:r>
    </w:p>
    <w:p w:rsidR="00E3297D" w:rsidRDefault="00E3297D" w:rsidP="00E3297D">
      <w:r>
        <w:tab/>
        <w:t>Przed przystąpieniem do badania, Wykonawca powinien powiadomić Inżyniera o rodzaju i terminie badania.</w:t>
      </w:r>
    </w:p>
    <w:p w:rsidR="00E3297D" w:rsidRDefault="00E3297D" w:rsidP="00E3297D">
      <w:r>
        <w:tab/>
        <w:t>Po wykonaniu badania, Wykonawca przedstawia na piśmie wyniki badań do akceptacji Inżyniera.</w:t>
      </w:r>
    </w:p>
    <w:p w:rsidR="00E3297D" w:rsidRDefault="00E3297D" w:rsidP="00E3297D">
      <w:r>
        <w:tab/>
        <w:t>Wykonawca powiadamia pisemnie Inżyniera o zakończeniu każdej roboty zanikającej, którą może kontynuować dopiero po pisemnej akceptacji odbioru przez Inżyniera.</w:t>
      </w:r>
    </w:p>
    <w:p w:rsidR="00E3297D" w:rsidRDefault="00E3297D" w:rsidP="00E3297D">
      <w:r>
        <w:tab/>
        <w:t>Kontrola jakości robót telekomunikacyjnych powinna odbywać się w obecności przedstawicieli urzędu telekomunikacyjnego i zakładu radiokomunikacji i teletransmisji. Jakość robót musi uzyskać akceptację tych instytucji.</w:t>
      </w:r>
    </w:p>
    <w:p w:rsidR="00E3297D" w:rsidRDefault="00E3297D" w:rsidP="00E3297D">
      <w:pPr>
        <w:pStyle w:val="Nagwek2"/>
      </w:pPr>
      <w:r>
        <w:t>6.2. Kanalizacja teletechniczna</w:t>
      </w:r>
    </w:p>
    <w:p w:rsidR="00E3297D" w:rsidRDefault="00E3297D" w:rsidP="00E3297D">
      <w:r>
        <w:tab/>
        <w:t>Kontrola jakości wykonania kanalizacji teletechnicznej polega na sprawdzeniu:</w:t>
      </w:r>
    </w:p>
    <w:p w:rsidR="00E3297D" w:rsidRDefault="00E3297D" w:rsidP="00E3297D">
      <w:pPr>
        <w:numPr>
          <w:ilvl w:val="0"/>
          <w:numId w:val="144"/>
        </w:numPr>
        <w:overflowPunct w:val="0"/>
        <w:autoSpaceDE w:val="0"/>
        <w:autoSpaceDN w:val="0"/>
        <w:adjustRightInd w:val="0"/>
        <w:ind w:left="283"/>
        <w:jc w:val="both"/>
      </w:pPr>
      <w:r>
        <w:t xml:space="preserve">trasy kanalizacji przez oględziny uporządkowania terenu wzdłuż ciągów kanalizacji w miejscach </w:t>
      </w:r>
      <w:proofErr w:type="spellStart"/>
      <w:r>
        <w:t>studzien</w:t>
      </w:r>
      <w:proofErr w:type="spellEnd"/>
      <w:r>
        <w:t xml:space="preserve"> kablowych,</w:t>
      </w:r>
    </w:p>
    <w:p w:rsidR="00E3297D" w:rsidRDefault="00E3297D" w:rsidP="00E3297D">
      <w:pPr>
        <w:numPr>
          <w:ilvl w:val="0"/>
          <w:numId w:val="144"/>
        </w:numPr>
        <w:overflowPunct w:val="0"/>
        <w:autoSpaceDE w:val="0"/>
        <w:autoSpaceDN w:val="0"/>
        <w:adjustRightInd w:val="0"/>
        <w:ind w:left="283"/>
        <w:jc w:val="both"/>
      </w:pPr>
      <w:r>
        <w:t>przebiegu kanalizacji na zgodność z dokumentacją projektową,</w:t>
      </w:r>
    </w:p>
    <w:p w:rsidR="00E3297D" w:rsidRDefault="00E3297D" w:rsidP="00E3297D">
      <w:pPr>
        <w:numPr>
          <w:ilvl w:val="0"/>
          <w:numId w:val="144"/>
        </w:numPr>
        <w:overflowPunct w:val="0"/>
        <w:autoSpaceDE w:val="0"/>
        <w:autoSpaceDN w:val="0"/>
        <w:adjustRightInd w:val="0"/>
        <w:ind w:left="283"/>
        <w:jc w:val="both"/>
      </w:pPr>
      <w:r>
        <w:t>prawidłowości wykonania ciągów kanalizacji polegającej na sprawdzeniu drożności rur, wykonania skrzyżowań z obiektami,</w:t>
      </w:r>
    </w:p>
    <w:p w:rsidR="00E3297D" w:rsidRDefault="00E3297D" w:rsidP="00E3297D">
      <w:pPr>
        <w:numPr>
          <w:ilvl w:val="0"/>
          <w:numId w:val="144"/>
        </w:numPr>
        <w:overflowPunct w:val="0"/>
        <w:autoSpaceDE w:val="0"/>
        <w:autoSpaceDN w:val="0"/>
        <w:adjustRightInd w:val="0"/>
        <w:ind w:left="283"/>
        <w:jc w:val="both"/>
      </w:pPr>
      <w:r>
        <w:t>prawidłowości budowy studni kablowych polegającej na sprawdzeniu wymagań normy BN-85/8984-01 [4].</w:t>
      </w:r>
    </w:p>
    <w:p w:rsidR="00E3297D" w:rsidRDefault="00E3297D" w:rsidP="00E3297D">
      <w:pPr>
        <w:pStyle w:val="Nagwek2"/>
      </w:pPr>
      <w:r>
        <w:t>6.3. Telekomunikacyjne kable miejscowe</w:t>
      </w:r>
    </w:p>
    <w:p w:rsidR="00E3297D" w:rsidRDefault="00E3297D" w:rsidP="00E3297D">
      <w:r>
        <w:tab/>
        <w:t>Kontrola jakości wykonania przebudowy telekomunikacyjnych kabli miejscowych polega na sprawdzeniu:</w:t>
      </w:r>
    </w:p>
    <w:p w:rsidR="00E3297D" w:rsidRDefault="00E3297D" w:rsidP="00E3297D">
      <w:pPr>
        <w:numPr>
          <w:ilvl w:val="0"/>
          <w:numId w:val="144"/>
        </w:numPr>
        <w:overflowPunct w:val="0"/>
        <w:autoSpaceDE w:val="0"/>
        <w:autoSpaceDN w:val="0"/>
        <w:adjustRightInd w:val="0"/>
        <w:ind w:left="283"/>
        <w:jc w:val="both"/>
      </w:pPr>
      <w:r>
        <w:t>tras kablowych,</w:t>
      </w:r>
    </w:p>
    <w:p w:rsidR="00E3297D" w:rsidRDefault="00E3297D" w:rsidP="00E3297D">
      <w:pPr>
        <w:numPr>
          <w:ilvl w:val="0"/>
          <w:numId w:val="144"/>
        </w:numPr>
        <w:overflowPunct w:val="0"/>
        <w:autoSpaceDE w:val="0"/>
        <w:autoSpaceDN w:val="0"/>
        <w:adjustRightInd w:val="0"/>
        <w:ind w:left="283"/>
        <w:jc w:val="both"/>
      </w:pPr>
      <w:r>
        <w:t>skrzyżowań i zbliżeń kabli doziemnych,</w:t>
      </w:r>
    </w:p>
    <w:p w:rsidR="00E3297D" w:rsidRDefault="00E3297D" w:rsidP="00E3297D">
      <w:pPr>
        <w:numPr>
          <w:ilvl w:val="0"/>
          <w:numId w:val="144"/>
        </w:numPr>
        <w:overflowPunct w:val="0"/>
        <w:autoSpaceDE w:val="0"/>
        <w:autoSpaceDN w:val="0"/>
        <w:adjustRightInd w:val="0"/>
        <w:ind w:left="283"/>
        <w:jc w:val="both"/>
      </w:pPr>
      <w:r>
        <w:t>ochrony linii kablowych,</w:t>
      </w:r>
    </w:p>
    <w:p w:rsidR="00E3297D" w:rsidRDefault="00E3297D" w:rsidP="00E3297D">
      <w:pPr>
        <w:numPr>
          <w:ilvl w:val="0"/>
          <w:numId w:val="144"/>
        </w:numPr>
        <w:overflowPunct w:val="0"/>
        <w:autoSpaceDE w:val="0"/>
        <w:autoSpaceDN w:val="0"/>
        <w:adjustRightInd w:val="0"/>
        <w:ind w:left="283"/>
        <w:jc w:val="both"/>
      </w:pPr>
      <w:r>
        <w:t>szczelności powłok,</w:t>
      </w:r>
    </w:p>
    <w:p w:rsidR="00E3297D" w:rsidRDefault="00E3297D" w:rsidP="00E3297D">
      <w:pPr>
        <w:numPr>
          <w:ilvl w:val="0"/>
          <w:numId w:val="144"/>
        </w:numPr>
        <w:overflowPunct w:val="0"/>
        <w:autoSpaceDE w:val="0"/>
        <w:autoSpaceDN w:val="0"/>
        <w:adjustRightInd w:val="0"/>
        <w:ind w:left="283"/>
        <w:jc w:val="both"/>
      </w:pPr>
      <w:r>
        <w:t>zabezpieczenia kabli przed korozją.</w:t>
      </w:r>
    </w:p>
    <w:p w:rsidR="00E3297D" w:rsidRDefault="00E3297D" w:rsidP="00E3297D">
      <w:r>
        <w:tab/>
        <w:t>Wymagania dotyczące powyższych czynności podane są w punkcie 7.2 normy BN-76/8984-17 [17].</w:t>
      </w:r>
    </w:p>
    <w:p w:rsidR="00E3297D" w:rsidRDefault="00E3297D" w:rsidP="00E3297D">
      <w:r>
        <w:tab/>
        <w:t>Ponadto należy przeprowadzić próby i badania elektryczne na zgodność z punktem 4 normy BN-76/8984-17 [17].</w:t>
      </w:r>
    </w:p>
    <w:p w:rsidR="00E3297D" w:rsidRDefault="00E3297D" w:rsidP="00E3297D">
      <w:pPr>
        <w:pStyle w:val="Nagwek2"/>
      </w:pPr>
      <w:r>
        <w:t>6.4. Telekomunikacyjne kable dalekosiężne</w:t>
      </w:r>
    </w:p>
    <w:p w:rsidR="00E3297D" w:rsidRDefault="00E3297D" w:rsidP="00E3297D">
      <w:r>
        <w:tab/>
        <w:t>Kontrola jakości wykonania przebudowy telekomunikacyjnych kabli dalekosiężnych polega na sprawdzeniu:</w:t>
      </w:r>
    </w:p>
    <w:p w:rsidR="00E3297D" w:rsidRDefault="00E3297D" w:rsidP="00E3297D">
      <w:pPr>
        <w:numPr>
          <w:ilvl w:val="0"/>
          <w:numId w:val="144"/>
        </w:numPr>
        <w:overflowPunct w:val="0"/>
        <w:autoSpaceDE w:val="0"/>
        <w:autoSpaceDN w:val="0"/>
        <w:adjustRightInd w:val="0"/>
        <w:ind w:left="283"/>
        <w:jc w:val="both"/>
      </w:pPr>
      <w:r>
        <w:t>montażu kabla i jego elementów poprzez oględziny,</w:t>
      </w:r>
    </w:p>
    <w:p w:rsidR="00E3297D" w:rsidRDefault="00E3297D" w:rsidP="00E3297D">
      <w:pPr>
        <w:numPr>
          <w:ilvl w:val="0"/>
          <w:numId w:val="144"/>
        </w:numPr>
        <w:overflowPunct w:val="0"/>
        <w:autoSpaceDE w:val="0"/>
        <w:autoSpaceDN w:val="0"/>
        <w:adjustRightInd w:val="0"/>
        <w:ind w:left="283"/>
        <w:jc w:val="both"/>
      </w:pPr>
      <w:r>
        <w:t>wymiarów,</w:t>
      </w:r>
    </w:p>
    <w:p w:rsidR="00E3297D" w:rsidRDefault="00E3297D" w:rsidP="00E3297D">
      <w:pPr>
        <w:numPr>
          <w:ilvl w:val="0"/>
          <w:numId w:val="144"/>
        </w:numPr>
        <w:overflowPunct w:val="0"/>
        <w:autoSpaceDE w:val="0"/>
        <w:autoSpaceDN w:val="0"/>
        <w:adjustRightInd w:val="0"/>
        <w:ind w:left="283"/>
        <w:jc w:val="both"/>
      </w:pPr>
      <w:r>
        <w:t>materiałów,</w:t>
      </w:r>
    </w:p>
    <w:p w:rsidR="00E3297D" w:rsidRDefault="00E3297D" w:rsidP="00E3297D">
      <w:pPr>
        <w:numPr>
          <w:ilvl w:val="0"/>
          <w:numId w:val="144"/>
        </w:numPr>
        <w:overflowPunct w:val="0"/>
        <w:autoSpaceDE w:val="0"/>
        <w:autoSpaceDN w:val="0"/>
        <w:adjustRightInd w:val="0"/>
        <w:ind w:left="283"/>
        <w:jc w:val="both"/>
      </w:pPr>
      <w:r>
        <w:t>poprawności doboru średnic żył i pojemności jednostkowych,</w:t>
      </w:r>
    </w:p>
    <w:p w:rsidR="00E3297D" w:rsidRDefault="00E3297D" w:rsidP="00E3297D">
      <w:pPr>
        <w:numPr>
          <w:ilvl w:val="0"/>
          <w:numId w:val="144"/>
        </w:numPr>
        <w:overflowPunct w:val="0"/>
        <w:autoSpaceDE w:val="0"/>
        <w:autoSpaceDN w:val="0"/>
        <w:adjustRightInd w:val="0"/>
        <w:ind w:left="283"/>
        <w:jc w:val="both"/>
      </w:pPr>
      <w:r>
        <w:t>doboru osłon złączy i muf,</w:t>
      </w:r>
    </w:p>
    <w:p w:rsidR="00E3297D" w:rsidRDefault="00E3297D" w:rsidP="00E3297D">
      <w:pPr>
        <w:numPr>
          <w:ilvl w:val="0"/>
          <w:numId w:val="144"/>
        </w:numPr>
        <w:overflowPunct w:val="0"/>
        <w:autoSpaceDE w:val="0"/>
        <w:autoSpaceDN w:val="0"/>
        <w:adjustRightInd w:val="0"/>
        <w:ind w:left="283"/>
        <w:jc w:val="both"/>
      </w:pPr>
      <w:r>
        <w:t>długości odcinków pupinizacyjnych,</w:t>
      </w:r>
    </w:p>
    <w:p w:rsidR="00E3297D" w:rsidRDefault="00E3297D" w:rsidP="00E3297D">
      <w:pPr>
        <w:numPr>
          <w:ilvl w:val="0"/>
          <w:numId w:val="144"/>
        </w:numPr>
        <w:overflowPunct w:val="0"/>
        <w:autoSpaceDE w:val="0"/>
        <w:autoSpaceDN w:val="0"/>
        <w:adjustRightInd w:val="0"/>
        <w:ind w:left="283"/>
        <w:jc w:val="both"/>
      </w:pPr>
      <w:r>
        <w:t>głębokości ułożenia kabla w ziemi,</w:t>
      </w:r>
    </w:p>
    <w:p w:rsidR="00E3297D" w:rsidRDefault="00E3297D" w:rsidP="00E3297D">
      <w:pPr>
        <w:numPr>
          <w:ilvl w:val="0"/>
          <w:numId w:val="144"/>
        </w:numPr>
        <w:overflowPunct w:val="0"/>
        <w:autoSpaceDE w:val="0"/>
        <w:autoSpaceDN w:val="0"/>
        <w:adjustRightInd w:val="0"/>
        <w:ind w:left="283"/>
        <w:jc w:val="both"/>
      </w:pPr>
      <w:r>
        <w:t>wykonania zbliżeń i skrzyżowań linii kablowej,</w:t>
      </w:r>
    </w:p>
    <w:p w:rsidR="00E3297D" w:rsidRDefault="00E3297D" w:rsidP="00E3297D">
      <w:pPr>
        <w:numPr>
          <w:ilvl w:val="0"/>
          <w:numId w:val="144"/>
        </w:numPr>
        <w:overflowPunct w:val="0"/>
        <w:autoSpaceDE w:val="0"/>
        <w:autoSpaceDN w:val="0"/>
        <w:adjustRightInd w:val="0"/>
        <w:ind w:left="283"/>
        <w:jc w:val="both"/>
      </w:pPr>
      <w:r>
        <w:t>montażu złączy kablowych,</w:t>
      </w:r>
    </w:p>
    <w:p w:rsidR="00E3297D" w:rsidRDefault="00E3297D" w:rsidP="00E3297D">
      <w:pPr>
        <w:numPr>
          <w:ilvl w:val="0"/>
          <w:numId w:val="144"/>
        </w:numPr>
        <w:overflowPunct w:val="0"/>
        <w:autoSpaceDE w:val="0"/>
        <w:autoSpaceDN w:val="0"/>
        <w:adjustRightInd w:val="0"/>
        <w:ind w:left="283"/>
        <w:jc w:val="both"/>
      </w:pPr>
      <w:r>
        <w:t>ochrony przed uszkodzeniami mechanicznymi,</w:t>
      </w:r>
    </w:p>
    <w:p w:rsidR="00E3297D" w:rsidRDefault="00E3297D" w:rsidP="00E3297D">
      <w:pPr>
        <w:numPr>
          <w:ilvl w:val="0"/>
          <w:numId w:val="144"/>
        </w:numPr>
        <w:overflowPunct w:val="0"/>
        <w:autoSpaceDE w:val="0"/>
        <w:autoSpaceDN w:val="0"/>
        <w:adjustRightInd w:val="0"/>
        <w:ind w:left="283"/>
        <w:jc w:val="both"/>
      </w:pPr>
      <w:r>
        <w:t>ochrony od wyładowań atmosferycznych,</w:t>
      </w:r>
    </w:p>
    <w:p w:rsidR="00E3297D" w:rsidRDefault="00E3297D" w:rsidP="00E3297D">
      <w:pPr>
        <w:numPr>
          <w:ilvl w:val="0"/>
          <w:numId w:val="144"/>
        </w:numPr>
        <w:overflowPunct w:val="0"/>
        <w:autoSpaceDE w:val="0"/>
        <w:autoSpaceDN w:val="0"/>
        <w:adjustRightInd w:val="0"/>
        <w:ind w:left="283"/>
        <w:jc w:val="both"/>
      </w:pPr>
      <w:r>
        <w:t>ochrony ciśnieniowej,</w:t>
      </w:r>
    </w:p>
    <w:p w:rsidR="00E3297D" w:rsidRDefault="00E3297D" w:rsidP="00E3297D">
      <w:pPr>
        <w:numPr>
          <w:ilvl w:val="0"/>
          <w:numId w:val="144"/>
        </w:numPr>
        <w:overflowPunct w:val="0"/>
        <w:autoSpaceDE w:val="0"/>
        <w:autoSpaceDN w:val="0"/>
        <w:adjustRightInd w:val="0"/>
        <w:ind w:left="283"/>
        <w:jc w:val="both"/>
      </w:pPr>
      <w:r>
        <w:lastRenderedPageBreak/>
        <w:t>wykonania środków ochrony przed korozją.</w:t>
      </w:r>
    </w:p>
    <w:p w:rsidR="00E3297D" w:rsidRDefault="00E3297D" w:rsidP="00E3297D">
      <w:r>
        <w:tab/>
        <w:t>Ponadto należy przeprowadzić próby badania i pomiary elektryczne na zgodność z wymaganiami punktu 11 normy BN-89/8984-18 [42].</w:t>
      </w:r>
    </w:p>
    <w:p w:rsidR="00E3297D" w:rsidRDefault="00E3297D" w:rsidP="00E3297D">
      <w:pPr>
        <w:pStyle w:val="Nagwek2"/>
      </w:pPr>
      <w:r>
        <w:t>6.5. Ocena wyników badań</w:t>
      </w:r>
    </w:p>
    <w:p w:rsidR="00E3297D" w:rsidRDefault="00E3297D" w:rsidP="00E3297D">
      <w:pPr>
        <w:ind w:firstLine="709"/>
      </w:pPr>
      <w:r>
        <w:t xml:space="preserve">Przedstawioną do odbioru kablową linię telekomunikacyjną należy uznać za wykonaną zgodnie z wymaganiami normy, jeżeli sprawdzenia i pomiary podane w    rozdziale 6 </w:t>
      </w:r>
      <w:r w:rsidR="00216C9A">
        <w:t>SST</w:t>
      </w:r>
      <w:r>
        <w:t xml:space="preserve"> dały dodatni wynik.</w:t>
      </w:r>
    </w:p>
    <w:p w:rsidR="00E3297D" w:rsidRDefault="00E3297D" w:rsidP="00E3297D">
      <w:r>
        <w:tab/>
        <w:t xml:space="preserve">Elementy linii i kanalizacji, które w wyniku przeprowadzonych badań otrzymały ocenę ujemną, powinny być wymienione lub poprawione i ponownie zgłoszone do odbioru. </w:t>
      </w:r>
    </w:p>
    <w:p w:rsidR="00E3297D" w:rsidRDefault="00E3297D" w:rsidP="00E3297D">
      <w:pPr>
        <w:pStyle w:val="Nagwek1"/>
      </w:pPr>
      <w:bookmarkStart w:id="495" w:name="_Toc468518136"/>
      <w:bookmarkStart w:id="496" w:name="_Toc467298654"/>
      <w:bookmarkStart w:id="497" w:name="_Toc466861807"/>
      <w:bookmarkStart w:id="498" w:name="_Toc466435445"/>
      <w:r>
        <w:t>7. obmiar robót</w:t>
      </w:r>
      <w:bookmarkEnd w:id="495"/>
      <w:bookmarkEnd w:id="496"/>
      <w:bookmarkEnd w:id="497"/>
      <w:bookmarkEnd w:id="498"/>
    </w:p>
    <w:p w:rsidR="00E3297D" w:rsidRDefault="00E3297D" w:rsidP="00E3297D">
      <w:r>
        <w:tab/>
        <w:t xml:space="preserve">Ogólne wymagania dotyczące obmiaru robót podano w </w:t>
      </w:r>
      <w:r w:rsidR="00216C9A">
        <w:t>SST</w:t>
      </w:r>
      <w:r>
        <w:t xml:space="preserve"> D-M-00.00.00 „Wymagania ogólne”.</w:t>
      </w:r>
    </w:p>
    <w:p w:rsidR="00E3297D" w:rsidRDefault="00E3297D" w:rsidP="00E3297D">
      <w:r>
        <w:tab/>
        <w:t>Obmiaru robót dokonać należy w oparciu o dokumentację projektową i ewentualnie dodatkowe ustalenia, wynikłe w czasie budowy, akceptowane przez Inżyniera.</w:t>
      </w:r>
    </w:p>
    <w:p w:rsidR="00E3297D" w:rsidRDefault="00E3297D" w:rsidP="00E3297D">
      <w:r>
        <w:tab/>
        <w:t>Jednostką obmiarową kablowych linii telekomunikacyjnych jest kilometr.</w:t>
      </w:r>
    </w:p>
    <w:p w:rsidR="00E3297D" w:rsidRDefault="00E3297D" w:rsidP="00E3297D">
      <w:pPr>
        <w:pStyle w:val="Nagwek1"/>
      </w:pPr>
      <w:r>
        <w:t>. odbiór robót</w:t>
      </w:r>
    </w:p>
    <w:p w:rsidR="00E3297D" w:rsidRDefault="00E3297D" w:rsidP="00E3297D">
      <w:r>
        <w:tab/>
        <w:t xml:space="preserve">Ogólne wymagania dotyczące odbioru robót podano w </w:t>
      </w:r>
      <w:r w:rsidR="00216C9A">
        <w:t>SST</w:t>
      </w:r>
      <w:r>
        <w:t xml:space="preserve"> D-M-00.00.00 „Wymagania ogólne”.</w:t>
      </w:r>
    </w:p>
    <w:p w:rsidR="00E3297D" w:rsidRDefault="00E3297D" w:rsidP="00E3297D">
      <w:r>
        <w:tab/>
        <w:t>Po wykonaniu przebudowy kanalizacji teletechnicznej i kabli telekomunikacyjnych do eksploatacji, Wykonawca zobowiązany jest dostarczyć Zamawiającemu następujące dokumenty:</w:t>
      </w:r>
    </w:p>
    <w:p w:rsidR="00E3297D" w:rsidRDefault="00E3297D" w:rsidP="00E3297D">
      <w:pPr>
        <w:numPr>
          <w:ilvl w:val="0"/>
          <w:numId w:val="97"/>
        </w:numPr>
        <w:overflowPunct w:val="0"/>
        <w:autoSpaceDE w:val="0"/>
        <w:autoSpaceDN w:val="0"/>
        <w:adjustRightInd w:val="0"/>
        <w:jc w:val="both"/>
      </w:pPr>
      <w:r>
        <w:t>aktualną powykonawczą dokumentację projektową,</w:t>
      </w:r>
    </w:p>
    <w:p w:rsidR="00E3297D" w:rsidRDefault="00E3297D" w:rsidP="00E3297D">
      <w:pPr>
        <w:numPr>
          <w:ilvl w:val="0"/>
          <w:numId w:val="97"/>
        </w:numPr>
        <w:overflowPunct w:val="0"/>
        <w:autoSpaceDE w:val="0"/>
        <w:autoSpaceDN w:val="0"/>
        <w:adjustRightInd w:val="0"/>
        <w:jc w:val="both"/>
      </w:pPr>
      <w:r>
        <w:t>geodezyjną dokumentację powykonawczą,</w:t>
      </w:r>
    </w:p>
    <w:p w:rsidR="00E3297D" w:rsidRDefault="00E3297D" w:rsidP="00E3297D">
      <w:pPr>
        <w:numPr>
          <w:ilvl w:val="0"/>
          <w:numId w:val="97"/>
        </w:numPr>
        <w:overflowPunct w:val="0"/>
        <w:autoSpaceDE w:val="0"/>
        <w:autoSpaceDN w:val="0"/>
        <w:adjustRightInd w:val="0"/>
        <w:jc w:val="both"/>
      </w:pPr>
      <w:proofErr w:type="spellStart"/>
      <w:r>
        <w:t>protokóły</w:t>
      </w:r>
      <w:proofErr w:type="spellEnd"/>
      <w:r>
        <w:t xml:space="preserve"> z dokonanych pomiarów,</w:t>
      </w:r>
    </w:p>
    <w:p w:rsidR="00E3297D" w:rsidRDefault="00E3297D" w:rsidP="00E3297D">
      <w:pPr>
        <w:numPr>
          <w:ilvl w:val="0"/>
          <w:numId w:val="97"/>
        </w:numPr>
        <w:overflowPunct w:val="0"/>
        <w:autoSpaceDE w:val="0"/>
        <w:autoSpaceDN w:val="0"/>
        <w:adjustRightInd w:val="0"/>
        <w:jc w:val="both"/>
      </w:pPr>
      <w:proofErr w:type="spellStart"/>
      <w:r>
        <w:t>protokóły</w:t>
      </w:r>
      <w:proofErr w:type="spellEnd"/>
      <w:r>
        <w:t xml:space="preserve"> odbioru robót zanikających,</w:t>
      </w:r>
    </w:p>
    <w:p w:rsidR="00E3297D" w:rsidRDefault="00E3297D" w:rsidP="00E3297D">
      <w:pPr>
        <w:numPr>
          <w:ilvl w:val="0"/>
          <w:numId w:val="97"/>
        </w:numPr>
        <w:overflowPunct w:val="0"/>
        <w:autoSpaceDE w:val="0"/>
        <w:autoSpaceDN w:val="0"/>
        <w:adjustRightInd w:val="0"/>
        <w:jc w:val="both"/>
      </w:pPr>
      <w:r>
        <w:t>protokół odbioru robót przez właściwy urząd telekomunikacyjny i zakład radiokomunikacji i teletransmisji.</w:t>
      </w:r>
    </w:p>
    <w:p w:rsidR="00E3297D" w:rsidRDefault="00E3297D" w:rsidP="00E3297D">
      <w:pPr>
        <w:pStyle w:val="Nagwek1"/>
      </w:pPr>
      <w:bookmarkStart w:id="499" w:name="_Toc468518138"/>
      <w:bookmarkStart w:id="500" w:name="_Toc467298656"/>
      <w:r>
        <w:t>9. podstawa płatności</w:t>
      </w:r>
      <w:bookmarkEnd w:id="499"/>
      <w:bookmarkEnd w:id="500"/>
    </w:p>
    <w:p w:rsidR="00E3297D" w:rsidRDefault="00E3297D" w:rsidP="00E3297D">
      <w:r>
        <w:tab/>
        <w:t>Płatność za jednostkę obmiarową należy przyjmować zgodnie z obmiarem i oceną jakości wykonanych robót na podstawie atestów producenta urządzeń, oględzin i pomiarów sprawdzających.</w:t>
      </w:r>
    </w:p>
    <w:p w:rsidR="00E3297D" w:rsidRDefault="00E3297D" w:rsidP="00E3297D">
      <w:r>
        <w:tab/>
        <w:t>Cena wykonania robót obejmuje:</w:t>
      </w:r>
    </w:p>
    <w:p w:rsidR="00E3297D" w:rsidRDefault="00E3297D" w:rsidP="00E3297D">
      <w:pPr>
        <w:numPr>
          <w:ilvl w:val="0"/>
          <w:numId w:val="97"/>
        </w:numPr>
        <w:overflowPunct w:val="0"/>
        <w:autoSpaceDE w:val="0"/>
        <w:autoSpaceDN w:val="0"/>
        <w:adjustRightInd w:val="0"/>
        <w:jc w:val="both"/>
      </w:pPr>
      <w:r>
        <w:t>roboty przygotowawcze,</w:t>
      </w:r>
    </w:p>
    <w:p w:rsidR="00E3297D" w:rsidRDefault="00E3297D" w:rsidP="00E3297D">
      <w:pPr>
        <w:numPr>
          <w:ilvl w:val="0"/>
          <w:numId w:val="97"/>
        </w:numPr>
        <w:overflowPunct w:val="0"/>
        <w:autoSpaceDE w:val="0"/>
        <w:autoSpaceDN w:val="0"/>
        <w:adjustRightInd w:val="0"/>
        <w:jc w:val="both"/>
      </w:pPr>
      <w:r>
        <w:t>dostarczenie i zmontowanie urządzeń,</w:t>
      </w:r>
    </w:p>
    <w:p w:rsidR="00E3297D" w:rsidRDefault="00E3297D" w:rsidP="00E3297D">
      <w:pPr>
        <w:numPr>
          <w:ilvl w:val="0"/>
          <w:numId w:val="97"/>
        </w:numPr>
        <w:overflowPunct w:val="0"/>
        <w:autoSpaceDE w:val="0"/>
        <w:autoSpaceDN w:val="0"/>
        <w:adjustRightInd w:val="0"/>
        <w:jc w:val="both"/>
      </w:pPr>
      <w:r>
        <w:t>uruchomienie przebudowywanych urządzeń,</w:t>
      </w:r>
    </w:p>
    <w:p w:rsidR="00E3297D" w:rsidRDefault="00E3297D" w:rsidP="00E3297D">
      <w:pPr>
        <w:numPr>
          <w:ilvl w:val="0"/>
          <w:numId w:val="97"/>
        </w:numPr>
        <w:overflowPunct w:val="0"/>
        <w:autoSpaceDE w:val="0"/>
        <w:autoSpaceDN w:val="0"/>
        <w:adjustRightInd w:val="0"/>
        <w:jc w:val="both"/>
      </w:pPr>
      <w:r>
        <w:t>zdemontowanie kolizyjnych odcinków linii,</w:t>
      </w:r>
    </w:p>
    <w:p w:rsidR="00E3297D" w:rsidRDefault="00E3297D" w:rsidP="00E3297D">
      <w:pPr>
        <w:numPr>
          <w:ilvl w:val="0"/>
          <w:numId w:val="97"/>
        </w:numPr>
        <w:overflowPunct w:val="0"/>
        <w:autoSpaceDE w:val="0"/>
        <w:autoSpaceDN w:val="0"/>
        <w:adjustRightInd w:val="0"/>
        <w:jc w:val="both"/>
      </w:pPr>
      <w:r>
        <w:t>transport zdemontowanych materiałów,</w:t>
      </w:r>
    </w:p>
    <w:p w:rsidR="00E3297D" w:rsidRDefault="00E3297D" w:rsidP="00E3297D">
      <w:pPr>
        <w:numPr>
          <w:ilvl w:val="0"/>
          <w:numId w:val="97"/>
        </w:numPr>
        <w:overflowPunct w:val="0"/>
        <w:autoSpaceDE w:val="0"/>
        <w:autoSpaceDN w:val="0"/>
        <w:adjustRightInd w:val="0"/>
        <w:jc w:val="both"/>
      </w:pPr>
      <w:r>
        <w:t>przeprowadzenie prób i konserwowanie urządzeń w okresie gwarancji,</w:t>
      </w:r>
    </w:p>
    <w:p w:rsidR="00E3297D" w:rsidRDefault="00E3297D" w:rsidP="00E3297D">
      <w:pPr>
        <w:numPr>
          <w:ilvl w:val="0"/>
          <w:numId w:val="97"/>
        </w:numPr>
        <w:overflowPunct w:val="0"/>
        <w:autoSpaceDE w:val="0"/>
        <w:autoSpaceDN w:val="0"/>
        <w:adjustRightInd w:val="0"/>
        <w:jc w:val="both"/>
      </w:pPr>
      <w:r>
        <w:t>wykonanie inwentaryzacji urządzeń telekomunikacyjnych.</w:t>
      </w:r>
    </w:p>
    <w:p w:rsidR="00E3297D" w:rsidRDefault="00E3297D" w:rsidP="00E3297D">
      <w:pPr>
        <w:pStyle w:val="Nagwek1"/>
      </w:pPr>
      <w:bookmarkStart w:id="501" w:name="_Toc468518139"/>
      <w:r>
        <w:t>10. przepisy związane</w:t>
      </w:r>
      <w:bookmarkEnd w:id="501"/>
    </w:p>
    <w:p w:rsidR="00E3297D" w:rsidRDefault="00E3297D" w:rsidP="00E3297D">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70"/>
        <w:gridCol w:w="426"/>
        <w:gridCol w:w="70"/>
        <w:gridCol w:w="1772"/>
        <w:gridCol w:w="70"/>
        <w:gridCol w:w="5102"/>
        <w:gridCol w:w="70"/>
      </w:tblGrid>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w:t>
            </w:r>
          </w:p>
        </w:tc>
        <w:tc>
          <w:tcPr>
            <w:tcW w:w="1842" w:type="dxa"/>
            <w:gridSpan w:val="2"/>
            <w:hideMark/>
          </w:tcPr>
          <w:p w:rsidR="00E3297D" w:rsidRDefault="00E3297D">
            <w:pPr>
              <w:spacing w:line="256" w:lineRule="auto"/>
              <w:rPr>
                <w:lang w:eastAsia="en-US"/>
              </w:rPr>
            </w:pPr>
            <w:r>
              <w:rPr>
                <w:lang w:eastAsia="en-US"/>
              </w:rPr>
              <w:t>BN-87/6774-04</w:t>
            </w:r>
          </w:p>
        </w:tc>
        <w:tc>
          <w:tcPr>
            <w:tcW w:w="5172" w:type="dxa"/>
            <w:gridSpan w:val="2"/>
            <w:hideMark/>
          </w:tcPr>
          <w:p w:rsidR="00E3297D" w:rsidRDefault="00E3297D">
            <w:pPr>
              <w:spacing w:line="256" w:lineRule="auto"/>
              <w:rPr>
                <w:lang w:eastAsia="en-US"/>
              </w:rPr>
            </w:pPr>
            <w:r>
              <w:rPr>
                <w:lang w:eastAsia="en-US"/>
              </w:rPr>
              <w:t>Kruszywa mineralne do nawierzchni drogowych. Piasek.</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w:t>
            </w:r>
          </w:p>
        </w:tc>
        <w:tc>
          <w:tcPr>
            <w:tcW w:w="1842" w:type="dxa"/>
            <w:gridSpan w:val="2"/>
            <w:hideMark/>
          </w:tcPr>
          <w:p w:rsidR="00E3297D" w:rsidRDefault="00E3297D">
            <w:pPr>
              <w:spacing w:line="256" w:lineRule="auto"/>
              <w:rPr>
                <w:lang w:eastAsia="en-US"/>
              </w:rPr>
            </w:pPr>
            <w:r>
              <w:rPr>
                <w:lang w:eastAsia="en-US"/>
              </w:rPr>
              <w:t>PN-88/B-32250</w:t>
            </w:r>
          </w:p>
        </w:tc>
        <w:tc>
          <w:tcPr>
            <w:tcW w:w="5172" w:type="dxa"/>
            <w:gridSpan w:val="2"/>
            <w:hideMark/>
          </w:tcPr>
          <w:p w:rsidR="00E3297D" w:rsidRDefault="00E3297D">
            <w:pPr>
              <w:spacing w:line="256" w:lineRule="auto"/>
              <w:rPr>
                <w:lang w:eastAsia="en-US"/>
              </w:rPr>
            </w:pPr>
            <w:r>
              <w:rPr>
                <w:lang w:eastAsia="en-US"/>
              </w:rPr>
              <w:t>Materiały budowlane. Woda do betonów i zapraw.</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w:t>
            </w:r>
          </w:p>
        </w:tc>
        <w:tc>
          <w:tcPr>
            <w:tcW w:w="1842" w:type="dxa"/>
            <w:gridSpan w:val="2"/>
            <w:hideMark/>
          </w:tcPr>
          <w:p w:rsidR="00E3297D" w:rsidRDefault="00E3297D">
            <w:pPr>
              <w:spacing w:line="256" w:lineRule="auto"/>
              <w:rPr>
                <w:lang w:eastAsia="en-US"/>
              </w:rPr>
            </w:pPr>
            <w:r>
              <w:rPr>
                <w:lang w:eastAsia="en-US"/>
              </w:rPr>
              <w:t>PN-88/B-06250</w:t>
            </w:r>
          </w:p>
        </w:tc>
        <w:tc>
          <w:tcPr>
            <w:tcW w:w="5172" w:type="dxa"/>
            <w:gridSpan w:val="2"/>
            <w:hideMark/>
          </w:tcPr>
          <w:p w:rsidR="00E3297D" w:rsidRDefault="00E3297D">
            <w:pPr>
              <w:spacing w:line="256" w:lineRule="auto"/>
              <w:rPr>
                <w:lang w:eastAsia="en-US"/>
              </w:rPr>
            </w:pPr>
            <w:r>
              <w:rPr>
                <w:lang w:eastAsia="en-US"/>
              </w:rPr>
              <w:t>Beton zwykły.</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4.</w:t>
            </w:r>
          </w:p>
        </w:tc>
        <w:tc>
          <w:tcPr>
            <w:tcW w:w="1842" w:type="dxa"/>
            <w:gridSpan w:val="2"/>
            <w:hideMark/>
          </w:tcPr>
          <w:p w:rsidR="00E3297D" w:rsidRDefault="00E3297D">
            <w:pPr>
              <w:spacing w:line="256" w:lineRule="auto"/>
              <w:rPr>
                <w:lang w:eastAsia="en-US"/>
              </w:rPr>
            </w:pPr>
            <w:r>
              <w:rPr>
                <w:lang w:eastAsia="en-US"/>
              </w:rPr>
              <w:t>BN-85/8984-01</w:t>
            </w:r>
          </w:p>
        </w:tc>
        <w:tc>
          <w:tcPr>
            <w:tcW w:w="5172" w:type="dxa"/>
            <w:gridSpan w:val="2"/>
            <w:hideMark/>
          </w:tcPr>
          <w:p w:rsidR="00E3297D" w:rsidRDefault="00E3297D">
            <w:pPr>
              <w:spacing w:line="256" w:lineRule="auto"/>
              <w:rPr>
                <w:lang w:eastAsia="en-US"/>
              </w:rPr>
            </w:pPr>
            <w:r>
              <w:rPr>
                <w:lang w:eastAsia="en-US"/>
              </w:rPr>
              <w:t>Telekomunikacyjne sieci kablowe miejscowe. Studnie kablowe. Klasyfikacja i wymiary.</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5.</w:t>
            </w:r>
          </w:p>
        </w:tc>
        <w:tc>
          <w:tcPr>
            <w:tcW w:w="1842" w:type="dxa"/>
            <w:gridSpan w:val="2"/>
            <w:hideMark/>
          </w:tcPr>
          <w:p w:rsidR="00E3297D" w:rsidRDefault="00E3297D">
            <w:pPr>
              <w:spacing w:line="256" w:lineRule="auto"/>
              <w:rPr>
                <w:lang w:eastAsia="en-US"/>
              </w:rPr>
            </w:pPr>
            <w:r>
              <w:rPr>
                <w:lang w:eastAsia="en-US"/>
              </w:rPr>
              <w:t>BN-74/3233-15</w:t>
            </w:r>
          </w:p>
        </w:tc>
        <w:tc>
          <w:tcPr>
            <w:tcW w:w="5172" w:type="dxa"/>
            <w:gridSpan w:val="2"/>
            <w:hideMark/>
          </w:tcPr>
          <w:p w:rsidR="00E3297D" w:rsidRDefault="00E3297D">
            <w:pPr>
              <w:spacing w:line="256" w:lineRule="auto"/>
              <w:rPr>
                <w:lang w:eastAsia="en-US"/>
              </w:rPr>
            </w:pPr>
            <w:r>
              <w:rPr>
                <w:lang w:eastAsia="en-US"/>
              </w:rPr>
              <w:t>Bloki betonowe płaskie.</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6.</w:t>
            </w:r>
          </w:p>
        </w:tc>
        <w:tc>
          <w:tcPr>
            <w:tcW w:w="1842" w:type="dxa"/>
            <w:gridSpan w:val="2"/>
            <w:hideMark/>
          </w:tcPr>
          <w:p w:rsidR="00E3297D" w:rsidRDefault="00E3297D">
            <w:pPr>
              <w:spacing w:line="256" w:lineRule="auto"/>
              <w:rPr>
                <w:lang w:eastAsia="en-US"/>
              </w:rPr>
            </w:pPr>
            <w:r>
              <w:rPr>
                <w:lang w:eastAsia="en-US"/>
              </w:rPr>
              <w:t>BN-80/C-89203</w:t>
            </w:r>
          </w:p>
        </w:tc>
        <w:tc>
          <w:tcPr>
            <w:tcW w:w="5172" w:type="dxa"/>
            <w:gridSpan w:val="2"/>
            <w:hideMark/>
          </w:tcPr>
          <w:p w:rsidR="00E3297D" w:rsidRDefault="00E3297D">
            <w:pPr>
              <w:spacing w:line="256" w:lineRule="auto"/>
              <w:rPr>
                <w:lang w:eastAsia="en-US"/>
              </w:rPr>
            </w:pPr>
            <w:r>
              <w:rPr>
                <w:lang w:eastAsia="en-US"/>
              </w:rPr>
              <w:t xml:space="preserve">Rury z </w:t>
            </w:r>
            <w:proofErr w:type="spellStart"/>
            <w:r>
              <w:rPr>
                <w:lang w:eastAsia="en-US"/>
              </w:rPr>
              <w:t>nieplastyfikowanego</w:t>
            </w:r>
            <w:proofErr w:type="spellEnd"/>
            <w:r>
              <w:rPr>
                <w:lang w:eastAsia="en-US"/>
              </w:rPr>
              <w:t xml:space="preserve"> polichlorku winylu (PCW).</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7.</w:t>
            </w:r>
          </w:p>
        </w:tc>
        <w:tc>
          <w:tcPr>
            <w:tcW w:w="1842" w:type="dxa"/>
            <w:gridSpan w:val="2"/>
            <w:hideMark/>
          </w:tcPr>
          <w:p w:rsidR="00E3297D" w:rsidRDefault="00E3297D">
            <w:pPr>
              <w:spacing w:line="256" w:lineRule="auto"/>
              <w:rPr>
                <w:lang w:eastAsia="en-US"/>
              </w:rPr>
            </w:pPr>
            <w:r>
              <w:rPr>
                <w:lang w:eastAsia="en-US"/>
              </w:rPr>
              <w:t>PN-76/D-79353</w:t>
            </w:r>
          </w:p>
        </w:tc>
        <w:tc>
          <w:tcPr>
            <w:tcW w:w="5172" w:type="dxa"/>
            <w:gridSpan w:val="2"/>
            <w:hideMark/>
          </w:tcPr>
          <w:p w:rsidR="00E3297D" w:rsidRDefault="00E3297D">
            <w:pPr>
              <w:spacing w:line="256" w:lineRule="auto"/>
              <w:rPr>
                <w:lang w:eastAsia="en-US"/>
              </w:rPr>
            </w:pPr>
            <w:r>
              <w:rPr>
                <w:lang w:eastAsia="en-US"/>
              </w:rPr>
              <w:t>Bębny kablowe.</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8.</w:t>
            </w:r>
          </w:p>
        </w:tc>
        <w:tc>
          <w:tcPr>
            <w:tcW w:w="1842" w:type="dxa"/>
            <w:gridSpan w:val="2"/>
            <w:hideMark/>
          </w:tcPr>
          <w:p w:rsidR="00E3297D" w:rsidRDefault="00E3297D">
            <w:pPr>
              <w:spacing w:line="256" w:lineRule="auto"/>
              <w:rPr>
                <w:lang w:eastAsia="en-US"/>
              </w:rPr>
            </w:pPr>
            <w:r>
              <w:rPr>
                <w:lang w:eastAsia="en-US"/>
              </w:rPr>
              <w:t>BN-73/8984-05</w:t>
            </w:r>
          </w:p>
        </w:tc>
        <w:tc>
          <w:tcPr>
            <w:tcW w:w="5172" w:type="dxa"/>
            <w:gridSpan w:val="2"/>
            <w:hideMark/>
          </w:tcPr>
          <w:p w:rsidR="00E3297D" w:rsidRDefault="00E3297D">
            <w:pPr>
              <w:spacing w:line="256" w:lineRule="auto"/>
              <w:rPr>
                <w:lang w:eastAsia="en-US"/>
              </w:rPr>
            </w:pPr>
            <w:r>
              <w:rPr>
                <w:lang w:eastAsia="en-US"/>
              </w:rPr>
              <w:t>Kanalizacja kablowa.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9.</w:t>
            </w:r>
          </w:p>
        </w:tc>
        <w:tc>
          <w:tcPr>
            <w:tcW w:w="1842" w:type="dxa"/>
            <w:gridSpan w:val="2"/>
            <w:hideMark/>
          </w:tcPr>
          <w:p w:rsidR="00E3297D" w:rsidRDefault="00E3297D">
            <w:pPr>
              <w:spacing w:line="256" w:lineRule="auto"/>
              <w:rPr>
                <w:lang w:eastAsia="en-US"/>
              </w:rPr>
            </w:pPr>
            <w:r>
              <w:rPr>
                <w:lang w:eastAsia="en-US"/>
              </w:rPr>
              <w:t>BN-76/3238-13</w:t>
            </w:r>
          </w:p>
        </w:tc>
        <w:tc>
          <w:tcPr>
            <w:tcW w:w="5172" w:type="dxa"/>
            <w:gridSpan w:val="2"/>
            <w:hideMark/>
          </w:tcPr>
          <w:p w:rsidR="00E3297D" w:rsidRDefault="00E3297D">
            <w:pPr>
              <w:spacing w:line="256" w:lineRule="auto"/>
              <w:rPr>
                <w:lang w:eastAsia="en-US"/>
              </w:rPr>
            </w:pPr>
            <w:r>
              <w:rPr>
                <w:lang w:eastAsia="en-US"/>
              </w:rPr>
              <w:t>Narzędzia teletechniczne i przybory pomocnicze. Sprawdzian do układania bloków betonowych.</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10.</w:t>
            </w:r>
          </w:p>
        </w:tc>
        <w:tc>
          <w:tcPr>
            <w:tcW w:w="1842" w:type="dxa"/>
            <w:gridSpan w:val="2"/>
            <w:hideMark/>
          </w:tcPr>
          <w:p w:rsidR="00E3297D" w:rsidRDefault="00E3297D">
            <w:pPr>
              <w:spacing w:line="256" w:lineRule="auto"/>
              <w:rPr>
                <w:lang w:eastAsia="en-US"/>
              </w:rPr>
            </w:pPr>
            <w:r>
              <w:rPr>
                <w:lang w:eastAsia="en-US"/>
              </w:rPr>
              <w:t>PN-85/T-90310</w:t>
            </w:r>
          </w:p>
        </w:tc>
        <w:tc>
          <w:tcPr>
            <w:tcW w:w="5172" w:type="dxa"/>
            <w:gridSpan w:val="2"/>
            <w:hideMark/>
          </w:tcPr>
          <w:p w:rsidR="00E3297D" w:rsidRDefault="00E3297D">
            <w:pPr>
              <w:spacing w:line="256" w:lineRule="auto"/>
              <w:rPr>
                <w:lang w:eastAsia="en-US"/>
              </w:rPr>
            </w:pPr>
            <w:r>
              <w:rPr>
                <w:lang w:eastAsia="en-US"/>
              </w:rPr>
              <w:t>Telekomunikacyjne kable miejscowe z wiązkami czwórkowymi o izolacji papierowej i powłoce ołowianej.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lastRenderedPageBreak/>
              <w:t>11.</w:t>
            </w:r>
          </w:p>
        </w:tc>
        <w:tc>
          <w:tcPr>
            <w:tcW w:w="1842" w:type="dxa"/>
            <w:gridSpan w:val="2"/>
            <w:hideMark/>
          </w:tcPr>
          <w:p w:rsidR="00E3297D" w:rsidRDefault="00E3297D">
            <w:pPr>
              <w:spacing w:line="256" w:lineRule="auto"/>
              <w:rPr>
                <w:lang w:eastAsia="en-US"/>
              </w:rPr>
            </w:pPr>
            <w:r>
              <w:rPr>
                <w:lang w:eastAsia="en-US"/>
              </w:rPr>
              <w:t>PN-85/T-90311</w:t>
            </w:r>
          </w:p>
        </w:tc>
        <w:tc>
          <w:tcPr>
            <w:tcW w:w="5172" w:type="dxa"/>
            <w:gridSpan w:val="2"/>
            <w:hideMark/>
          </w:tcPr>
          <w:p w:rsidR="00E3297D" w:rsidRDefault="00E3297D">
            <w:pPr>
              <w:spacing w:line="256" w:lineRule="auto"/>
              <w:rPr>
                <w:lang w:eastAsia="en-US"/>
              </w:rPr>
            </w:pPr>
            <w:r>
              <w:rPr>
                <w:lang w:eastAsia="en-US"/>
              </w:rPr>
              <w:t>Telekomunikacyjne kable miejscowe z wiązkami czwórkowymi o izolacji papierowej, o powłoce ołowianej, nieopancerzone i opancerzone.</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12.</w:t>
            </w:r>
          </w:p>
        </w:tc>
        <w:tc>
          <w:tcPr>
            <w:tcW w:w="1842" w:type="dxa"/>
            <w:gridSpan w:val="2"/>
            <w:hideMark/>
          </w:tcPr>
          <w:p w:rsidR="00E3297D" w:rsidRDefault="00E3297D">
            <w:pPr>
              <w:spacing w:line="256" w:lineRule="auto"/>
              <w:rPr>
                <w:lang w:eastAsia="en-US"/>
              </w:rPr>
            </w:pPr>
            <w:r>
              <w:rPr>
                <w:lang w:eastAsia="en-US"/>
              </w:rPr>
              <w:t>PN-85/T-90331</w:t>
            </w:r>
          </w:p>
        </w:tc>
        <w:tc>
          <w:tcPr>
            <w:tcW w:w="5172" w:type="dxa"/>
            <w:gridSpan w:val="2"/>
            <w:hideMark/>
          </w:tcPr>
          <w:p w:rsidR="00E3297D" w:rsidRDefault="00E3297D">
            <w:pPr>
              <w:spacing w:line="256" w:lineRule="auto"/>
              <w:rPr>
                <w:lang w:eastAsia="en-US"/>
              </w:rPr>
            </w:pPr>
            <w:r>
              <w:rPr>
                <w:lang w:eastAsia="en-US"/>
              </w:rPr>
              <w:t xml:space="preserve">Telekomunikacyjne kable miejscowe z wiązkami czwórkowymi, pęczkowe, o izolacji polietylenowej z zaporą przeciwwilgociową, nieopancerzone i opancerzone z osłoną polietylenową lub </w:t>
            </w:r>
            <w:proofErr w:type="spellStart"/>
            <w:r>
              <w:rPr>
                <w:lang w:eastAsia="en-US"/>
              </w:rPr>
              <w:t>polwinitową</w:t>
            </w:r>
            <w:proofErr w:type="spellEnd"/>
            <w:r>
              <w:rPr>
                <w:lang w:eastAsia="en-US"/>
              </w:rPr>
              <w:t>.</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13.</w:t>
            </w:r>
          </w:p>
        </w:tc>
        <w:tc>
          <w:tcPr>
            <w:tcW w:w="1842" w:type="dxa"/>
            <w:gridSpan w:val="2"/>
            <w:hideMark/>
          </w:tcPr>
          <w:p w:rsidR="00E3297D" w:rsidRDefault="00E3297D">
            <w:pPr>
              <w:spacing w:line="256" w:lineRule="auto"/>
              <w:rPr>
                <w:lang w:eastAsia="en-US"/>
              </w:rPr>
            </w:pPr>
            <w:r>
              <w:rPr>
                <w:lang w:eastAsia="en-US"/>
              </w:rPr>
              <w:t>PN-83/T-90330</w:t>
            </w:r>
          </w:p>
        </w:tc>
        <w:tc>
          <w:tcPr>
            <w:tcW w:w="5172" w:type="dxa"/>
            <w:gridSpan w:val="2"/>
            <w:hideMark/>
          </w:tcPr>
          <w:p w:rsidR="00E3297D" w:rsidRDefault="00E3297D">
            <w:pPr>
              <w:spacing w:line="256" w:lineRule="auto"/>
              <w:rPr>
                <w:lang w:eastAsia="en-US"/>
              </w:rPr>
            </w:pPr>
            <w:r>
              <w:rPr>
                <w:lang w:eastAsia="en-US"/>
              </w:rPr>
              <w:t>Telekomunikacyjne kable miejscowe z wiązkami czwórkowymi, pęczkowe, o izolacji polietylenowej.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14.</w:t>
            </w:r>
          </w:p>
        </w:tc>
        <w:tc>
          <w:tcPr>
            <w:tcW w:w="1842" w:type="dxa"/>
            <w:gridSpan w:val="2"/>
            <w:hideMark/>
          </w:tcPr>
          <w:p w:rsidR="00E3297D" w:rsidRDefault="00E3297D">
            <w:pPr>
              <w:spacing w:line="256" w:lineRule="auto"/>
              <w:rPr>
                <w:lang w:eastAsia="en-US"/>
              </w:rPr>
            </w:pPr>
            <w:r>
              <w:rPr>
                <w:lang w:eastAsia="en-US"/>
              </w:rPr>
              <w:t>BN-80/3231-25</w:t>
            </w:r>
          </w:p>
        </w:tc>
        <w:tc>
          <w:tcPr>
            <w:tcW w:w="5172" w:type="dxa"/>
            <w:gridSpan w:val="2"/>
            <w:hideMark/>
          </w:tcPr>
          <w:p w:rsidR="00E3297D" w:rsidRDefault="00E3297D">
            <w:pPr>
              <w:spacing w:line="256" w:lineRule="auto"/>
              <w:rPr>
                <w:lang w:eastAsia="en-US"/>
              </w:rPr>
            </w:pPr>
            <w:r>
              <w:rPr>
                <w:lang w:eastAsia="en-US"/>
              </w:rPr>
              <w:t>Skrzynka kablowa 10/20.</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15.</w:t>
            </w:r>
          </w:p>
        </w:tc>
        <w:tc>
          <w:tcPr>
            <w:tcW w:w="1842" w:type="dxa"/>
            <w:gridSpan w:val="2"/>
            <w:hideMark/>
          </w:tcPr>
          <w:p w:rsidR="00E3297D" w:rsidRDefault="00E3297D">
            <w:pPr>
              <w:spacing w:line="256" w:lineRule="auto"/>
              <w:rPr>
                <w:lang w:eastAsia="en-US"/>
              </w:rPr>
            </w:pPr>
            <w:r>
              <w:rPr>
                <w:lang w:eastAsia="en-US"/>
              </w:rPr>
              <w:t>BN-85/3231-28</w:t>
            </w:r>
          </w:p>
        </w:tc>
        <w:tc>
          <w:tcPr>
            <w:tcW w:w="5172" w:type="dxa"/>
            <w:gridSpan w:val="2"/>
            <w:hideMark/>
          </w:tcPr>
          <w:p w:rsidR="00E3297D" w:rsidRDefault="00E3297D">
            <w:pPr>
              <w:spacing w:line="256" w:lineRule="auto"/>
              <w:rPr>
                <w:lang w:eastAsia="en-US"/>
              </w:rPr>
            </w:pPr>
            <w:r>
              <w:rPr>
                <w:lang w:eastAsia="en-US"/>
              </w:rPr>
              <w:t>Skrzynki kablowe 30-parowe.</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16.</w:t>
            </w:r>
          </w:p>
        </w:tc>
        <w:tc>
          <w:tcPr>
            <w:tcW w:w="1842" w:type="dxa"/>
            <w:gridSpan w:val="2"/>
            <w:hideMark/>
          </w:tcPr>
          <w:p w:rsidR="00E3297D" w:rsidRDefault="00E3297D">
            <w:pPr>
              <w:spacing w:line="256" w:lineRule="auto"/>
              <w:rPr>
                <w:lang w:eastAsia="en-US"/>
              </w:rPr>
            </w:pPr>
            <w:r>
              <w:rPr>
                <w:lang w:eastAsia="en-US"/>
              </w:rPr>
              <w:t>BN-65/8984-11</w:t>
            </w:r>
          </w:p>
        </w:tc>
        <w:tc>
          <w:tcPr>
            <w:tcW w:w="5172" w:type="dxa"/>
            <w:gridSpan w:val="2"/>
            <w:hideMark/>
          </w:tcPr>
          <w:p w:rsidR="00E3297D" w:rsidRDefault="00E3297D">
            <w:pPr>
              <w:spacing w:line="256" w:lineRule="auto"/>
              <w:rPr>
                <w:lang w:eastAsia="en-US"/>
              </w:rPr>
            </w:pPr>
            <w:r>
              <w:rPr>
                <w:lang w:eastAsia="en-US"/>
              </w:rPr>
              <w:t>Złącza lutowane. Wymagania techniczne.</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17.</w:t>
            </w:r>
          </w:p>
        </w:tc>
        <w:tc>
          <w:tcPr>
            <w:tcW w:w="1842" w:type="dxa"/>
            <w:gridSpan w:val="2"/>
            <w:hideMark/>
          </w:tcPr>
          <w:p w:rsidR="00E3297D" w:rsidRDefault="00E3297D">
            <w:pPr>
              <w:spacing w:line="256" w:lineRule="auto"/>
              <w:rPr>
                <w:lang w:eastAsia="en-US"/>
              </w:rPr>
            </w:pPr>
            <w:r>
              <w:rPr>
                <w:lang w:eastAsia="en-US"/>
              </w:rPr>
              <w:t>BN-76/8984-17</w:t>
            </w:r>
          </w:p>
        </w:tc>
        <w:tc>
          <w:tcPr>
            <w:tcW w:w="5172" w:type="dxa"/>
            <w:gridSpan w:val="2"/>
            <w:hideMark/>
          </w:tcPr>
          <w:p w:rsidR="00E3297D" w:rsidRDefault="00E3297D">
            <w:pPr>
              <w:spacing w:line="256" w:lineRule="auto"/>
              <w:rPr>
                <w:lang w:eastAsia="en-US"/>
              </w:rPr>
            </w:pPr>
            <w:r>
              <w:rPr>
                <w:lang w:eastAsia="en-US"/>
              </w:rPr>
              <w:t>Telekomunikacyjne sieci miejscowe. Ogólne wymagania.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18.</w:t>
            </w:r>
          </w:p>
        </w:tc>
        <w:tc>
          <w:tcPr>
            <w:tcW w:w="1842" w:type="dxa"/>
            <w:gridSpan w:val="2"/>
            <w:hideMark/>
          </w:tcPr>
          <w:p w:rsidR="00E3297D" w:rsidRDefault="00E3297D">
            <w:pPr>
              <w:spacing w:line="256" w:lineRule="auto"/>
              <w:rPr>
                <w:lang w:eastAsia="en-US"/>
              </w:rPr>
            </w:pPr>
            <w:r>
              <w:rPr>
                <w:lang w:eastAsia="en-US"/>
              </w:rPr>
              <w:t>PN-76/E-05125</w:t>
            </w:r>
          </w:p>
        </w:tc>
        <w:tc>
          <w:tcPr>
            <w:tcW w:w="5172" w:type="dxa"/>
            <w:gridSpan w:val="2"/>
            <w:hideMark/>
          </w:tcPr>
          <w:p w:rsidR="00E3297D" w:rsidRDefault="00E3297D">
            <w:pPr>
              <w:spacing w:line="256" w:lineRule="auto"/>
              <w:rPr>
                <w:lang w:eastAsia="en-US"/>
              </w:rPr>
            </w:pPr>
            <w:r>
              <w:rPr>
                <w:lang w:eastAsia="en-US"/>
              </w:rPr>
              <w:t>Elektroenergetyczne i sygnalizacyjne linie kablowe. Projektowanie i budowa.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19.</w:t>
            </w:r>
          </w:p>
        </w:tc>
        <w:tc>
          <w:tcPr>
            <w:tcW w:w="1842" w:type="dxa"/>
            <w:gridSpan w:val="2"/>
            <w:hideMark/>
          </w:tcPr>
          <w:p w:rsidR="00E3297D" w:rsidRDefault="00E3297D">
            <w:pPr>
              <w:spacing w:line="256" w:lineRule="auto"/>
              <w:rPr>
                <w:lang w:eastAsia="en-US"/>
              </w:rPr>
            </w:pPr>
            <w:r>
              <w:rPr>
                <w:lang w:eastAsia="en-US"/>
              </w:rPr>
              <w:t>PN-75/E-05100</w:t>
            </w:r>
          </w:p>
        </w:tc>
        <w:tc>
          <w:tcPr>
            <w:tcW w:w="5172" w:type="dxa"/>
            <w:gridSpan w:val="2"/>
            <w:hideMark/>
          </w:tcPr>
          <w:p w:rsidR="00E3297D" w:rsidRDefault="00E3297D">
            <w:pPr>
              <w:spacing w:line="256" w:lineRule="auto"/>
              <w:rPr>
                <w:lang w:eastAsia="en-US"/>
              </w:rPr>
            </w:pPr>
            <w:r>
              <w:rPr>
                <w:lang w:eastAsia="en-US"/>
              </w:rPr>
              <w:t>Elektroenergetyczne linie napowietrzne. Projektowanie i budowa.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20.</w:t>
            </w:r>
          </w:p>
        </w:tc>
        <w:tc>
          <w:tcPr>
            <w:tcW w:w="1842" w:type="dxa"/>
            <w:gridSpan w:val="2"/>
            <w:hideMark/>
          </w:tcPr>
          <w:p w:rsidR="00E3297D" w:rsidRDefault="00E3297D">
            <w:pPr>
              <w:spacing w:line="256" w:lineRule="auto"/>
              <w:rPr>
                <w:lang w:eastAsia="en-US"/>
              </w:rPr>
            </w:pPr>
            <w:r>
              <w:rPr>
                <w:lang w:eastAsia="en-US"/>
              </w:rPr>
              <w:t>BN-76/8984-26</w:t>
            </w:r>
          </w:p>
        </w:tc>
        <w:tc>
          <w:tcPr>
            <w:tcW w:w="5172" w:type="dxa"/>
            <w:gridSpan w:val="2"/>
            <w:hideMark/>
          </w:tcPr>
          <w:p w:rsidR="00E3297D" w:rsidRDefault="00E3297D">
            <w:pPr>
              <w:spacing w:line="256" w:lineRule="auto"/>
              <w:rPr>
                <w:lang w:eastAsia="en-US"/>
              </w:rPr>
            </w:pPr>
            <w:r>
              <w:rPr>
                <w:lang w:eastAsia="en-US"/>
              </w:rPr>
              <w:t>Kontrola ciśnieniowa kabli telekomunikacyjnych. System z automatycznym dopełniaczem gazu.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21.</w:t>
            </w:r>
          </w:p>
        </w:tc>
        <w:tc>
          <w:tcPr>
            <w:tcW w:w="1842" w:type="dxa"/>
            <w:gridSpan w:val="2"/>
            <w:hideMark/>
          </w:tcPr>
          <w:p w:rsidR="00E3297D" w:rsidRDefault="00E3297D">
            <w:pPr>
              <w:spacing w:line="256" w:lineRule="auto"/>
              <w:rPr>
                <w:lang w:eastAsia="en-US"/>
              </w:rPr>
            </w:pPr>
            <w:r>
              <w:rPr>
                <w:lang w:eastAsia="en-US"/>
              </w:rPr>
              <w:t>BN-73/3238-08</w:t>
            </w:r>
          </w:p>
        </w:tc>
        <w:tc>
          <w:tcPr>
            <w:tcW w:w="5172" w:type="dxa"/>
            <w:gridSpan w:val="2"/>
            <w:hideMark/>
          </w:tcPr>
          <w:p w:rsidR="00E3297D" w:rsidRDefault="00E3297D">
            <w:pPr>
              <w:spacing w:line="256" w:lineRule="auto"/>
              <w:rPr>
                <w:lang w:eastAsia="en-US"/>
              </w:rPr>
            </w:pPr>
            <w:r>
              <w:rPr>
                <w:lang w:eastAsia="en-US"/>
              </w:rPr>
              <w:t>Telekomunikacyjne linie napowietrzne i kablowe sieci miejskiej. Szablony do znakowania.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22.</w:t>
            </w:r>
          </w:p>
        </w:tc>
        <w:tc>
          <w:tcPr>
            <w:tcW w:w="1842" w:type="dxa"/>
            <w:gridSpan w:val="2"/>
            <w:hideMark/>
          </w:tcPr>
          <w:p w:rsidR="00E3297D" w:rsidRDefault="00E3297D">
            <w:pPr>
              <w:spacing w:line="256" w:lineRule="auto"/>
              <w:rPr>
                <w:lang w:eastAsia="en-US"/>
              </w:rPr>
            </w:pPr>
            <w:r>
              <w:rPr>
                <w:lang w:eastAsia="en-US"/>
              </w:rPr>
              <w:t>BN-72/3233-13</w:t>
            </w:r>
          </w:p>
        </w:tc>
        <w:tc>
          <w:tcPr>
            <w:tcW w:w="5172" w:type="dxa"/>
            <w:gridSpan w:val="2"/>
            <w:hideMark/>
          </w:tcPr>
          <w:p w:rsidR="00E3297D" w:rsidRDefault="00E3297D">
            <w:pPr>
              <w:spacing w:line="256" w:lineRule="auto"/>
              <w:rPr>
                <w:lang w:eastAsia="en-US"/>
              </w:rPr>
            </w:pPr>
            <w:r>
              <w:rPr>
                <w:lang w:eastAsia="en-US"/>
              </w:rPr>
              <w:t xml:space="preserve">Telekomunikacyjne linie kablowe. Opaski </w:t>
            </w:r>
            <w:proofErr w:type="spellStart"/>
            <w:r>
              <w:rPr>
                <w:lang w:eastAsia="en-US"/>
              </w:rPr>
              <w:t>oznaczeniowe</w:t>
            </w:r>
            <w:proofErr w:type="spellEnd"/>
            <w:r>
              <w:rPr>
                <w:lang w:eastAsia="en-US"/>
              </w:rPr>
              <w:t>.</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23.</w:t>
            </w:r>
          </w:p>
        </w:tc>
        <w:tc>
          <w:tcPr>
            <w:tcW w:w="1842" w:type="dxa"/>
            <w:gridSpan w:val="2"/>
            <w:hideMark/>
          </w:tcPr>
          <w:p w:rsidR="00E3297D" w:rsidRDefault="00E3297D">
            <w:pPr>
              <w:spacing w:line="256" w:lineRule="auto"/>
              <w:rPr>
                <w:lang w:eastAsia="en-US"/>
              </w:rPr>
            </w:pPr>
            <w:r>
              <w:rPr>
                <w:lang w:eastAsia="en-US"/>
              </w:rPr>
              <w:t>BN-74/3233-17</w:t>
            </w:r>
          </w:p>
        </w:tc>
        <w:tc>
          <w:tcPr>
            <w:tcW w:w="5172" w:type="dxa"/>
            <w:gridSpan w:val="2"/>
            <w:hideMark/>
          </w:tcPr>
          <w:p w:rsidR="00E3297D" w:rsidRDefault="00E3297D">
            <w:pPr>
              <w:spacing w:line="256" w:lineRule="auto"/>
              <w:rPr>
                <w:lang w:eastAsia="en-US"/>
              </w:rPr>
            </w:pPr>
            <w:r>
              <w:rPr>
                <w:lang w:eastAsia="en-US"/>
              </w:rPr>
              <w:t xml:space="preserve">Telekomunikacyjne linie kablowe. Słupki </w:t>
            </w:r>
            <w:proofErr w:type="spellStart"/>
            <w:r>
              <w:rPr>
                <w:lang w:eastAsia="en-US"/>
              </w:rPr>
              <w:t>oznaczeniowe</w:t>
            </w:r>
            <w:proofErr w:type="spellEnd"/>
            <w:r>
              <w:rPr>
                <w:lang w:eastAsia="en-US"/>
              </w:rPr>
              <w:t xml:space="preserve"> i </w:t>
            </w:r>
            <w:proofErr w:type="spellStart"/>
            <w:r>
              <w:rPr>
                <w:lang w:eastAsia="en-US"/>
              </w:rPr>
              <w:t>oznaczeniowo</w:t>
            </w:r>
            <w:proofErr w:type="spellEnd"/>
            <w:r>
              <w:rPr>
                <w:lang w:eastAsia="en-US"/>
              </w:rPr>
              <w:t>-pomiarowe.</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24.</w:t>
            </w:r>
          </w:p>
        </w:tc>
        <w:tc>
          <w:tcPr>
            <w:tcW w:w="1842" w:type="dxa"/>
            <w:gridSpan w:val="2"/>
            <w:hideMark/>
          </w:tcPr>
          <w:p w:rsidR="00E3297D" w:rsidRDefault="00E3297D">
            <w:pPr>
              <w:spacing w:line="256" w:lineRule="auto"/>
              <w:rPr>
                <w:lang w:eastAsia="en-US"/>
              </w:rPr>
            </w:pPr>
            <w:r>
              <w:rPr>
                <w:lang w:eastAsia="en-US"/>
              </w:rPr>
              <w:t>PN-84/T-90340</w:t>
            </w:r>
          </w:p>
        </w:tc>
        <w:tc>
          <w:tcPr>
            <w:tcW w:w="5172" w:type="dxa"/>
            <w:gridSpan w:val="2"/>
            <w:hideMark/>
          </w:tcPr>
          <w:p w:rsidR="00E3297D" w:rsidRDefault="00E3297D">
            <w:pPr>
              <w:spacing w:line="256" w:lineRule="auto"/>
              <w:rPr>
                <w:lang w:eastAsia="en-US"/>
              </w:rPr>
            </w:pPr>
            <w:r>
              <w:rPr>
                <w:lang w:eastAsia="en-US"/>
              </w:rPr>
              <w:t>Telekomunikacyjne kable dalekosiężne symetryczne z wiązkami parowymi, o izolacji polietylenowej piankowej.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25.</w:t>
            </w:r>
          </w:p>
        </w:tc>
        <w:tc>
          <w:tcPr>
            <w:tcW w:w="1842" w:type="dxa"/>
            <w:gridSpan w:val="2"/>
            <w:hideMark/>
          </w:tcPr>
          <w:p w:rsidR="00E3297D" w:rsidRDefault="00E3297D">
            <w:pPr>
              <w:spacing w:line="256" w:lineRule="auto"/>
              <w:rPr>
                <w:lang w:eastAsia="en-US"/>
              </w:rPr>
            </w:pPr>
            <w:r>
              <w:rPr>
                <w:lang w:eastAsia="en-US"/>
              </w:rPr>
              <w:t>PN-84/T-90341</w:t>
            </w:r>
          </w:p>
        </w:tc>
        <w:tc>
          <w:tcPr>
            <w:tcW w:w="5172" w:type="dxa"/>
            <w:gridSpan w:val="2"/>
            <w:hideMark/>
          </w:tcPr>
          <w:p w:rsidR="00E3297D" w:rsidRDefault="00E3297D">
            <w:pPr>
              <w:spacing w:line="256" w:lineRule="auto"/>
              <w:rPr>
                <w:lang w:eastAsia="en-US"/>
              </w:rPr>
            </w:pPr>
            <w:r>
              <w:rPr>
                <w:lang w:eastAsia="en-US"/>
              </w:rPr>
              <w:t>Telekomunikacyjne kable dalekosiężne symetryczne z wiązkami parowymi, o izolacji polietylenowej piankowej, o powłoce aluminiowej z osłoną ochronną polietylenową.</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26.</w:t>
            </w:r>
          </w:p>
        </w:tc>
        <w:tc>
          <w:tcPr>
            <w:tcW w:w="1842" w:type="dxa"/>
            <w:gridSpan w:val="2"/>
            <w:hideMark/>
          </w:tcPr>
          <w:p w:rsidR="00E3297D" w:rsidRDefault="00E3297D">
            <w:pPr>
              <w:spacing w:line="256" w:lineRule="auto"/>
              <w:rPr>
                <w:lang w:eastAsia="en-US"/>
              </w:rPr>
            </w:pPr>
            <w:r>
              <w:rPr>
                <w:lang w:eastAsia="en-US"/>
              </w:rPr>
              <w:t>PN-84/T-90342</w:t>
            </w:r>
          </w:p>
        </w:tc>
        <w:tc>
          <w:tcPr>
            <w:tcW w:w="5172" w:type="dxa"/>
            <w:gridSpan w:val="2"/>
            <w:hideMark/>
          </w:tcPr>
          <w:p w:rsidR="00E3297D" w:rsidRDefault="00E3297D">
            <w:pPr>
              <w:spacing w:line="256" w:lineRule="auto"/>
              <w:rPr>
                <w:lang w:eastAsia="en-US"/>
              </w:rPr>
            </w:pPr>
            <w:r>
              <w:rPr>
                <w:lang w:eastAsia="en-US"/>
              </w:rPr>
              <w:t>Telekomunikacyjne kable dalekosiężne symetryczne z wiązkami parowymi, o izolacji polietylenowej piankowej, o powłoce aluminiowej, opancerzone, w osłonach z materiałów termoplastycznych.</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27.</w:t>
            </w:r>
          </w:p>
        </w:tc>
        <w:tc>
          <w:tcPr>
            <w:tcW w:w="1842" w:type="dxa"/>
            <w:gridSpan w:val="2"/>
            <w:hideMark/>
          </w:tcPr>
          <w:p w:rsidR="00E3297D" w:rsidRDefault="00E3297D">
            <w:pPr>
              <w:spacing w:line="256" w:lineRule="auto"/>
              <w:rPr>
                <w:lang w:eastAsia="en-US"/>
              </w:rPr>
            </w:pPr>
            <w:r>
              <w:rPr>
                <w:lang w:eastAsia="en-US"/>
              </w:rPr>
              <w:t>PN-84/T-90345</w:t>
            </w:r>
          </w:p>
        </w:tc>
        <w:tc>
          <w:tcPr>
            <w:tcW w:w="5172" w:type="dxa"/>
            <w:gridSpan w:val="2"/>
            <w:hideMark/>
          </w:tcPr>
          <w:p w:rsidR="00E3297D" w:rsidRDefault="00E3297D">
            <w:pPr>
              <w:spacing w:line="256" w:lineRule="auto"/>
              <w:rPr>
                <w:lang w:eastAsia="en-US"/>
              </w:rPr>
            </w:pPr>
            <w:r>
              <w:rPr>
                <w:lang w:eastAsia="en-US"/>
              </w:rPr>
              <w:t>Telekomunikacyjne kable dalekosiężne symetryczne z wiązkami czwórkowymi o izolacji polietylenowej piankowej.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28.</w:t>
            </w:r>
          </w:p>
        </w:tc>
        <w:tc>
          <w:tcPr>
            <w:tcW w:w="1842" w:type="dxa"/>
            <w:gridSpan w:val="2"/>
            <w:hideMark/>
          </w:tcPr>
          <w:p w:rsidR="00E3297D" w:rsidRDefault="00E3297D">
            <w:pPr>
              <w:spacing w:line="256" w:lineRule="auto"/>
              <w:rPr>
                <w:lang w:eastAsia="en-US"/>
              </w:rPr>
            </w:pPr>
            <w:r>
              <w:rPr>
                <w:lang w:eastAsia="en-US"/>
              </w:rPr>
              <w:t>PN-84/T-90347</w:t>
            </w:r>
          </w:p>
        </w:tc>
        <w:tc>
          <w:tcPr>
            <w:tcW w:w="5172" w:type="dxa"/>
            <w:gridSpan w:val="2"/>
            <w:hideMark/>
          </w:tcPr>
          <w:p w:rsidR="00E3297D" w:rsidRDefault="00E3297D">
            <w:pPr>
              <w:spacing w:line="256" w:lineRule="auto"/>
              <w:rPr>
                <w:lang w:eastAsia="en-US"/>
              </w:rPr>
            </w:pPr>
            <w:r>
              <w:rPr>
                <w:lang w:eastAsia="en-US"/>
              </w:rPr>
              <w:t>Telekomunikacyjne kable dalekosiężne symetryczne z wiązkami czwórkowymi o izolacji polietylenowej piankowej i o powłoce ołowianej, opancerzone, z osłonami ochronnymi z tworzyw termoplastycznych.</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29.</w:t>
            </w:r>
          </w:p>
        </w:tc>
        <w:tc>
          <w:tcPr>
            <w:tcW w:w="1842" w:type="dxa"/>
            <w:gridSpan w:val="2"/>
            <w:hideMark/>
          </w:tcPr>
          <w:p w:rsidR="00E3297D" w:rsidRDefault="00E3297D">
            <w:pPr>
              <w:spacing w:line="256" w:lineRule="auto"/>
              <w:rPr>
                <w:lang w:eastAsia="en-US"/>
              </w:rPr>
            </w:pPr>
            <w:r>
              <w:rPr>
                <w:lang w:eastAsia="en-US"/>
              </w:rPr>
              <w:t>PN-87/T-90351</w:t>
            </w:r>
          </w:p>
        </w:tc>
        <w:tc>
          <w:tcPr>
            <w:tcW w:w="5172" w:type="dxa"/>
            <w:gridSpan w:val="2"/>
            <w:hideMark/>
          </w:tcPr>
          <w:p w:rsidR="00E3297D" w:rsidRDefault="00E3297D">
            <w:pPr>
              <w:spacing w:line="256" w:lineRule="auto"/>
              <w:rPr>
                <w:lang w:eastAsia="en-US"/>
              </w:rPr>
            </w:pPr>
            <w:r>
              <w:rPr>
                <w:lang w:eastAsia="en-US"/>
              </w:rPr>
              <w:t>Telekomunikacyjne kable dalekosiężne symetryczne o izolacji papierowo-powietrznej i powłoce ołowianej. Rodzaje kabli.</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30.</w:t>
            </w:r>
          </w:p>
        </w:tc>
        <w:tc>
          <w:tcPr>
            <w:tcW w:w="1842" w:type="dxa"/>
            <w:gridSpan w:val="2"/>
            <w:hideMark/>
          </w:tcPr>
          <w:p w:rsidR="00E3297D" w:rsidRDefault="00E3297D">
            <w:pPr>
              <w:spacing w:line="256" w:lineRule="auto"/>
              <w:rPr>
                <w:lang w:eastAsia="en-US"/>
              </w:rPr>
            </w:pPr>
            <w:r>
              <w:rPr>
                <w:lang w:eastAsia="en-US"/>
              </w:rPr>
              <w:t>PN-87/T-90352</w:t>
            </w:r>
          </w:p>
        </w:tc>
        <w:tc>
          <w:tcPr>
            <w:tcW w:w="5172" w:type="dxa"/>
            <w:gridSpan w:val="2"/>
            <w:hideMark/>
          </w:tcPr>
          <w:p w:rsidR="00E3297D" w:rsidRDefault="00E3297D">
            <w:pPr>
              <w:spacing w:line="256" w:lineRule="auto"/>
              <w:rPr>
                <w:lang w:eastAsia="en-US"/>
              </w:rPr>
            </w:pPr>
            <w:r>
              <w:rPr>
                <w:lang w:eastAsia="en-US"/>
              </w:rPr>
              <w:t xml:space="preserve">Telekomunikacyjne kable dalekosiężne symetryczne o izolacji </w:t>
            </w:r>
            <w:proofErr w:type="spellStart"/>
            <w:r>
              <w:rPr>
                <w:lang w:eastAsia="en-US"/>
              </w:rPr>
              <w:t>polietylenowo-powietrznej</w:t>
            </w:r>
            <w:proofErr w:type="spellEnd"/>
            <w:r>
              <w:rPr>
                <w:lang w:eastAsia="en-US"/>
              </w:rPr>
              <w:t xml:space="preserve"> i powłoce ołowianej. Rodzaje kabli.</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31.</w:t>
            </w:r>
          </w:p>
        </w:tc>
        <w:tc>
          <w:tcPr>
            <w:tcW w:w="1842" w:type="dxa"/>
            <w:gridSpan w:val="2"/>
            <w:hideMark/>
          </w:tcPr>
          <w:p w:rsidR="00E3297D" w:rsidRDefault="00E3297D">
            <w:pPr>
              <w:spacing w:line="256" w:lineRule="auto"/>
              <w:rPr>
                <w:lang w:eastAsia="en-US"/>
              </w:rPr>
            </w:pPr>
            <w:r>
              <w:rPr>
                <w:lang w:eastAsia="en-US"/>
              </w:rPr>
              <w:t>PN-83/T-90332</w:t>
            </w:r>
          </w:p>
        </w:tc>
        <w:tc>
          <w:tcPr>
            <w:tcW w:w="5172" w:type="dxa"/>
            <w:gridSpan w:val="2"/>
            <w:hideMark/>
          </w:tcPr>
          <w:p w:rsidR="00E3297D" w:rsidRDefault="00E3297D">
            <w:pPr>
              <w:spacing w:line="256" w:lineRule="auto"/>
              <w:rPr>
                <w:lang w:eastAsia="en-US"/>
              </w:rPr>
            </w:pPr>
            <w:r>
              <w:rPr>
                <w:lang w:eastAsia="en-US"/>
              </w:rPr>
              <w:t xml:space="preserve">Telekomunikacyjne kable miejscowe z wiązkami czwórkowymi, pęczkowe, o izolacji polietylenowej, o powłoce stalowej, spawanej, falowanej, z osłoną polietylenową lub </w:t>
            </w:r>
            <w:proofErr w:type="spellStart"/>
            <w:r>
              <w:rPr>
                <w:lang w:eastAsia="en-US"/>
              </w:rPr>
              <w:t>polwinitową</w:t>
            </w:r>
            <w:proofErr w:type="spellEnd"/>
            <w:r>
              <w:rPr>
                <w:lang w:eastAsia="en-US"/>
              </w:rPr>
              <w:t>.</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32.</w:t>
            </w:r>
          </w:p>
        </w:tc>
        <w:tc>
          <w:tcPr>
            <w:tcW w:w="1842" w:type="dxa"/>
            <w:gridSpan w:val="2"/>
            <w:hideMark/>
          </w:tcPr>
          <w:p w:rsidR="00E3297D" w:rsidRDefault="00E3297D">
            <w:pPr>
              <w:spacing w:line="256" w:lineRule="auto"/>
              <w:rPr>
                <w:lang w:eastAsia="en-US"/>
              </w:rPr>
            </w:pPr>
            <w:r>
              <w:rPr>
                <w:lang w:eastAsia="en-US"/>
              </w:rPr>
              <w:t>WT-84/K-187</w:t>
            </w:r>
          </w:p>
        </w:tc>
        <w:tc>
          <w:tcPr>
            <w:tcW w:w="5172" w:type="dxa"/>
            <w:gridSpan w:val="2"/>
            <w:hideMark/>
          </w:tcPr>
          <w:p w:rsidR="00E3297D" w:rsidRDefault="00E3297D">
            <w:pPr>
              <w:spacing w:line="256" w:lineRule="auto"/>
              <w:rPr>
                <w:lang w:eastAsia="en-US"/>
              </w:rPr>
            </w:pPr>
            <w:r>
              <w:rPr>
                <w:lang w:eastAsia="en-US"/>
              </w:rPr>
              <w:t>Telekomunikacyjne kable miejscowe pęczkowe, o izolacji polietylenowej, ekranowane o powłoce stalowej spawanej, falowanej i osłoną polietylenową.</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33.</w:t>
            </w:r>
          </w:p>
        </w:tc>
        <w:tc>
          <w:tcPr>
            <w:tcW w:w="1842" w:type="dxa"/>
            <w:gridSpan w:val="2"/>
            <w:hideMark/>
          </w:tcPr>
          <w:p w:rsidR="00E3297D" w:rsidRDefault="00E3297D">
            <w:pPr>
              <w:spacing w:line="256" w:lineRule="auto"/>
              <w:rPr>
                <w:lang w:eastAsia="en-US"/>
              </w:rPr>
            </w:pPr>
            <w:r>
              <w:rPr>
                <w:lang w:eastAsia="en-US"/>
              </w:rPr>
              <w:t>WT-86/K-094.02</w:t>
            </w:r>
          </w:p>
        </w:tc>
        <w:tc>
          <w:tcPr>
            <w:tcW w:w="5172" w:type="dxa"/>
            <w:gridSpan w:val="2"/>
            <w:hideMark/>
          </w:tcPr>
          <w:p w:rsidR="00E3297D" w:rsidRDefault="00E3297D">
            <w:pPr>
              <w:spacing w:line="256" w:lineRule="auto"/>
              <w:rPr>
                <w:lang w:eastAsia="en-US"/>
              </w:rPr>
            </w:pPr>
            <w:r>
              <w:rPr>
                <w:lang w:eastAsia="en-US"/>
              </w:rPr>
              <w:t xml:space="preserve">Telekomunikacyjne kable dalekosiężne z parami współosiowymi małowymiarowymi, o powłoce aluminiowej, </w:t>
            </w:r>
            <w:r>
              <w:rPr>
                <w:lang w:eastAsia="en-US"/>
              </w:rPr>
              <w:lastRenderedPageBreak/>
              <w:t>nieopancerzone i opancerzone, z osłonami ochronnymi z tworzyw termoplastycznych.</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lastRenderedPageBreak/>
              <w:t>34.</w:t>
            </w:r>
          </w:p>
        </w:tc>
        <w:tc>
          <w:tcPr>
            <w:tcW w:w="1842" w:type="dxa"/>
            <w:gridSpan w:val="2"/>
            <w:hideMark/>
          </w:tcPr>
          <w:p w:rsidR="00E3297D" w:rsidRDefault="00E3297D">
            <w:pPr>
              <w:spacing w:line="256" w:lineRule="auto"/>
              <w:rPr>
                <w:lang w:eastAsia="en-US"/>
              </w:rPr>
            </w:pPr>
            <w:r>
              <w:rPr>
                <w:lang w:eastAsia="en-US"/>
              </w:rPr>
              <w:t>WT-86/K-245.02</w:t>
            </w:r>
          </w:p>
        </w:tc>
        <w:tc>
          <w:tcPr>
            <w:tcW w:w="5172" w:type="dxa"/>
            <w:gridSpan w:val="2"/>
            <w:hideMark/>
          </w:tcPr>
          <w:p w:rsidR="00E3297D" w:rsidRDefault="00E3297D">
            <w:pPr>
              <w:spacing w:line="256" w:lineRule="auto"/>
              <w:rPr>
                <w:lang w:eastAsia="en-US"/>
              </w:rPr>
            </w:pPr>
            <w:r>
              <w:rPr>
                <w:lang w:eastAsia="en-US"/>
              </w:rPr>
              <w:t xml:space="preserve">Telekomunikacyjne kable dalekosiężne z parami współosiowymi </w:t>
            </w:r>
            <w:proofErr w:type="spellStart"/>
            <w:r>
              <w:rPr>
                <w:lang w:eastAsia="en-US"/>
              </w:rPr>
              <w:t>normalnowymiarowymi</w:t>
            </w:r>
            <w:proofErr w:type="spellEnd"/>
            <w:r>
              <w:rPr>
                <w:lang w:eastAsia="en-US"/>
              </w:rPr>
              <w:t>, o powłoce metalowej, opancerzone, z osłonami polietylenowymi.</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35.</w:t>
            </w:r>
          </w:p>
        </w:tc>
        <w:tc>
          <w:tcPr>
            <w:tcW w:w="1842" w:type="dxa"/>
            <w:gridSpan w:val="2"/>
            <w:hideMark/>
          </w:tcPr>
          <w:p w:rsidR="00E3297D" w:rsidRDefault="00E3297D">
            <w:pPr>
              <w:spacing w:line="256" w:lineRule="auto"/>
              <w:rPr>
                <w:lang w:eastAsia="en-US"/>
              </w:rPr>
            </w:pPr>
            <w:r>
              <w:rPr>
                <w:lang w:eastAsia="en-US"/>
              </w:rPr>
              <w:t>WT-80/K-132</w:t>
            </w:r>
          </w:p>
        </w:tc>
        <w:tc>
          <w:tcPr>
            <w:tcW w:w="5172" w:type="dxa"/>
            <w:gridSpan w:val="2"/>
            <w:hideMark/>
          </w:tcPr>
          <w:p w:rsidR="00E3297D" w:rsidRDefault="00E3297D">
            <w:pPr>
              <w:spacing w:line="256" w:lineRule="auto"/>
              <w:rPr>
                <w:lang w:eastAsia="en-US"/>
              </w:rPr>
            </w:pPr>
            <w:r>
              <w:rPr>
                <w:lang w:eastAsia="en-US"/>
              </w:rPr>
              <w:t>Telekomunikacyjne kable dalekosiężne rozdzielcze z wiązkami czwórkowymi o izolacji polietylenowej piankowej i o powłoce ołowianej.</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36.</w:t>
            </w:r>
          </w:p>
        </w:tc>
        <w:tc>
          <w:tcPr>
            <w:tcW w:w="1842" w:type="dxa"/>
            <w:gridSpan w:val="2"/>
            <w:hideMark/>
          </w:tcPr>
          <w:p w:rsidR="00E3297D" w:rsidRDefault="00E3297D">
            <w:pPr>
              <w:spacing w:line="256" w:lineRule="auto"/>
              <w:rPr>
                <w:lang w:eastAsia="en-US"/>
              </w:rPr>
            </w:pPr>
            <w:r>
              <w:rPr>
                <w:lang w:eastAsia="en-US"/>
              </w:rPr>
              <w:t>WT-80/K-133</w:t>
            </w:r>
          </w:p>
        </w:tc>
        <w:tc>
          <w:tcPr>
            <w:tcW w:w="5172" w:type="dxa"/>
            <w:gridSpan w:val="2"/>
            <w:hideMark/>
          </w:tcPr>
          <w:p w:rsidR="00E3297D" w:rsidRDefault="00E3297D">
            <w:pPr>
              <w:spacing w:line="256" w:lineRule="auto"/>
              <w:rPr>
                <w:lang w:eastAsia="en-US"/>
              </w:rPr>
            </w:pPr>
            <w:r>
              <w:rPr>
                <w:lang w:eastAsia="en-US"/>
              </w:rPr>
              <w:t>Telekomunikacyjny kabel rozdzielczy z wiązkami parowymi o izolacji polietylenowej piankowej i  powłoce ołowianej.</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37.</w:t>
            </w:r>
          </w:p>
        </w:tc>
        <w:tc>
          <w:tcPr>
            <w:tcW w:w="1842" w:type="dxa"/>
            <w:gridSpan w:val="2"/>
            <w:hideMark/>
          </w:tcPr>
          <w:p w:rsidR="00E3297D" w:rsidRDefault="00E3297D">
            <w:pPr>
              <w:spacing w:line="256" w:lineRule="auto"/>
              <w:rPr>
                <w:lang w:eastAsia="en-US"/>
              </w:rPr>
            </w:pPr>
            <w:r>
              <w:rPr>
                <w:lang w:eastAsia="en-US"/>
              </w:rPr>
              <w:t>WT-84/K-186</w:t>
            </w:r>
          </w:p>
        </w:tc>
        <w:tc>
          <w:tcPr>
            <w:tcW w:w="5172" w:type="dxa"/>
            <w:gridSpan w:val="2"/>
            <w:hideMark/>
          </w:tcPr>
          <w:p w:rsidR="00E3297D" w:rsidRDefault="00E3297D">
            <w:pPr>
              <w:spacing w:line="256" w:lineRule="auto"/>
              <w:rPr>
                <w:lang w:eastAsia="en-US"/>
              </w:rPr>
            </w:pPr>
            <w:r>
              <w:rPr>
                <w:lang w:eastAsia="en-US"/>
              </w:rPr>
              <w:t>Telekomunikacyjne kable dalekosiężne rozdzielcze z wiązkami czwórkowymi o izolacji polietylenowej piankowej, ekranowane w powłoce stalowej, z osłoną polietylenową.</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38.</w:t>
            </w:r>
          </w:p>
        </w:tc>
        <w:tc>
          <w:tcPr>
            <w:tcW w:w="1842" w:type="dxa"/>
            <w:gridSpan w:val="2"/>
            <w:hideMark/>
          </w:tcPr>
          <w:p w:rsidR="00E3297D" w:rsidRDefault="00E3297D">
            <w:pPr>
              <w:spacing w:line="256" w:lineRule="auto"/>
              <w:rPr>
                <w:lang w:eastAsia="en-US"/>
              </w:rPr>
            </w:pPr>
            <w:r>
              <w:rPr>
                <w:lang w:eastAsia="en-US"/>
              </w:rPr>
              <w:t>BN-88/8984-17/03</w:t>
            </w:r>
          </w:p>
        </w:tc>
        <w:tc>
          <w:tcPr>
            <w:tcW w:w="5172" w:type="dxa"/>
            <w:gridSpan w:val="2"/>
            <w:hideMark/>
          </w:tcPr>
          <w:p w:rsidR="00E3297D" w:rsidRDefault="00E3297D">
            <w:pPr>
              <w:spacing w:line="256" w:lineRule="auto"/>
              <w:rPr>
                <w:lang w:eastAsia="en-US"/>
              </w:rPr>
            </w:pPr>
            <w:r>
              <w:rPr>
                <w:lang w:eastAsia="en-US"/>
              </w:rPr>
              <w:t>Telekomunikacyjne sieci miejscowe. Linie kablowe.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39.</w:t>
            </w:r>
          </w:p>
        </w:tc>
        <w:tc>
          <w:tcPr>
            <w:tcW w:w="1842" w:type="dxa"/>
            <w:gridSpan w:val="2"/>
            <w:hideMark/>
          </w:tcPr>
          <w:p w:rsidR="00E3297D" w:rsidRDefault="00E3297D">
            <w:pPr>
              <w:spacing w:line="256" w:lineRule="auto"/>
              <w:rPr>
                <w:lang w:eastAsia="en-US"/>
              </w:rPr>
            </w:pPr>
            <w:r>
              <w:rPr>
                <w:lang w:eastAsia="en-US"/>
              </w:rPr>
              <w:t>BN-79/8976-78-78</w:t>
            </w:r>
          </w:p>
        </w:tc>
        <w:tc>
          <w:tcPr>
            <w:tcW w:w="5172" w:type="dxa"/>
            <w:gridSpan w:val="2"/>
            <w:hideMark/>
          </w:tcPr>
          <w:p w:rsidR="00E3297D" w:rsidRDefault="00E3297D">
            <w:pPr>
              <w:spacing w:line="256" w:lineRule="auto"/>
              <w:rPr>
                <w:lang w:eastAsia="en-US"/>
              </w:rPr>
            </w:pPr>
            <w:r>
              <w:rPr>
                <w:lang w:eastAsia="en-US"/>
              </w:rPr>
              <w:t>Pustak kablowy.</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40.</w:t>
            </w:r>
          </w:p>
        </w:tc>
        <w:tc>
          <w:tcPr>
            <w:tcW w:w="1842" w:type="dxa"/>
            <w:gridSpan w:val="2"/>
            <w:hideMark/>
          </w:tcPr>
          <w:p w:rsidR="00E3297D" w:rsidRDefault="00E3297D">
            <w:pPr>
              <w:spacing w:line="256" w:lineRule="auto"/>
              <w:rPr>
                <w:lang w:eastAsia="en-US"/>
              </w:rPr>
            </w:pPr>
            <w:r>
              <w:rPr>
                <w:lang w:eastAsia="en-US"/>
              </w:rPr>
              <w:t>BN-72/3233-72</w:t>
            </w:r>
          </w:p>
        </w:tc>
        <w:tc>
          <w:tcPr>
            <w:tcW w:w="5172" w:type="dxa"/>
            <w:gridSpan w:val="2"/>
            <w:hideMark/>
          </w:tcPr>
          <w:p w:rsidR="00E3297D" w:rsidRDefault="00E3297D">
            <w:pPr>
              <w:spacing w:line="256" w:lineRule="auto"/>
              <w:rPr>
                <w:lang w:eastAsia="en-US"/>
              </w:rPr>
            </w:pPr>
            <w:r>
              <w:rPr>
                <w:lang w:eastAsia="en-US"/>
              </w:rPr>
              <w:t>Prefabrykowana przykrywa żelbetowa.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41.</w:t>
            </w:r>
          </w:p>
        </w:tc>
        <w:tc>
          <w:tcPr>
            <w:tcW w:w="1842" w:type="dxa"/>
            <w:gridSpan w:val="2"/>
            <w:hideMark/>
          </w:tcPr>
          <w:p w:rsidR="00E3297D" w:rsidRDefault="00E3297D">
            <w:pPr>
              <w:spacing w:line="256" w:lineRule="auto"/>
              <w:rPr>
                <w:lang w:eastAsia="en-US"/>
              </w:rPr>
            </w:pPr>
            <w:r>
              <w:rPr>
                <w:lang w:eastAsia="en-US"/>
              </w:rPr>
              <w:t>PN-77/E-05030/00      i 01</w:t>
            </w:r>
          </w:p>
        </w:tc>
        <w:tc>
          <w:tcPr>
            <w:tcW w:w="5172" w:type="dxa"/>
            <w:gridSpan w:val="2"/>
            <w:hideMark/>
          </w:tcPr>
          <w:p w:rsidR="00E3297D" w:rsidRDefault="00E3297D">
            <w:pPr>
              <w:spacing w:line="256" w:lineRule="auto"/>
              <w:rPr>
                <w:lang w:eastAsia="en-US"/>
              </w:rPr>
            </w:pPr>
            <w:r>
              <w:rPr>
                <w:lang w:eastAsia="en-US"/>
              </w:rPr>
              <w:t>Ochrona przed korozją. Ochrona katodowa. Wspólne wymagania i badania. Ochrona metalowych części podziemnych.</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42.</w:t>
            </w:r>
          </w:p>
        </w:tc>
        <w:tc>
          <w:tcPr>
            <w:tcW w:w="1842" w:type="dxa"/>
            <w:gridSpan w:val="2"/>
            <w:hideMark/>
          </w:tcPr>
          <w:p w:rsidR="00E3297D" w:rsidRDefault="00E3297D">
            <w:pPr>
              <w:spacing w:line="256" w:lineRule="auto"/>
              <w:rPr>
                <w:lang w:eastAsia="en-US"/>
              </w:rPr>
            </w:pPr>
            <w:r>
              <w:rPr>
                <w:lang w:eastAsia="en-US"/>
              </w:rPr>
              <w:t>BN-89/8984-18</w:t>
            </w:r>
          </w:p>
        </w:tc>
        <w:tc>
          <w:tcPr>
            <w:tcW w:w="5172" w:type="dxa"/>
            <w:gridSpan w:val="2"/>
            <w:hideMark/>
          </w:tcPr>
          <w:p w:rsidR="00E3297D" w:rsidRDefault="00E3297D">
            <w:pPr>
              <w:spacing w:line="256" w:lineRule="auto"/>
              <w:rPr>
                <w:lang w:eastAsia="en-US"/>
              </w:rPr>
            </w:pPr>
            <w:r>
              <w:rPr>
                <w:lang w:eastAsia="en-US"/>
              </w:rPr>
              <w:t>Telekomunikacyjne linie kablowe dalekosiężne. Ogólne wymagania i badania.</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43.</w:t>
            </w:r>
          </w:p>
        </w:tc>
        <w:tc>
          <w:tcPr>
            <w:tcW w:w="1842" w:type="dxa"/>
            <w:gridSpan w:val="2"/>
            <w:hideMark/>
          </w:tcPr>
          <w:p w:rsidR="00E3297D" w:rsidRDefault="00E3297D">
            <w:pPr>
              <w:spacing w:line="256" w:lineRule="auto"/>
              <w:rPr>
                <w:lang w:eastAsia="en-US"/>
              </w:rPr>
            </w:pPr>
            <w:r>
              <w:rPr>
                <w:lang w:eastAsia="en-US"/>
              </w:rPr>
              <w:t>PN-88/B-30000</w:t>
            </w:r>
          </w:p>
        </w:tc>
        <w:tc>
          <w:tcPr>
            <w:tcW w:w="5172" w:type="dxa"/>
            <w:gridSpan w:val="2"/>
            <w:hideMark/>
          </w:tcPr>
          <w:p w:rsidR="00E3297D" w:rsidRDefault="00E3297D">
            <w:pPr>
              <w:spacing w:line="256" w:lineRule="auto"/>
              <w:rPr>
                <w:lang w:eastAsia="en-US"/>
              </w:rPr>
            </w:pPr>
            <w:r>
              <w:rPr>
                <w:lang w:eastAsia="en-US"/>
              </w:rPr>
              <w:t>Projekty budowlane. Obliczenia statyczne.</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44.</w:t>
            </w:r>
          </w:p>
        </w:tc>
        <w:tc>
          <w:tcPr>
            <w:tcW w:w="1842" w:type="dxa"/>
            <w:gridSpan w:val="2"/>
            <w:hideMark/>
          </w:tcPr>
          <w:p w:rsidR="00E3297D" w:rsidRDefault="00E3297D">
            <w:pPr>
              <w:spacing w:line="256" w:lineRule="auto"/>
              <w:rPr>
                <w:lang w:eastAsia="en-US"/>
              </w:rPr>
            </w:pPr>
            <w:r>
              <w:rPr>
                <w:lang w:eastAsia="en-US"/>
              </w:rPr>
              <w:t>BN-73/3233-02</w:t>
            </w:r>
          </w:p>
        </w:tc>
        <w:tc>
          <w:tcPr>
            <w:tcW w:w="5172" w:type="dxa"/>
            <w:gridSpan w:val="2"/>
            <w:hideMark/>
          </w:tcPr>
          <w:p w:rsidR="00E3297D" w:rsidRDefault="00E3297D">
            <w:pPr>
              <w:spacing w:line="256" w:lineRule="auto"/>
              <w:rPr>
                <w:lang w:eastAsia="en-US"/>
              </w:rPr>
            </w:pPr>
            <w:r>
              <w:rPr>
                <w:lang w:eastAsia="en-US"/>
              </w:rPr>
              <w:t>Telekomunikacyjne sieci kablowe miejscowe. Wietrznik do pokryw.</w:t>
            </w:r>
          </w:p>
        </w:tc>
      </w:tr>
      <w:tr w:rsidR="00E3297D" w:rsidTr="00E3297D">
        <w:trPr>
          <w:gridBefore w:val="1"/>
          <w:wBefore w:w="70" w:type="dxa"/>
        </w:trPr>
        <w:tc>
          <w:tcPr>
            <w:tcW w:w="496" w:type="dxa"/>
            <w:gridSpan w:val="2"/>
            <w:hideMark/>
          </w:tcPr>
          <w:p w:rsidR="00E3297D" w:rsidRDefault="00E3297D">
            <w:pPr>
              <w:spacing w:line="256" w:lineRule="auto"/>
              <w:jc w:val="right"/>
              <w:rPr>
                <w:lang w:eastAsia="en-US"/>
              </w:rPr>
            </w:pPr>
            <w:r>
              <w:rPr>
                <w:lang w:eastAsia="en-US"/>
              </w:rPr>
              <w:t>45.</w:t>
            </w:r>
          </w:p>
        </w:tc>
        <w:tc>
          <w:tcPr>
            <w:tcW w:w="1842" w:type="dxa"/>
            <w:gridSpan w:val="2"/>
            <w:hideMark/>
          </w:tcPr>
          <w:p w:rsidR="00E3297D" w:rsidRDefault="00E3297D">
            <w:pPr>
              <w:spacing w:line="256" w:lineRule="auto"/>
              <w:rPr>
                <w:lang w:eastAsia="en-US"/>
              </w:rPr>
            </w:pPr>
            <w:r>
              <w:rPr>
                <w:lang w:eastAsia="en-US"/>
              </w:rPr>
              <w:t>BN-73/3233-03</w:t>
            </w:r>
          </w:p>
        </w:tc>
        <w:tc>
          <w:tcPr>
            <w:tcW w:w="5172" w:type="dxa"/>
            <w:gridSpan w:val="2"/>
            <w:hideMark/>
          </w:tcPr>
          <w:p w:rsidR="00E3297D" w:rsidRDefault="00E3297D">
            <w:pPr>
              <w:spacing w:line="256" w:lineRule="auto"/>
              <w:rPr>
                <w:lang w:eastAsia="en-US"/>
              </w:rPr>
            </w:pPr>
            <w:r>
              <w:rPr>
                <w:lang w:eastAsia="en-US"/>
              </w:rPr>
              <w:t>Ramy i oprawy pokryw.</w:t>
            </w:r>
          </w:p>
        </w:tc>
      </w:tr>
      <w:tr w:rsidR="00E3297D" w:rsidTr="00E3297D">
        <w:trPr>
          <w:gridAfter w:val="1"/>
          <w:wAfter w:w="70" w:type="dxa"/>
        </w:trPr>
        <w:tc>
          <w:tcPr>
            <w:tcW w:w="496" w:type="dxa"/>
            <w:gridSpan w:val="2"/>
            <w:hideMark/>
          </w:tcPr>
          <w:p w:rsidR="00E3297D" w:rsidRDefault="00E3297D">
            <w:pPr>
              <w:spacing w:line="256" w:lineRule="auto"/>
              <w:jc w:val="right"/>
              <w:rPr>
                <w:lang w:eastAsia="en-US"/>
              </w:rPr>
            </w:pPr>
            <w:r>
              <w:rPr>
                <w:lang w:eastAsia="en-US"/>
              </w:rPr>
              <w:t>46.</w:t>
            </w:r>
          </w:p>
        </w:tc>
        <w:tc>
          <w:tcPr>
            <w:tcW w:w="1842" w:type="dxa"/>
            <w:gridSpan w:val="2"/>
            <w:hideMark/>
          </w:tcPr>
          <w:p w:rsidR="00E3297D" w:rsidRDefault="00E3297D">
            <w:pPr>
              <w:spacing w:line="256" w:lineRule="auto"/>
              <w:rPr>
                <w:lang w:eastAsia="en-US"/>
              </w:rPr>
            </w:pPr>
            <w:r>
              <w:rPr>
                <w:lang w:eastAsia="en-US"/>
              </w:rPr>
              <w:t>BN-69/9378-30</w:t>
            </w:r>
          </w:p>
        </w:tc>
        <w:tc>
          <w:tcPr>
            <w:tcW w:w="5172" w:type="dxa"/>
            <w:gridSpan w:val="2"/>
            <w:hideMark/>
          </w:tcPr>
          <w:p w:rsidR="00E3297D" w:rsidRDefault="00E3297D">
            <w:pPr>
              <w:spacing w:line="256" w:lineRule="auto"/>
              <w:rPr>
                <w:lang w:eastAsia="en-US"/>
              </w:rPr>
            </w:pPr>
            <w:r>
              <w:rPr>
                <w:lang w:eastAsia="en-US"/>
              </w:rPr>
              <w:t>Telekomunikacyjne sieci kablowe miejscowe. Wsporniki kablowe.</w:t>
            </w:r>
          </w:p>
        </w:tc>
      </w:tr>
      <w:tr w:rsidR="00E3297D" w:rsidTr="00E3297D">
        <w:trPr>
          <w:gridAfter w:val="1"/>
          <w:wAfter w:w="70" w:type="dxa"/>
        </w:trPr>
        <w:tc>
          <w:tcPr>
            <w:tcW w:w="496" w:type="dxa"/>
            <w:gridSpan w:val="2"/>
            <w:hideMark/>
          </w:tcPr>
          <w:p w:rsidR="00E3297D" w:rsidRDefault="00E3297D">
            <w:pPr>
              <w:spacing w:line="256" w:lineRule="auto"/>
              <w:jc w:val="right"/>
              <w:rPr>
                <w:lang w:eastAsia="en-US"/>
              </w:rPr>
            </w:pPr>
            <w:r>
              <w:rPr>
                <w:lang w:eastAsia="en-US"/>
              </w:rPr>
              <w:t>47.</w:t>
            </w:r>
          </w:p>
        </w:tc>
        <w:tc>
          <w:tcPr>
            <w:tcW w:w="1842" w:type="dxa"/>
            <w:gridSpan w:val="2"/>
            <w:hideMark/>
          </w:tcPr>
          <w:p w:rsidR="00E3297D" w:rsidRDefault="00E3297D">
            <w:pPr>
              <w:spacing w:line="256" w:lineRule="auto"/>
              <w:rPr>
                <w:lang w:eastAsia="en-US"/>
              </w:rPr>
            </w:pPr>
            <w:r>
              <w:rPr>
                <w:lang w:eastAsia="en-US"/>
              </w:rPr>
              <w:t>BN-86/3223-16</w:t>
            </w:r>
          </w:p>
        </w:tc>
        <w:tc>
          <w:tcPr>
            <w:tcW w:w="5172" w:type="dxa"/>
            <w:gridSpan w:val="2"/>
            <w:hideMark/>
          </w:tcPr>
          <w:p w:rsidR="00E3297D" w:rsidRDefault="00E3297D">
            <w:pPr>
              <w:spacing w:line="256" w:lineRule="auto"/>
              <w:rPr>
                <w:lang w:eastAsia="en-US"/>
              </w:rPr>
            </w:pPr>
            <w:r>
              <w:rPr>
                <w:lang w:eastAsia="en-US"/>
              </w:rPr>
              <w:t>Telekomunikacyjne sieci miejscowe. Szafki kablowe.</w:t>
            </w:r>
          </w:p>
        </w:tc>
      </w:tr>
      <w:tr w:rsidR="00E3297D" w:rsidTr="00E3297D">
        <w:trPr>
          <w:gridAfter w:val="1"/>
          <w:wAfter w:w="70" w:type="dxa"/>
        </w:trPr>
        <w:tc>
          <w:tcPr>
            <w:tcW w:w="496" w:type="dxa"/>
            <w:gridSpan w:val="2"/>
            <w:hideMark/>
          </w:tcPr>
          <w:p w:rsidR="00E3297D" w:rsidRDefault="00E3297D">
            <w:pPr>
              <w:spacing w:line="256" w:lineRule="auto"/>
              <w:jc w:val="right"/>
              <w:rPr>
                <w:lang w:eastAsia="en-US"/>
              </w:rPr>
            </w:pPr>
            <w:r>
              <w:rPr>
                <w:lang w:eastAsia="en-US"/>
              </w:rPr>
              <w:t>48.</w:t>
            </w:r>
          </w:p>
        </w:tc>
        <w:tc>
          <w:tcPr>
            <w:tcW w:w="1842" w:type="dxa"/>
            <w:gridSpan w:val="2"/>
            <w:hideMark/>
          </w:tcPr>
          <w:p w:rsidR="00E3297D" w:rsidRDefault="00E3297D">
            <w:pPr>
              <w:spacing w:line="256" w:lineRule="auto"/>
              <w:rPr>
                <w:lang w:eastAsia="en-US"/>
              </w:rPr>
            </w:pPr>
            <w:r>
              <w:rPr>
                <w:lang w:eastAsia="en-US"/>
              </w:rPr>
              <w:t>BN-79/3223-02</w:t>
            </w:r>
          </w:p>
        </w:tc>
        <w:tc>
          <w:tcPr>
            <w:tcW w:w="5172" w:type="dxa"/>
            <w:gridSpan w:val="2"/>
            <w:hideMark/>
          </w:tcPr>
          <w:p w:rsidR="00E3297D" w:rsidRDefault="00E3297D">
            <w:pPr>
              <w:spacing w:line="256" w:lineRule="auto"/>
              <w:rPr>
                <w:lang w:eastAsia="en-US"/>
              </w:rPr>
            </w:pPr>
            <w:r>
              <w:rPr>
                <w:lang w:eastAsia="en-US"/>
              </w:rPr>
              <w:t>Telekomunikacyjne linie kablowe. Zespoły pupinizacyjne i skrzynie zespołów pupinizacyjnych.</w:t>
            </w:r>
          </w:p>
        </w:tc>
      </w:tr>
      <w:tr w:rsidR="00E3297D" w:rsidTr="00E3297D">
        <w:trPr>
          <w:gridAfter w:val="1"/>
          <w:wAfter w:w="70" w:type="dxa"/>
        </w:trPr>
        <w:tc>
          <w:tcPr>
            <w:tcW w:w="496" w:type="dxa"/>
            <w:gridSpan w:val="2"/>
            <w:hideMark/>
          </w:tcPr>
          <w:p w:rsidR="00E3297D" w:rsidRDefault="00E3297D">
            <w:pPr>
              <w:spacing w:line="256" w:lineRule="auto"/>
              <w:jc w:val="right"/>
              <w:rPr>
                <w:lang w:eastAsia="en-US"/>
              </w:rPr>
            </w:pPr>
            <w:r>
              <w:rPr>
                <w:lang w:eastAsia="en-US"/>
              </w:rPr>
              <w:t>49.</w:t>
            </w:r>
          </w:p>
        </w:tc>
        <w:tc>
          <w:tcPr>
            <w:tcW w:w="1842" w:type="dxa"/>
            <w:gridSpan w:val="2"/>
            <w:hideMark/>
          </w:tcPr>
          <w:p w:rsidR="00E3297D" w:rsidRDefault="00E3297D">
            <w:pPr>
              <w:spacing w:line="256" w:lineRule="auto"/>
              <w:rPr>
                <w:lang w:eastAsia="en-US"/>
              </w:rPr>
            </w:pPr>
            <w:r>
              <w:rPr>
                <w:lang w:eastAsia="en-US"/>
              </w:rPr>
              <w:t>BN-70/3233-05</w:t>
            </w:r>
          </w:p>
        </w:tc>
        <w:tc>
          <w:tcPr>
            <w:tcW w:w="5172" w:type="dxa"/>
            <w:gridSpan w:val="2"/>
            <w:hideMark/>
          </w:tcPr>
          <w:p w:rsidR="00E3297D" w:rsidRDefault="00E3297D">
            <w:pPr>
              <w:spacing w:line="256" w:lineRule="auto"/>
              <w:rPr>
                <w:lang w:eastAsia="en-US"/>
              </w:rPr>
            </w:pPr>
            <w:r>
              <w:rPr>
                <w:lang w:eastAsia="en-US"/>
              </w:rPr>
              <w:t>Haczyk i opaski do zawieszania telefonicznych kabli miejscowych.</w:t>
            </w:r>
          </w:p>
        </w:tc>
      </w:tr>
      <w:tr w:rsidR="00E3297D" w:rsidTr="00E3297D">
        <w:trPr>
          <w:gridAfter w:val="1"/>
          <w:wAfter w:w="70" w:type="dxa"/>
        </w:trPr>
        <w:tc>
          <w:tcPr>
            <w:tcW w:w="496" w:type="dxa"/>
            <w:gridSpan w:val="2"/>
            <w:hideMark/>
          </w:tcPr>
          <w:p w:rsidR="00E3297D" w:rsidRDefault="00E3297D">
            <w:pPr>
              <w:spacing w:line="256" w:lineRule="auto"/>
              <w:jc w:val="right"/>
              <w:rPr>
                <w:lang w:eastAsia="en-US"/>
              </w:rPr>
            </w:pPr>
            <w:r>
              <w:rPr>
                <w:lang w:eastAsia="en-US"/>
              </w:rPr>
              <w:t>50.</w:t>
            </w:r>
          </w:p>
        </w:tc>
        <w:tc>
          <w:tcPr>
            <w:tcW w:w="1842" w:type="dxa"/>
            <w:gridSpan w:val="2"/>
            <w:hideMark/>
          </w:tcPr>
          <w:p w:rsidR="00E3297D" w:rsidRDefault="00E3297D">
            <w:pPr>
              <w:spacing w:line="256" w:lineRule="auto"/>
              <w:rPr>
                <w:lang w:eastAsia="en-US"/>
              </w:rPr>
            </w:pPr>
            <w:r>
              <w:rPr>
                <w:lang w:eastAsia="en-US"/>
              </w:rPr>
              <w:t>BN-88/6731-08</w:t>
            </w:r>
          </w:p>
        </w:tc>
        <w:tc>
          <w:tcPr>
            <w:tcW w:w="5172" w:type="dxa"/>
            <w:gridSpan w:val="2"/>
            <w:hideMark/>
          </w:tcPr>
          <w:p w:rsidR="00E3297D" w:rsidRDefault="00E3297D">
            <w:pPr>
              <w:spacing w:line="256" w:lineRule="auto"/>
              <w:rPr>
                <w:lang w:eastAsia="en-US"/>
              </w:rPr>
            </w:pPr>
            <w:r>
              <w:rPr>
                <w:lang w:eastAsia="en-US"/>
              </w:rPr>
              <w:t>Cement. Transport i przechowywanie.</w:t>
            </w:r>
          </w:p>
        </w:tc>
      </w:tr>
      <w:tr w:rsidR="00E3297D" w:rsidTr="00E3297D">
        <w:trPr>
          <w:gridAfter w:val="1"/>
          <w:wAfter w:w="70" w:type="dxa"/>
        </w:trPr>
        <w:tc>
          <w:tcPr>
            <w:tcW w:w="496" w:type="dxa"/>
            <w:gridSpan w:val="2"/>
            <w:hideMark/>
          </w:tcPr>
          <w:p w:rsidR="00E3297D" w:rsidRDefault="00E3297D">
            <w:pPr>
              <w:spacing w:line="256" w:lineRule="auto"/>
              <w:jc w:val="right"/>
              <w:rPr>
                <w:lang w:eastAsia="en-US"/>
              </w:rPr>
            </w:pPr>
            <w:r>
              <w:rPr>
                <w:lang w:eastAsia="en-US"/>
              </w:rPr>
              <w:t>51.</w:t>
            </w:r>
          </w:p>
        </w:tc>
        <w:tc>
          <w:tcPr>
            <w:tcW w:w="1842" w:type="dxa"/>
            <w:gridSpan w:val="2"/>
            <w:hideMark/>
          </w:tcPr>
          <w:p w:rsidR="00E3297D" w:rsidRDefault="00E3297D">
            <w:pPr>
              <w:spacing w:line="256" w:lineRule="auto"/>
              <w:rPr>
                <w:lang w:eastAsia="en-US"/>
              </w:rPr>
            </w:pPr>
            <w:r>
              <w:rPr>
                <w:lang w:eastAsia="en-US"/>
              </w:rPr>
              <w:t>PN-84/T-90346</w:t>
            </w:r>
          </w:p>
        </w:tc>
        <w:tc>
          <w:tcPr>
            <w:tcW w:w="5172" w:type="dxa"/>
            <w:gridSpan w:val="2"/>
            <w:hideMark/>
          </w:tcPr>
          <w:p w:rsidR="00E3297D" w:rsidRDefault="00E3297D">
            <w:pPr>
              <w:spacing w:line="256" w:lineRule="auto"/>
              <w:rPr>
                <w:lang w:eastAsia="en-US"/>
              </w:rPr>
            </w:pPr>
            <w:r>
              <w:rPr>
                <w:lang w:eastAsia="en-US"/>
              </w:rPr>
              <w:t>Telekomunikacyjne linie dalekosiężne symetryczne z wiązkami czwórkowymi o izolacji polietylenowej piankowej i o powłoce aluminiowej z osłoną ochronną polietylenową.</w:t>
            </w:r>
          </w:p>
        </w:tc>
      </w:tr>
      <w:tr w:rsidR="00E3297D" w:rsidTr="00E3297D">
        <w:trPr>
          <w:gridAfter w:val="1"/>
          <w:wAfter w:w="70" w:type="dxa"/>
        </w:trPr>
        <w:tc>
          <w:tcPr>
            <w:tcW w:w="496" w:type="dxa"/>
            <w:gridSpan w:val="2"/>
            <w:hideMark/>
          </w:tcPr>
          <w:p w:rsidR="00E3297D" w:rsidRDefault="00E3297D">
            <w:pPr>
              <w:spacing w:line="256" w:lineRule="auto"/>
              <w:jc w:val="right"/>
              <w:rPr>
                <w:lang w:eastAsia="en-US"/>
              </w:rPr>
            </w:pPr>
            <w:r>
              <w:rPr>
                <w:lang w:eastAsia="en-US"/>
              </w:rPr>
              <w:t>52.</w:t>
            </w:r>
          </w:p>
        </w:tc>
        <w:tc>
          <w:tcPr>
            <w:tcW w:w="1842" w:type="dxa"/>
            <w:gridSpan w:val="2"/>
            <w:hideMark/>
          </w:tcPr>
          <w:p w:rsidR="00E3297D" w:rsidRDefault="00E3297D">
            <w:pPr>
              <w:spacing w:line="256" w:lineRule="auto"/>
              <w:rPr>
                <w:lang w:eastAsia="en-US"/>
              </w:rPr>
            </w:pPr>
            <w:r>
              <w:rPr>
                <w:lang w:eastAsia="en-US"/>
              </w:rPr>
              <w:t>PN-87/T-90350</w:t>
            </w:r>
          </w:p>
        </w:tc>
        <w:tc>
          <w:tcPr>
            <w:tcW w:w="5172" w:type="dxa"/>
            <w:gridSpan w:val="2"/>
            <w:hideMark/>
          </w:tcPr>
          <w:p w:rsidR="00E3297D" w:rsidRDefault="00E3297D">
            <w:pPr>
              <w:spacing w:line="256" w:lineRule="auto"/>
              <w:rPr>
                <w:lang w:eastAsia="en-US"/>
              </w:rPr>
            </w:pPr>
            <w:r>
              <w:rPr>
                <w:lang w:eastAsia="en-US"/>
              </w:rPr>
              <w:t>Telekomunikacyjne kable dalekosiężne symetryczne o powłoce ołowianej. Ogólne wymagania i badania.</w:t>
            </w:r>
          </w:p>
        </w:tc>
      </w:tr>
    </w:tbl>
    <w:p w:rsidR="00E3297D" w:rsidRDefault="00E3297D" w:rsidP="00E3297D">
      <w:pPr>
        <w:pStyle w:val="Nagwek2"/>
      </w:pPr>
      <w:r>
        <w:t>10.2. Inne dokumenty</w:t>
      </w:r>
    </w:p>
    <w:p w:rsidR="00E3297D" w:rsidRDefault="00E3297D" w:rsidP="00E3297D">
      <w:pPr>
        <w:numPr>
          <w:ilvl w:val="0"/>
          <w:numId w:val="190"/>
        </w:numPr>
        <w:overflowPunct w:val="0"/>
        <w:autoSpaceDE w:val="0"/>
        <w:autoSpaceDN w:val="0"/>
        <w:adjustRightInd w:val="0"/>
        <w:ind w:left="397" w:hanging="284"/>
        <w:jc w:val="both"/>
      </w:pPr>
      <w:r>
        <w:t>Instrukcja montażu telefonicznych kabli miejscowych o izolacji papierowo-powietrznej i powłoce polietylenowej z zaporą przeciwwilgociową (XTKM) - ZBŁ - 1970 r.</w:t>
      </w:r>
    </w:p>
    <w:p w:rsidR="00E3297D" w:rsidRDefault="00E3297D" w:rsidP="00E3297D">
      <w:pPr>
        <w:numPr>
          <w:ilvl w:val="0"/>
          <w:numId w:val="190"/>
        </w:numPr>
        <w:overflowPunct w:val="0"/>
        <w:autoSpaceDE w:val="0"/>
        <w:autoSpaceDN w:val="0"/>
        <w:adjustRightInd w:val="0"/>
        <w:ind w:left="397" w:hanging="284"/>
        <w:jc w:val="both"/>
      </w:pPr>
      <w:r>
        <w:t>Ustawa Rady Ministrów nr 60 z dnia 21 marca 1985 r. o drogach publicznych.</w:t>
      </w:r>
    </w:p>
    <w:p w:rsidR="00E3297D" w:rsidRDefault="00E3297D" w:rsidP="00E3297D">
      <w:pPr>
        <w:numPr>
          <w:ilvl w:val="0"/>
          <w:numId w:val="190"/>
        </w:numPr>
        <w:overflowPunct w:val="0"/>
        <w:autoSpaceDE w:val="0"/>
        <w:autoSpaceDN w:val="0"/>
        <w:adjustRightInd w:val="0"/>
        <w:ind w:left="397" w:hanging="284"/>
        <w:jc w:val="both"/>
      </w:pPr>
      <w:r>
        <w:t>Rozporządzenie Ministra Budownictwa i Przemysłu Maszyn Budowlanych w sprawie bezpieczeństwa i higieny pracy przy wykonywaniu robót budowlano-montażowych i rozbiórkowych. Dziennik Ustaw Nr 13 z dnia 10 kwietnia 1972 r.</w:t>
      </w:r>
    </w:p>
    <w:p w:rsidR="00234EE1" w:rsidRDefault="00234EE1" w:rsidP="00ED0C0A">
      <w:pPr>
        <w:rPr>
          <w:b/>
          <w:sz w:val="28"/>
        </w:rPr>
      </w:pPr>
      <w:bookmarkStart w:id="502" w:name="_Hlk15765753"/>
    </w:p>
    <w:p w:rsidR="00234EE1" w:rsidRDefault="00234EE1" w:rsidP="00ED0C0A">
      <w:pPr>
        <w:rPr>
          <w:b/>
          <w:sz w:val="28"/>
        </w:rPr>
      </w:pPr>
    </w:p>
    <w:p w:rsidR="00234EE1" w:rsidRDefault="00234EE1" w:rsidP="00ED0C0A">
      <w:pPr>
        <w:rPr>
          <w:b/>
          <w:sz w:val="28"/>
        </w:rPr>
      </w:pPr>
    </w:p>
    <w:p w:rsidR="00234EE1" w:rsidRDefault="00234EE1" w:rsidP="00ED0C0A">
      <w:pPr>
        <w:rPr>
          <w:b/>
          <w:sz w:val="28"/>
        </w:rPr>
      </w:pPr>
    </w:p>
    <w:p w:rsidR="00234EE1" w:rsidRDefault="00234EE1" w:rsidP="00ED0C0A">
      <w:pPr>
        <w:rPr>
          <w:b/>
          <w:sz w:val="28"/>
        </w:rPr>
      </w:pPr>
    </w:p>
    <w:p w:rsidR="00234EE1" w:rsidRDefault="00234EE1" w:rsidP="00ED0C0A">
      <w:pPr>
        <w:rPr>
          <w:b/>
          <w:sz w:val="28"/>
        </w:rPr>
      </w:pPr>
    </w:p>
    <w:p w:rsidR="00234EE1" w:rsidRDefault="00234EE1" w:rsidP="00ED0C0A">
      <w:pPr>
        <w:rPr>
          <w:b/>
          <w:sz w:val="28"/>
        </w:rPr>
      </w:pPr>
    </w:p>
    <w:p w:rsidR="00234EE1" w:rsidRDefault="00234EE1" w:rsidP="00ED0C0A">
      <w:pPr>
        <w:rPr>
          <w:b/>
          <w:sz w:val="28"/>
        </w:rPr>
      </w:pPr>
    </w:p>
    <w:p w:rsidR="00ED0C0A" w:rsidRPr="00CF50DB" w:rsidRDefault="00ED0C0A" w:rsidP="00ED0C0A">
      <w:pPr>
        <w:rPr>
          <w:b/>
          <w:sz w:val="28"/>
        </w:rPr>
      </w:pPr>
      <w:r>
        <w:rPr>
          <w:b/>
          <w:sz w:val="28"/>
        </w:rPr>
        <w:lastRenderedPageBreak/>
        <w:t>D - 07.01.01  OZNAKOWANIE  POZIOME</w:t>
      </w:r>
    </w:p>
    <w:bookmarkEnd w:id="502"/>
    <w:p w:rsidR="00ED0C0A" w:rsidRDefault="00ED0C0A" w:rsidP="00ED0C0A">
      <w:pPr>
        <w:pStyle w:val="Nagwek1"/>
      </w:pPr>
      <w:r>
        <w:t>1. WSTĘP</w:t>
      </w:r>
    </w:p>
    <w:p w:rsidR="00ED0C0A" w:rsidRDefault="00ED0C0A" w:rsidP="00ED0C0A">
      <w:pPr>
        <w:pStyle w:val="Nagwek2"/>
      </w:pPr>
      <w:r>
        <w:t>1.1. Przedmiot SST</w:t>
      </w:r>
    </w:p>
    <w:p w:rsidR="00ED0C0A" w:rsidRDefault="00ED0C0A" w:rsidP="00ED0C0A">
      <w:pPr>
        <w:pStyle w:val="Standardowytekst"/>
      </w:pPr>
      <w:r>
        <w:tab/>
        <w:t>Przedmiotem niniejszej szczegółowej specyfikacji technicznej (SST) są wymagania dotyczące wykonania i odbioru oznakowania poziomego dróg.</w:t>
      </w:r>
    </w:p>
    <w:p w:rsidR="00ED0C0A" w:rsidRDefault="00ED0C0A" w:rsidP="00ED0C0A">
      <w:pPr>
        <w:pStyle w:val="Nagwek2"/>
      </w:pPr>
      <w:r>
        <w:t>1.2. Zakres stosowania SST</w:t>
      </w:r>
    </w:p>
    <w:p w:rsidR="00ED0C0A" w:rsidRDefault="00ED0C0A" w:rsidP="00ED0C0A">
      <w:pPr>
        <w:pStyle w:val="Standardowytekst"/>
      </w:pPr>
      <w:r>
        <w:tab/>
        <w:t>Szczegółowa specyfikacja techniczna (SST) stanowi obowiązującą podstawę jako dokument przetargowy i kontraktowy przy zlecaniu i realizacji robót</w:t>
      </w:r>
      <w:r w:rsidR="00E07AC4">
        <w:t>.</w:t>
      </w:r>
    </w:p>
    <w:p w:rsidR="00ED0C0A" w:rsidRDefault="00ED0C0A" w:rsidP="00ED0C0A">
      <w:pPr>
        <w:pStyle w:val="Standardowytekst"/>
      </w:pPr>
      <w:r>
        <w:tab/>
      </w:r>
    </w:p>
    <w:p w:rsidR="00ED0C0A" w:rsidRDefault="00ED0C0A" w:rsidP="00ED0C0A">
      <w:pPr>
        <w:pStyle w:val="Nagwek2"/>
      </w:pPr>
      <w:r>
        <w:t>1.3. Zakres robót objętych SST</w:t>
      </w:r>
    </w:p>
    <w:p w:rsidR="00ED0C0A" w:rsidRDefault="00ED0C0A" w:rsidP="00ED0C0A">
      <w:r>
        <w:tab/>
        <w:t>Ustalenia zawarte w niniejszej specyfikacji dotyczą zasad prowadzenia robót związanych z wykonywaniem i odbiorem oznakowania poziomego stosowanego na drogach o nawierzchni twardej.</w:t>
      </w:r>
    </w:p>
    <w:p w:rsidR="00ED0C0A" w:rsidRDefault="00ED0C0A" w:rsidP="00ED0C0A">
      <w:pPr>
        <w:pStyle w:val="Nagwek2"/>
      </w:pPr>
      <w:r>
        <w:t>1.4. Określenia podstawowe</w:t>
      </w:r>
    </w:p>
    <w:p w:rsidR="00ED0C0A" w:rsidRDefault="00ED0C0A" w:rsidP="00ED0C0A">
      <w:r>
        <w:rPr>
          <w:b/>
        </w:rPr>
        <w:t xml:space="preserve">1.4.1. </w:t>
      </w:r>
      <w:r>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ED0C0A" w:rsidRDefault="00ED0C0A" w:rsidP="00ED0C0A">
      <w:pPr>
        <w:spacing w:before="120"/>
      </w:pPr>
      <w:r>
        <w:rPr>
          <w:b/>
        </w:rPr>
        <w:t xml:space="preserve">1.4.2. </w:t>
      </w:r>
      <w:r>
        <w:t>Znaki podłużne - linie równoległe do osi jezdni lub odchylone od niej pod niewielkim kątem, występujące jako linie: – pojedyncze: przerywane lub ciągłe, segregacyjne lub krawędziowe, – podwójne: ciągłe z przerywanymi, ciągłe lub przerywane.</w:t>
      </w:r>
    </w:p>
    <w:p w:rsidR="00ED0C0A" w:rsidRDefault="00ED0C0A" w:rsidP="00ED0C0A">
      <w:pPr>
        <w:spacing w:before="120"/>
      </w:pPr>
      <w:r>
        <w:rPr>
          <w:b/>
        </w:rPr>
        <w:t xml:space="preserve">1.4.3. </w:t>
      </w:r>
      <w:r>
        <w:t>Strzałki - znaki poziome na nawierzchni, występujące jako strzałki kierunkowe służące do wskazania dozwolonego kierunku zjazdu z pasa oraz strzałki naprowadzające, które uprzedzają o konieczności opuszczenia pasa, na którym się znajdują.</w:t>
      </w:r>
    </w:p>
    <w:p w:rsidR="00ED0C0A" w:rsidRDefault="00ED0C0A" w:rsidP="00ED0C0A">
      <w:pPr>
        <w:spacing w:before="120"/>
      </w:pPr>
      <w:r>
        <w:rPr>
          <w:b/>
        </w:rPr>
        <w:t xml:space="preserve">1.4.4. </w:t>
      </w:r>
      <w:r>
        <w:t>Znaki poprzeczne - znaki służące do oznaczenia miejsc przeznaczonych do ruchu pieszych i rowerzystów w poprzek drogi, miejsc wymagających zatrzymania pojazdów oraz miejsc lokalizacji progów zwalniających.</w:t>
      </w:r>
    </w:p>
    <w:p w:rsidR="00ED0C0A" w:rsidRDefault="00ED0C0A" w:rsidP="00ED0C0A">
      <w:pPr>
        <w:spacing w:before="120"/>
      </w:pPr>
      <w:r>
        <w:rPr>
          <w:b/>
        </w:rPr>
        <w:t xml:space="preserve">1.4.5. </w:t>
      </w:r>
      <w:r>
        <w:t>Znaki uzupełniające - znaki o różnych kształtach, wymiarach i przeznaczeniu, występujące w postaci symboli, napisów, linii przystankowych, stanowisk i pasów postojowych, powierzchni wyłączonych z ruchu oraz symboli znaków pionowych w oznakowaniu poziomym.</w:t>
      </w:r>
    </w:p>
    <w:p w:rsidR="00ED0C0A" w:rsidRDefault="00ED0C0A" w:rsidP="00ED0C0A">
      <w:pPr>
        <w:spacing w:before="120"/>
      </w:pPr>
      <w:r>
        <w:rPr>
          <w:b/>
        </w:rPr>
        <w:t xml:space="preserve">1.4.6. </w:t>
      </w:r>
      <w:r>
        <w:t>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ED0C0A" w:rsidRDefault="00ED0C0A" w:rsidP="00ED0C0A">
      <w:pPr>
        <w:spacing w:before="120"/>
      </w:pPr>
      <w:r>
        <w:rPr>
          <w:b/>
        </w:rPr>
        <w:t xml:space="preserve">1.4.7. </w:t>
      </w:r>
      <w:r>
        <w:t xml:space="preserve">Materiały do znakowania cienkowarstwowego - farby rozpuszczalnikowe, wodorozcieńczalne i chemoutwardzalne nakładane warstwą grubości od </w:t>
      </w:r>
      <w:smartTag w:uri="urn:schemas-microsoft-com:office:smarttags" w:element="metricconverter">
        <w:smartTagPr>
          <w:attr w:name="ProductID" w:val="0,4 mm"/>
        </w:smartTagPr>
        <w:r>
          <w:t>0,4 mm</w:t>
        </w:r>
      </w:smartTag>
      <w:r>
        <w:t xml:space="preserve"> do </w:t>
      </w:r>
      <w:smartTag w:uri="urn:schemas-microsoft-com:office:smarttags" w:element="metricconverter">
        <w:smartTagPr>
          <w:attr w:name="ProductID" w:val="0,8 mm"/>
        </w:smartTagPr>
        <w:r>
          <w:t>0,8 mm</w:t>
        </w:r>
      </w:smartTag>
      <w:r>
        <w:t>, mierzoną na mokro.</w:t>
      </w:r>
    </w:p>
    <w:p w:rsidR="00ED0C0A" w:rsidRDefault="00ED0C0A" w:rsidP="00ED0C0A">
      <w:pPr>
        <w:spacing w:before="120"/>
      </w:pPr>
      <w:r>
        <w:rPr>
          <w:b/>
        </w:rPr>
        <w:t xml:space="preserve">1.4.8. </w:t>
      </w:r>
      <w:r>
        <w:t xml:space="preserve">Materiały do znakowania grubowarstwowego - materiały nakładane warstwą grubości od </w:t>
      </w:r>
      <w:smartTag w:uri="urn:schemas-microsoft-com:office:smarttags" w:element="metricconverter">
        <w:smartTagPr>
          <w:attr w:name="ProductID" w:val="0,9 mm"/>
        </w:smartTagPr>
        <w:r>
          <w:t>0,9 mm</w:t>
        </w:r>
      </w:smartTag>
      <w:r>
        <w:t xml:space="preserve"> do </w:t>
      </w:r>
      <w:smartTag w:uri="urn:schemas-microsoft-com:office:smarttags" w:element="metricconverter">
        <w:smartTagPr>
          <w:attr w:name="ProductID" w:val="3,5 mm"/>
        </w:smartTagPr>
        <w:r>
          <w:t>3,5 mm</w:t>
        </w:r>
      </w:smartTag>
      <w:r>
        <w:t xml:space="preserve">. Należą do nich masy termoplastyczne i masy chemoutwardzalne stosowane na zimno. Dla linii strukturalnych i profilowanych grubość linii może wynosić </w:t>
      </w:r>
      <w:smartTag w:uri="urn:schemas-microsoft-com:office:smarttags" w:element="metricconverter">
        <w:smartTagPr>
          <w:attr w:name="ProductID" w:val="5 mm"/>
        </w:smartTagPr>
        <w:r>
          <w:t>5 mm</w:t>
        </w:r>
      </w:smartTag>
      <w:r>
        <w:t>.</w:t>
      </w:r>
    </w:p>
    <w:p w:rsidR="00ED0C0A" w:rsidRDefault="00ED0C0A" w:rsidP="00ED0C0A">
      <w:pPr>
        <w:spacing w:before="120"/>
      </w:pPr>
      <w:r>
        <w:rPr>
          <w:b/>
        </w:rPr>
        <w:t xml:space="preserve">1.4.9. </w:t>
      </w:r>
      <w:r>
        <w:t xml:space="preserve">Materiały prefabrykowane - materiały, które łączy się z powierzchnią drogi przez klejenie, wtapianie, wbudowanie lub w inny sposób. Zalicza się do nich masy termoplastyczne w arkuszach do wtapiania oraz taśmy do </w:t>
      </w:r>
      <w:proofErr w:type="spellStart"/>
      <w:r>
        <w:t>oznakowań</w:t>
      </w:r>
      <w:proofErr w:type="spellEnd"/>
      <w:r>
        <w:t xml:space="preserve"> tymczasowych (żółte) i trwałych (białe).</w:t>
      </w:r>
    </w:p>
    <w:p w:rsidR="00ED0C0A" w:rsidRDefault="00ED0C0A" w:rsidP="00ED0C0A">
      <w:pPr>
        <w:spacing w:before="120"/>
      </w:pPr>
      <w:r>
        <w:rPr>
          <w:b/>
        </w:rPr>
        <w:t xml:space="preserve">1.4.10. </w:t>
      </w:r>
      <w:r>
        <w:t>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rsidR="00ED0C0A" w:rsidRDefault="00ED0C0A" w:rsidP="00ED0C0A">
      <w:pPr>
        <w:spacing w:before="120"/>
      </w:pPr>
      <w:r>
        <w:rPr>
          <w:b/>
        </w:rPr>
        <w:t xml:space="preserve">1.4.11. </w:t>
      </w:r>
      <w:r>
        <w:t xml:space="preserve">Kulki szklane – materiał w postaci przezroczystych, kulistych cząstek szklanych do posypywania lub narzucania pod ciśnieniem na oznakowanie wykonane materiałami w stanie ciekłym, w celu uzyskania </w:t>
      </w:r>
      <w:r>
        <w:lastRenderedPageBreak/>
        <w:t>widzialności oznakowania w nocy przez odbicie powrotne padającej wiązki światła pojazdu w kierunku kierowcy. Kulki szklane są także składnikami materiałów grubowarstwowych.</w:t>
      </w:r>
    </w:p>
    <w:p w:rsidR="00ED0C0A" w:rsidRDefault="00ED0C0A" w:rsidP="00ED0C0A">
      <w:pPr>
        <w:spacing w:before="120"/>
      </w:pPr>
      <w:r>
        <w:rPr>
          <w:b/>
        </w:rPr>
        <w:t xml:space="preserve">1.4.12. </w:t>
      </w:r>
      <w:r>
        <w:t xml:space="preserve">Kruszywo przeciwpoślizgowe – twarde ziarna pochodzenia naturalnego lub sztucznego stosowane do zapewnienia własności przeciwpoślizgowych poziomym </w:t>
      </w:r>
      <w:proofErr w:type="spellStart"/>
      <w:r>
        <w:t>oznakowaniom</w:t>
      </w:r>
      <w:proofErr w:type="spellEnd"/>
      <w:r>
        <w:t xml:space="preserve"> dróg, stosowane samo lub w mieszaninie z kulkami szklanymi.</w:t>
      </w:r>
    </w:p>
    <w:p w:rsidR="00ED0C0A" w:rsidRPr="007A0D33" w:rsidRDefault="00ED0C0A" w:rsidP="00ED0C0A">
      <w:pPr>
        <w:spacing w:before="120"/>
      </w:pPr>
      <w:r>
        <w:rPr>
          <w:b/>
        </w:rPr>
        <w:t xml:space="preserve">1.4.13. </w:t>
      </w:r>
      <w:r>
        <w:t>Oznakowanie nowe – oznakowanie, w którym zakończył się czas schnięcia i nie upłynęło 30 dni od wykonania oznakowania. Pomiary właściwości oznakowania należy wykonywać od 14 do 30 dnia po wykonaniu oznakowania.</w:t>
      </w:r>
    </w:p>
    <w:p w:rsidR="00ED0C0A" w:rsidRDefault="00ED0C0A" w:rsidP="00ED0C0A">
      <w:pPr>
        <w:spacing w:before="120"/>
      </w:pPr>
      <w:r>
        <w:rPr>
          <w:b/>
        </w:rPr>
        <w:t xml:space="preserve">1.4.14. </w:t>
      </w:r>
      <w:r>
        <w:t>Tymczasowe oznakowanie drogowe - oznakowanie z materiału o barwie żółtej, którego czas użytkowania wynosi do 3 miesięcy lub do czasu zakończenia robót.</w:t>
      </w:r>
    </w:p>
    <w:p w:rsidR="00ED0C0A" w:rsidRDefault="00ED0C0A" w:rsidP="00ED0C0A">
      <w:pPr>
        <w:spacing w:before="120"/>
      </w:pPr>
      <w:r>
        <w:rPr>
          <w:b/>
        </w:rPr>
        <w:t xml:space="preserve">1.4.15. </w:t>
      </w:r>
      <w:r>
        <w:t xml:space="preserve">Powyższe i pozostałe określenia są zgodne z odpowiednimi polskimi normami i z definicjami podanymi w SST D-00.00.00 „Wymagania ogólne” pkt 1.4. </w:t>
      </w:r>
    </w:p>
    <w:p w:rsidR="00ED0C0A" w:rsidRDefault="00ED0C0A" w:rsidP="00ED0C0A">
      <w:pPr>
        <w:pStyle w:val="Nagwek2"/>
      </w:pPr>
      <w:r>
        <w:t>1.5. Ogólne wymagania dotyczące robót</w:t>
      </w:r>
    </w:p>
    <w:p w:rsidR="00ED0C0A" w:rsidRDefault="00ED0C0A" w:rsidP="00ED0C0A">
      <w:pPr>
        <w:spacing w:after="120"/>
      </w:pPr>
      <w:r>
        <w:tab/>
        <w:t xml:space="preserve">Ogólne wymagania dotyczące robót podano w SST D-00.00.00 „Wymagania ogólne” pkt 1.5. </w:t>
      </w:r>
    </w:p>
    <w:p w:rsidR="00ED0C0A" w:rsidRDefault="00ED0C0A" w:rsidP="00ED0C0A">
      <w:pPr>
        <w:pStyle w:val="Nagwek1"/>
      </w:pPr>
      <w:r>
        <w:t>2. materiały</w:t>
      </w:r>
    </w:p>
    <w:p w:rsidR="00ED0C0A" w:rsidRDefault="00ED0C0A" w:rsidP="00ED0C0A">
      <w:pPr>
        <w:pStyle w:val="Nagwek2"/>
      </w:pPr>
      <w:r>
        <w:t>2.1. Ogólne wymagania dotyczące materiałów</w:t>
      </w:r>
    </w:p>
    <w:p w:rsidR="00ED0C0A" w:rsidRDefault="00ED0C0A" w:rsidP="00ED0C0A">
      <w:r>
        <w:tab/>
        <w:t>Ogólne wymagania dotyczące materiałów, ich pozyskiwania i składowania podano w SST D-00.00.00 „Wymagania ogólne” pkt 2.</w:t>
      </w:r>
    </w:p>
    <w:p w:rsidR="00ED0C0A" w:rsidRDefault="00ED0C0A" w:rsidP="00ED0C0A">
      <w:pPr>
        <w:pStyle w:val="Nagwek2"/>
      </w:pPr>
      <w:r>
        <w:t>2.2. Dokument dopuszczający do stosowania materiałów</w:t>
      </w:r>
    </w:p>
    <w:p w:rsidR="00ED0C0A" w:rsidRDefault="00ED0C0A" w:rsidP="00ED0C0A">
      <w:r>
        <w:tab/>
        <w:t xml:space="preserve">Materiały stosowane przez Wykonawcę do poziomego oznakowania dróg powinny spełniać warunki postawione w rozporządzeniu Ministra Infrastruktury [7]. </w:t>
      </w:r>
    </w:p>
    <w:p w:rsidR="00ED0C0A" w:rsidRDefault="00ED0C0A" w:rsidP="00ED0C0A">
      <w:pPr>
        <w:ind w:firstLine="709"/>
      </w:pPr>
      <w:r>
        <w:t>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rsidR="00ED0C0A" w:rsidRDefault="00ED0C0A" w:rsidP="00ED0C0A">
      <w:pPr>
        <w:pStyle w:val="Tekstpodstawowy2"/>
        <w:ind w:firstLine="709"/>
      </w:pPr>
      <w: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rsidR="00ED0C0A" w:rsidRDefault="00ED0C0A" w:rsidP="00ED0C0A">
      <w:pPr>
        <w:pStyle w:val="Tekstprzypisudolnego"/>
      </w:pPr>
      <w:r>
        <w:tab/>
        <w:t xml:space="preserve">Powyższe zasady należy stosować także do </w:t>
      </w:r>
      <w:proofErr w:type="spellStart"/>
      <w:r>
        <w:t>oznakowań</w:t>
      </w:r>
      <w:proofErr w:type="spellEnd"/>
      <w:r>
        <w:t xml:space="preserve"> tymczasowych wykonywanych materiałami o barwie żółtej.</w:t>
      </w:r>
    </w:p>
    <w:p w:rsidR="00ED0C0A" w:rsidRDefault="00ED0C0A" w:rsidP="00ED0C0A">
      <w:pPr>
        <w:pStyle w:val="Nagwek2"/>
      </w:pPr>
      <w:r>
        <w:t>2.3. Badanie materiałów, których jakość budzi wątpliwość</w:t>
      </w:r>
    </w:p>
    <w:p w:rsidR="00ED0C0A" w:rsidRDefault="00ED0C0A" w:rsidP="00ED0C0A">
      <w:r>
        <w:tab/>
        <w:t xml:space="preserve">Wykonawca powinien przeprowadzić dodatkowe badania tych materiałów, które budzą wątpliwości jego lub Inżyniera, co do jakości, w celu stwierdzenia czy odpowiadają one wymaganiom określonym w aprobacie technicznej. Badania te Wykonawca zleci </w:t>
      </w:r>
      <w:proofErr w:type="spellStart"/>
      <w:r>
        <w:t>IBDiM</w:t>
      </w:r>
      <w:proofErr w:type="spellEnd"/>
      <w:r>
        <w:t xml:space="preserve"> lub akredytowanemu laboratorium drogowemu. Badania powinny być wykonane zgodnie z PN-EN 1871:2003 [6] lub Warunkami Technicznymi POD-97 [9] lub POD-2006 po ich wydaniu [10].</w:t>
      </w:r>
    </w:p>
    <w:p w:rsidR="00ED0C0A" w:rsidRDefault="00ED0C0A" w:rsidP="00ED0C0A">
      <w:pPr>
        <w:pStyle w:val="Nagwek2"/>
      </w:pPr>
      <w:r>
        <w:t>2.4. Oznakowanie opakowań</w:t>
      </w:r>
    </w:p>
    <w:p w:rsidR="00ED0C0A" w:rsidRDefault="00ED0C0A" w:rsidP="00ED0C0A">
      <w:r>
        <w:tab/>
        <w:t>Wykonawca powinien żądać od producenta, aby oznakowanie opakowań materiałów do poziomego znakowania dróg było wykonane zgodnie z PN-O-79252 [2], a ponadto aby na każdym opakowaniu był umieszczony trwały napis zawierający:</w:t>
      </w:r>
    </w:p>
    <w:p w:rsidR="00ED0C0A" w:rsidRDefault="00ED0C0A" w:rsidP="00ED0C0A">
      <w:pPr>
        <w:numPr>
          <w:ilvl w:val="0"/>
          <w:numId w:val="1"/>
        </w:numPr>
        <w:overflowPunct w:val="0"/>
        <w:autoSpaceDE w:val="0"/>
        <w:autoSpaceDN w:val="0"/>
        <w:adjustRightInd w:val="0"/>
        <w:jc w:val="both"/>
        <w:textAlignment w:val="baseline"/>
      </w:pPr>
      <w:r>
        <w:t>nazwę i adres producenta,</w:t>
      </w:r>
    </w:p>
    <w:p w:rsidR="00ED0C0A" w:rsidRDefault="00ED0C0A" w:rsidP="00ED0C0A">
      <w:pPr>
        <w:numPr>
          <w:ilvl w:val="0"/>
          <w:numId w:val="1"/>
        </w:numPr>
        <w:overflowPunct w:val="0"/>
        <w:autoSpaceDE w:val="0"/>
        <w:autoSpaceDN w:val="0"/>
        <w:adjustRightInd w:val="0"/>
        <w:jc w:val="both"/>
        <w:textAlignment w:val="baseline"/>
      </w:pPr>
      <w:r>
        <w:t>datę produkcji i termin przydatności do użycia,</w:t>
      </w:r>
    </w:p>
    <w:p w:rsidR="00ED0C0A" w:rsidRDefault="00ED0C0A" w:rsidP="00ED0C0A">
      <w:pPr>
        <w:numPr>
          <w:ilvl w:val="0"/>
          <w:numId w:val="1"/>
        </w:numPr>
        <w:overflowPunct w:val="0"/>
        <w:autoSpaceDE w:val="0"/>
        <w:autoSpaceDN w:val="0"/>
        <w:adjustRightInd w:val="0"/>
        <w:jc w:val="both"/>
        <w:textAlignment w:val="baseline"/>
      </w:pPr>
      <w:r>
        <w:t>masę netto,</w:t>
      </w:r>
    </w:p>
    <w:p w:rsidR="00ED0C0A" w:rsidRDefault="00ED0C0A" w:rsidP="00ED0C0A">
      <w:pPr>
        <w:numPr>
          <w:ilvl w:val="0"/>
          <w:numId w:val="1"/>
        </w:numPr>
        <w:overflowPunct w:val="0"/>
        <w:autoSpaceDE w:val="0"/>
        <w:autoSpaceDN w:val="0"/>
        <w:adjustRightInd w:val="0"/>
        <w:jc w:val="both"/>
        <w:textAlignment w:val="baseline"/>
      </w:pPr>
      <w:r>
        <w:t>numer partii i datę produkcji,</w:t>
      </w:r>
    </w:p>
    <w:p w:rsidR="00ED0C0A" w:rsidRDefault="00ED0C0A" w:rsidP="00ED0C0A">
      <w:pPr>
        <w:numPr>
          <w:ilvl w:val="0"/>
          <w:numId w:val="1"/>
        </w:numPr>
        <w:overflowPunct w:val="0"/>
        <w:autoSpaceDE w:val="0"/>
        <w:autoSpaceDN w:val="0"/>
        <w:adjustRightInd w:val="0"/>
        <w:jc w:val="both"/>
        <w:textAlignment w:val="baseline"/>
      </w:pPr>
      <w:r>
        <w:t xml:space="preserve">informację, że wyrób posiada aprobatę techniczną </w:t>
      </w:r>
      <w:proofErr w:type="spellStart"/>
      <w:r>
        <w:t>IBDiM</w:t>
      </w:r>
      <w:proofErr w:type="spellEnd"/>
      <w:r>
        <w:t xml:space="preserve"> i jej numer,</w:t>
      </w:r>
    </w:p>
    <w:p w:rsidR="00ED0C0A" w:rsidRDefault="00ED0C0A" w:rsidP="00ED0C0A">
      <w:pPr>
        <w:numPr>
          <w:ilvl w:val="0"/>
          <w:numId w:val="1"/>
        </w:numPr>
        <w:overflowPunct w:val="0"/>
        <w:autoSpaceDE w:val="0"/>
        <w:autoSpaceDN w:val="0"/>
        <w:adjustRightInd w:val="0"/>
        <w:jc w:val="both"/>
        <w:textAlignment w:val="baseline"/>
      </w:pPr>
      <w:r>
        <w:t xml:space="preserve">nazwę jednostki certyfikującej i numer certyfikatu, jeśli dotyczy [8], </w:t>
      </w:r>
    </w:p>
    <w:p w:rsidR="00ED0C0A" w:rsidRDefault="00ED0C0A" w:rsidP="00ED0C0A">
      <w:pPr>
        <w:numPr>
          <w:ilvl w:val="0"/>
          <w:numId w:val="1"/>
        </w:numPr>
        <w:overflowPunct w:val="0"/>
        <w:autoSpaceDE w:val="0"/>
        <w:autoSpaceDN w:val="0"/>
        <w:adjustRightInd w:val="0"/>
        <w:jc w:val="both"/>
        <w:textAlignment w:val="baseline"/>
      </w:pPr>
      <w:r>
        <w:t>znak budowlany „B” wg rozporządzenia Ministra Infrastruktury [8] i/lub znak „CE” wg rozporządzenia Ministra Infrastruktury [12],</w:t>
      </w:r>
    </w:p>
    <w:p w:rsidR="00ED0C0A" w:rsidRDefault="00ED0C0A" w:rsidP="00ED0C0A">
      <w:pPr>
        <w:numPr>
          <w:ilvl w:val="0"/>
          <w:numId w:val="1"/>
        </w:numPr>
        <w:overflowPunct w:val="0"/>
        <w:autoSpaceDE w:val="0"/>
        <w:autoSpaceDN w:val="0"/>
        <w:adjustRightInd w:val="0"/>
        <w:jc w:val="both"/>
        <w:textAlignment w:val="baseline"/>
      </w:pPr>
      <w:r>
        <w:t>informację o szkodliwości i klasie zagrożenia pożarowego,</w:t>
      </w:r>
    </w:p>
    <w:p w:rsidR="00ED0C0A" w:rsidRDefault="00ED0C0A" w:rsidP="00ED0C0A">
      <w:pPr>
        <w:numPr>
          <w:ilvl w:val="0"/>
          <w:numId w:val="1"/>
        </w:numPr>
        <w:overflowPunct w:val="0"/>
        <w:autoSpaceDE w:val="0"/>
        <w:autoSpaceDN w:val="0"/>
        <w:adjustRightInd w:val="0"/>
        <w:jc w:val="both"/>
        <w:textAlignment w:val="baseline"/>
      </w:pPr>
      <w:r>
        <w:lastRenderedPageBreak/>
        <w:t>ewentualne wskazówki dla użytkowników.</w:t>
      </w:r>
    </w:p>
    <w:p w:rsidR="00ED0C0A" w:rsidRDefault="00ED0C0A" w:rsidP="00ED0C0A">
      <w:pPr>
        <w:ind w:firstLine="709"/>
      </w:pPr>
      <w:r>
        <w:t>W przypadku farb rozpuszczalnikowych i wyrobów chemoutwardzalnych oznakowanie opakowania powinno być zgodne z rozporządzeniem Ministra Zdrowia [13].</w:t>
      </w:r>
    </w:p>
    <w:p w:rsidR="00ED0C0A" w:rsidRDefault="00ED0C0A" w:rsidP="00ED0C0A">
      <w:pPr>
        <w:pStyle w:val="Nagwek2"/>
        <w:numPr>
          <w:ilvl w:val="12"/>
          <w:numId w:val="0"/>
        </w:numPr>
      </w:pPr>
      <w:r>
        <w:t>2.5. Przepisy określające wymagania dla materiałów</w:t>
      </w:r>
    </w:p>
    <w:p w:rsidR="00ED0C0A" w:rsidRDefault="00ED0C0A" w:rsidP="00ED0C0A">
      <w:pPr>
        <w:numPr>
          <w:ilvl w:val="12"/>
          <w:numId w:val="0"/>
        </w:numPr>
      </w:pPr>
      <w:r>
        <w:tab/>
        <w:t>Podstawowe wymagania dotyczące materiałów podano w punkcie 2.6, a szczegółowe wymagania określone są w Warunkach technicznych POD-97 [9] lub POD-2006 po ich wydaniu [10].</w:t>
      </w:r>
    </w:p>
    <w:p w:rsidR="00ED0C0A" w:rsidRDefault="00ED0C0A" w:rsidP="00ED0C0A">
      <w:pPr>
        <w:pStyle w:val="Nagwek2"/>
        <w:numPr>
          <w:ilvl w:val="12"/>
          <w:numId w:val="0"/>
        </w:numPr>
      </w:pPr>
      <w:r>
        <w:t>2.6. Wymagania wobec materiałów do poziomego oznakowania dróg</w:t>
      </w:r>
    </w:p>
    <w:p w:rsidR="00ED0C0A" w:rsidRDefault="00ED0C0A" w:rsidP="00ED0C0A">
      <w:pPr>
        <w:numPr>
          <w:ilvl w:val="12"/>
          <w:numId w:val="0"/>
        </w:numPr>
        <w:spacing w:after="120"/>
      </w:pPr>
      <w:r>
        <w:rPr>
          <w:b/>
        </w:rPr>
        <w:t xml:space="preserve">2.6.1. </w:t>
      </w:r>
      <w:r>
        <w:t xml:space="preserve"> Materiały do </w:t>
      </w:r>
      <w:proofErr w:type="spellStart"/>
      <w:r>
        <w:t>oznakowań</w:t>
      </w:r>
      <w:proofErr w:type="spellEnd"/>
      <w:r>
        <w:t xml:space="preserve"> cienkowarstwowych</w:t>
      </w:r>
    </w:p>
    <w:p w:rsidR="00ED0C0A" w:rsidRDefault="00ED0C0A" w:rsidP="00ED0C0A">
      <w:pPr>
        <w:numPr>
          <w:ilvl w:val="12"/>
          <w:numId w:val="0"/>
        </w:numPr>
      </w:pPr>
      <w:r>
        <w:tab/>
        <w:t xml:space="preserve">Materiałami do wykonywania oznakowania cienkowarstwowego powinny być farby nakładane warstwą grubości od </w:t>
      </w:r>
      <w:smartTag w:uri="urn:schemas-microsoft-com:office:smarttags" w:element="metricconverter">
        <w:smartTagPr>
          <w:attr w:name="ProductID" w:val="0,4 mm"/>
        </w:smartTagPr>
        <w:r>
          <w:t>0,4 mm</w:t>
        </w:r>
      </w:smartTag>
      <w:r>
        <w:t xml:space="preserve"> do </w:t>
      </w:r>
      <w:smartTag w:uri="urn:schemas-microsoft-com:office:smarttags" w:element="metricconverter">
        <w:smartTagPr>
          <w:attr w:name="ProductID" w:val="0,8 mm"/>
        </w:smartTagPr>
        <w:r>
          <w:t>0,8 mm</w:t>
        </w:r>
      </w:smartTag>
      <w:r>
        <w:t xml:space="preserve"> (na mokro). Powinny to być ciekłe produkty zawierające ciała stałe zdyspergowane w roztworze żywicy syntetycznej w rozpuszczalniku organicznym lub w wodzie, które mogą występować w układach jedno- lub wieloskładnikowych.</w:t>
      </w:r>
    </w:p>
    <w:p w:rsidR="00ED0C0A" w:rsidRDefault="00ED0C0A" w:rsidP="00ED0C0A">
      <w:pPr>
        <w:numPr>
          <w:ilvl w:val="12"/>
          <w:numId w:val="0"/>
        </w:numPr>
      </w:pPr>
      <w:r>
        <w:tab/>
        <w:t xml:space="preserve"> Podczas nakładania farb, do znakowania cienkowarstwowego, na nawierzchnię pędzlem, wałkiem lub przez natrysk, powinny one tworzyć warstwę kohezyjną w procesie odparowania i/lub w procesie chemicznym.</w:t>
      </w:r>
    </w:p>
    <w:p w:rsidR="00ED0C0A" w:rsidRDefault="00ED0C0A" w:rsidP="00ED0C0A">
      <w:pPr>
        <w:numPr>
          <w:ilvl w:val="12"/>
          <w:numId w:val="0"/>
        </w:numPr>
        <w:spacing w:after="120"/>
      </w:pPr>
      <w:r>
        <w:tab/>
        <w:t xml:space="preserve">Właściwości fizyczne poszczególnych materiałów do poziomego oznakowania cienkowarstwowego określają aprobaty techniczne. </w:t>
      </w:r>
    </w:p>
    <w:p w:rsidR="00ED0C0A" w:rsidRDefault="00ED0C0A" w:rsidP="00ED0C0A">
      <w:pPr>
        <w:numPr>
          <w:ilvl w:val="12"/>
          <w:numId w:val="0"/>
        </w:numPr>
        <w:spacing w:after="120"/>
      </w:pPr>
      <w:r>
        <w:rPr>
          <w:b/>
        </w:rPr>
        <w:t xml:space="preserve">2.6.2. </w:t>
      </w:r>
      <w:r>
        <w:t xml:space="preserve">Materiały do </w:t>
      </w:r>
      <w:proofErr w:type="spellStart"/>
      <w:r>
        <w:t>oznakowań</w:t>
      </w:r>
      <w:proofErr w:type="spellEnd"/>
      <w:r>
        <w:t xml:space="preserve"> grubowarstwowych</w:t>
      </w:r>
    </w:p>
    <w:p w:rsidR="00ED0C0A" w:rsidRDefault="00ED0C0A" w:rsidP="00ED0C0A">
      <w:pPr>
        <w:numPr>
          <w:ilvl w:val="12"/>
          <w:numId w:val="0"/>
        </w:numPr>
      </w:pPr>
      <w:r>
        <w:tab/>
        <w:t xml:space="preserve">Materiałami do wykonywania oznakowania grubowarstwowego powinny być materiały umożliwiające nakładanie ich warstwą grubości od </w:t>
      </w:r>
      <w:smartTag w:uri="urn:schemas-microsoft-com:office:smarttags" w:element="metricconverter">
        <w:smartTagPr>
          <w:attr w:name="ProductID" w:val="0,9 mm"/>
        </w:smartTagPr>
        <w:r>
          <w:t>0,9 mm</w:t>
        </w:r>
      </w:smartTag>
      <w:r>
        <w:t xml:space="preserve"> do </w:t>
      </w:r>
      <w:smartTag w:uri="urn:schemas-microsoft-com:office:smarttags" w:element="metricconverter">
        <w:smartTagPr>
          <w:attr w:name="ProductID" w:val="5 mm"/>
        </w:smartTagPr>
        <w:r>
          <w:t>5 mm</w:t>
        </w:r>
      </w:smartTag>
      <w:r>
        <w:t xml:space="preserve"> takie, jak masy chemoutwardzalne stosowane na zimno oraz masy termoplastyczne.</w:t>
      </w:r>
    </w:p>
    <w:p w:rsidR="00ED0C0A" w:rsidRDefault="00ED0C0A" w:rsidP="00ED0C0A">
      <w:pPr>
        <w:numPr>
          <w:ilvl w:val="12"/>
          <w:numId w:val="0"/>
        </w:numPr>
      </w:pPr>
      <w:r>
        <w:tab/>
        <w:t>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rsidR="00ED0C0A" w:rsidRDefault="00ED0C0A" w:rsidP="00ED0C0A">
      <w:pPr>
        <w:numPr>
          <w:ilvl w:val="12"/>
          <w:numId w:val="0"/>
        </w:numPr>
      </w:pPr>
      <w:r>
        <w:tab/>
        <w:t>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w:t>
      </w:r>
    </w:p>
    <w:p w:rsidR="00ED0C0A" w:rsidRDefault="00ED0C0A" w:rsidP="00ED0C0A">
      <w:pPr>
        <w:numPr>
          <w:ilvl w:val="12"/>
          <w:numId w:val="0"/>
        </w:numPr>
        <w:spacing w:after="120"/>
      </w:pPr>
      <w:r>
        <w:tab/>
        <w:t>Właściwości fizyczne materiałów do oznakowania grubowarstwowego i wykonanych z nich elementów prefabrykowanych określają aprobaty techniczne.</w:t>
      </w:r>
    </w:p>
    <w:p w:rsidR="00ED0C0A" w:rsidRDefault="00ED0C0A" w:rsidP="00ED0C0A">
      <w:pPr>
        <w:keepNext/>
        <w:numPr>
          <w:ilvl w:val="12"/>
          <w:numId w:val="0"/>
        </w:numPr>
      </w:pPr>
      <w:r>
        <w:rPr>
          <w:b/>
        </w:rPr>
        <w:t xml:space="preserve">2.6.3. </w:t>
      </w:r>
      <w:r>
        <w:t>Zawartość składników lotnych w materiałach do znakowania cienkowarstwowego</w:t>
      </w:r>
    </w:p>
    <w:p w:rsidR="00ED0C0A" w:rsidRDefault="00ED0C0A" w:rsidP="00ED0C0A">
      <w:pPr>
        <w:numPr>
          <w:ilvl w:val="12"/>
          <w:numId w:val="0"/>
        </w:numPr>
        <w:spacing w:before="120"/>
      </w:pPr>
      <w:r>
        <w:tab/>
        <w:t xml:space="preserve">Zawartość składników lotnych (rozpuszczalników organicznych) nie powinna przekraczać 25% (m/m) w postaci gotowej do aplikacji, w materiałach do znakowania cienkowarstwowego. </w:t>
      </w:r>
    </w:p>
    <w:p w:rsidR="00ED0C0A" w:rsidRDefault="00ED0C0A" w:rsidP="00ED0C0A">
      <w:pPr>
        <w:numPr>
          <w:ilvl w:val="12"/>
          <w:numId w:val="0"/>
        </w:numPr>
      </w:pPr>
      <w:r>
        <w:tab/>
        <w:t>Nie dopuszcza się stosowania materiałów zawierających rozpuszczalnik aromatyczny (jak np. toluen, ksylen, etylobenzen) w ilości większej niż 8 % (m/m). Nie dopuszcza się stosowania materiałów zawierających benzen i rozpuszczalniki chlorowane.</w:t>
      </w:r>
    </w:p>
    <w:p w:rsidR="00ED0C0A" w:rsidRDefault="00ED0C0A" w:rsidP="00ED0C0A">
      <w:pPr>
        <w:numPr>
          <w:ilvl w:val="12"/>
          <w:numId w:val="0"/>
        </w:numPr>
        <w:ind w:firstLine="709"/>
      </w:pPr>
      <w:r>
        <w:t xml:space="preserve">Do końca 2007 r. dopuszcza się stosowanie farb rozpuszczalnikowych o zawartości składników lotnych do 30 % (m/m) i rozpuszczalników aromatycznych do 10 % (m/m). </w:t>
      </w:r>
    </w:p>
    <w:p w:rsidR="00ED0C0A" w:rsidRDefault="00ED0C0A" w:rsidP="00ED0C0A">
      <w:pPr>
        <w:numPr>
          <w:ilvl w:val="12"/>
          <w:numId w:val="0"/>
        </w:numPr>
        <w:spacing w:before="120"/>
      </w:pPr>
      <w:r>
        <w:rPr>
          <w:b/>
        </w:rPr>
        <w:t xml:space="preserve">2.6.4. </w:t>
      </w:r>
      <w:r>
        <w:t>Kulki szklane</w:t>
      </w:r>
    </w:p>
    <w:p w:rsidR="00ED0C0A" w:rsidRDefault="00ED0C0A" w:rsidP="00ED0C0A">
      <w:pPr>
        <w:numPr>
          <w:ilvl w:val="12"/>
          <w:numId w:val="0"/>
        </w:numPr>
        <w:spacing w:before="120"/>
      </w:pPr>
      <w:r>
        <w:tab/>
        <w:t>Materiały w postaci kulek szklanych refleksyjnych do posypywania lub narzucania pod ciśnieniem na materiały do oznakowania powinny zapewniać widzialność w nocy poprzez odbicie powrotne w kierunku pojazdu wiązki światła wysyłanej przez reflektory pojazdu.</w:t>
      </w:r>
    </w:p>
    <w:p w:rsidR="00ED0C0A" w:rsidRDefault="00ED0C0A" w:rsidP="00ED0C0A">
      <w:pPr>
        <w:numPr>
          <w:ilvl w:val="12"/>
          <w:numId w:val="0"/>
        </w:numPr>
      </w:pPr>
      <w:r>
        <w:tab/>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w:t>
      </w:r>
      <w:smartTag w:uri="urn:schemas-microsoft-com:office:smarttags" w:element="metricconverter">
        <w:smartTagPr>
          <w:attr w:name="ProductID" w:val="1 mm"/>
        </w:smartTagPr>
        <w:r>
          <w:t>1 mm</w:t>
        </w:r>
      </w:smartTag>
      <w:r>
        <w:t xml:space="preserve"> oraz 30 % w przypadku kulek o maksymalnej średnicy równej i większej niż </w:t>
      </w:r>
      <w:smartTag w:uri="urn:schemas-microsoft-com:office:smarttags" w:element="metricconverter">
        <w:smartTagPr>
          <w:attr w:name="ProductID" w:val="1 mm"/>
        </w:smartTagPr>
        <w:r>
          <w:t>1 mm</w:t>
        </w:r>
      </w:smartTag>
      <w:r>
        <w:t>. Krzywa uziarnienia powinna mieścić się w krzywych granicznych podanych w wymaganiach aprobaty technicznej wyrobu lub w certyfikacie CE.</w:t>
      </w:r>
    </w:p>
    <w:p w:rsidR="00ED0C0A" w:rsidRDefault="00ED0C0A" w:rsidP="00ED0C0A">
      <w:pPr>
        <w:numPr>
          <w:ilvl w:val="12"/>
          <w:numId w:val="0"/>
        </w:numPr>
      </w:pPr>
      <w:r>
        <w:tab/>
        <w:t xml:space="preserve">Kulki szklane </w:t>
      </w:r>
      <w:proofErr w:type="spellStart"/>
      <w:r>
        <w:t>hydrofobizowane</w:t>
      </w:r>
      <w:proofErr w:type="spellEnd"/>
      <w:r>
        <w:t xml:space="preserve"> powinny ponadto wykazywać stopień </w:t>
      </w:r>
      <w:proofErr w:type="spellStart"/>
      <w:r>
        <w:t>hydrofobizacji</w:t>
      </w:r>
      <w:proofErr w:type="spellEnd"/>
      <w:r>
        <w:t xml:space="preserve"> co najmniej 80%. </w:t>
      </w:r>
    </w:p>
    <w:p w:rsidR="00ED0C0A" w:rsidRDefault="00ED0C0A" w:rsidP="00ED0C0A">
      <w:pPr>
        <w:numPr>
          <w:ilvl w:val="12"/>
          <w:numId w:val="0"/>
        </w:numPr>
      </w:pPr>
      <w:r>
        <w:tab/>
        <w:t>Wymagania i metody badań kulek szklanych podano w PN-EN 1423:2000[3, 3a].</w:t>
      </w:r>
    </w:p>
    <w:p w:rsidR="00ED0C0A" w:rsidRDefault="00ED0C0A" w:rsidP="00ED0C0A">
      <w:pPr>
        <w:numPr>
          <w:ilvl w:val="12"/>
          <w:numId w:val="0"/>
        </w:numPr>
      </w:pPr>
      <w:r>
        <w:tab/>
        <w:t>Właściwości kulek szklanych określają odpowiednie aprobaty techniczne, lub certyfikaty „CE”.</w:t>
      </w:r>
    </w:p>
    <w:p w:rsidR="00ED0C0A" w:rsidRDefault="00ED0C0A" w:rsidP="00ED0C0A">
      <w:pPr>
        <w:numPr>
          <w:ilvl w:val="12"/>
          <w:numId w:val="0"/>
        </w:numPr>
        <w:spacing w:before="120" w:after="120"/>
      </w:pPr>
      <w:r>
        <w:rPr>
          <w:b/>
        </w:rPr>
        <w:t xml:space="preserve">2.6.5. </w:t>
      </w:r>
      <w:r>
        <w:t xml:space="preserve">Materiał </w:t>
      </w:r>
      <w:proofErr w:type="spellStart"/>
      <w:r>
        <w:t>uszorstniający</w:t>
      </w:r>
      <w:proofErr w:type="spellEnd"/>
      <w:r>
        <w:t xml:space="preserve"> oznakowanie</w:t>
      </w:r>
    </w:p>
    <w:p w:rsidR="00ED0C0A" w:rsidRDefault="00ED0C0A" w:rsidP="00ED0C0A">
      <w:pPr>
        <w:numPr>
          <w:ilvl w:val="12"/>
          <w:numId w:val="0"/>
        </w:numPr>
      </w:pPr>
      <w:r>
        <w:tab/>
        <w:t xml:space="preserve">Materiał </w:t>
      </w:r>
      <w:proofErr w:type="spellStart"/>
      <w:r>
        <w:t>uszorstniający</w:t>
      </w:r>
      <w:proofErr w:type="spellEnd"/>
      <w:r>
        <w:t xml:space="preserve"> oznakowanie powinien składać się z naturalnego lub sztucznego twardego kruszywa (np. krystobalitu), stosowanego w celu zapewnienia oznakowaniu odpowiedniej szorstkości (właściwości antypoślizgowych). Materiał </w:t>
      </w:r>
      <w:proofErr w:type="spellStart"/>
      <w:r>
        <w:t>uszorstniający</w:t>
      </w:r>
      <w:proofErr w:type="spellEnd"/>
      <w:r>
        <w:t xml:space="preserve"> nie może zawierać więcej niż 1% cząstek mniejszych </w:t>
      </w:r>
      <w:r>
        <w:lastRenderedPageBreak/>
        <w:t xml:space="preserve">niż 90 </w:t>
      </w:r>
      <w:r>
        <w:sym w:font="Symbol" w:char="F06D"/>
      </w:r>
      <w:r>
        <w:t xml:space="preserve">m. Potrzeba stosowania materiału </w:t>
      </w:r>
      <w:proofErr w:type="spellStart"/>
      <w:r>
        <w:t>uszorstniającego</w:t>
      </w:r>
      <w:proofErr w:type="spellEnd"/>
      <w:r>
        <w:t xml:space="preserve"> powinna być określona w SST. Konieczność jego użycia zachodzi w przypadku potrzeby uzyskania wskaźnika szorstkości oznakowania  SRT </w:t>
      </w:r>
      <w:r>
        <w:sym w:font="Symbol" w:char="F0B3"/>
      </w:r>
      <w:r>
        <w:t xml:space="preserve"> 50.</w:t>
      </w:r>
    </w:p>
    <w:p w:rsidR="00ED0C0A" w:rsidRDefault="00ED0C0A" w:rsidP="00ED0C0A">
      <w:pPr>
        <w:numPr>
          <w:ilvl w:val="12"/>
          <w:numId w:val="0"/>
        </w:numPr>
      </w:pPr>
      <w:r>
        <w:tab/>
        <w:t xml:space="preserve">Materiał </w:t>
      </w:r>
      <w:proofErr w:type="spellStart"/>
      <w:r>
        <w:t>uszorstniający</w:t>
      </w:r>
      <w:proofErr w:type="spellEnd"/>
      <w:r>
        <w:t xml:space="preserve"> (kruszywo przeciwpoślizgowe) oraz mieszanina kulek szklanych z materiałem </w:t>
      </w:r>
      <w:proofErr w:type="spellStart"/>
      <w:r>
        <w:t>uszorstniającym</w:t>
      </w:r>
      <w:proofErr w:type="spellEnd"/>
      <w:r>
        <w:t xml:space="preserve"> powinny odpowiadać wymaganiom określonym w aprobacie technicznej. </w:t>
      </w:r>
    </w:p>
    <w:p w:rsidR="00ED0C0A" w:rsidRDefault="00ED0C0A" w:rsidP="00ED0C0A">
      <w:pPr>
        <w:numPr>
          <w:ilvl w:val="12"/>
          <w:numId w:val="0"/>
        </w:numPr>
        <w:spacing w:before="120"/>
      </w:pPr>
      <w:r>
        <w:rPr>
          <w:b/>
        </w:rPr>
        <w:t xml:space="preserve">2.6.6. </w:t>
      </w:r>
      <w:r>
        <w:t>Punktowe elementy odblaskowe</w:t>
      </w:r>
    </w:p>
    <w:p w:rsidR="00ED0C0A" w:rsidRDefault="00ED0C0A" w:rsidP="00ED0C0A">
      <w:pPr>
        <w:numPr>
          <w:ilvl w:val="12"/>
          <w:numId w:val="0"/>
        </w:numPr>
        <w:spacing w:before="120"/>
      </w:pPr>
      <w:r>
        <w:tab/>
        <w:t>Punktowym elementem odblaskowym powinna być naklejana, kotwiczona lub wbudowana w nawierzchnię płytka z materiału wytrzymującego przejazdy pojazdów samochodowych, zawierająca element odblaskowy umieszczony w ten sposób, aby zapewniał widzialność w nocy, a także w czasie opadów deszczu wg PN-EN 1463-1:2000 [5, 5a].</w:t>
      </w:r>
    </w:p>
    <w:p w:rsidR="00ED0C0A" w:rsidRDefault="00ED0C0A" w:rsidP="00ED0C0A">
      <w:pPr>
        <w:numPr>
          <w:ilvl w:val="12"/>
          <w:numId w:val="0"/>
        </w:numPr>
      </w:pPr>
      <w:r>
        <w:tab/>
        <w:t>Odbłyśnik, będący częścią punktowego elementu odblaskowego może być:</w:t>
      </w:r>
    </w:p>
    <w:p w:rsidR="00ED0C0A" w:rsidRDefault="00ED0C0A" w:rsidP="00ED0C0A">
      <w:pPr>
        <w:numPr>
          <w:ilvl w:val="0"/>
          <w:numId w:val="1"/>
        </w:numPr>
        <w:overflowPunct w:val="0"/>
        <w:autoSpaceDE w:val="0"/>
        <w:autoSpaceDN w:val="0"/>
        <w:adjustRightInd w:val="0"/>
        <w:jc w:val="both"/>
        <w:textAlignment w:val="baseline"/>
      </w:pPr>
      <w:r>
        <w:t>szklany lub plastikowy w całości lub z dodatkową warstwą odbijającą znajdującą się na powierzchni nie wystawionej na zewnątrz i nie narażoną na przejeżdżanie pojazdów,</w:t>
      </w:r>
    </w:p>
    <w:p w:rsidR="00ED0C0A" w:rsidRDefault="00ED0C0A" w:rsidP="00ED0C0A">
      <w:pPr>
        <w:numPr>
          <w:ilvl w:val="0"/>
          <w:numId w:val="1"/>
        </w:numPr>
        <w:overflowPunct w:val="0"/>
        <w:autoSpaceDE w:val="0"/>
        <w:autoSpaceDN w:val="0"/>
        <w:adjustRightInd w:val="0"/>
        <w:jc w:val="both"/>
        <w:textAlignment w:val="baseline"/>
      </w:pPr>
      <w:r>
        <w:t>plastikowy z warstwą zabezpieczającą przed ścieraniem, który może mieć warstwę odbijającą tylko w miejscu nie wystawionym na ruch i w którym powierzchnie wystawione na ruch są zabezpieczone warstwami odpornymi na ścieranie.</w:t>
      </w:r>
    </w:p>
    <w:p w:rsidR="00ED0C0A" w:rsidRDefault="00ED0C0A" w:rsidP="00ED0C0A">
      <w:r>
        <w:tab/>
        <w:t xml:space="preserve">Profil punktowego elementu odblaskowego nie powinien mieć żadnych ostrych krawędzi od strony najeżdżanej przez pojazdy. Jeśli punktowy element odblaskowy jest wykonany z dwu lub więcej części, każda z nich powinna być usuwalna tylko za pomocą narzędzi polecanych przez producenta. Wysokość punktowego elementu nie może być większa od </w:t>
      </w:r>
      <w:smartTag w:uri="urn:schemas-microsoft-com:office:smarttags" w:element="metricconverter">
        <w:smartTagPr>
          <w:attr w:name="ProductID" w:val="25 mm"/>
        </w:smartTagPr>
        <w:r>
          <w:t>25 mm</w:t>
        </w:r>
      </w:smartTag>
      <w:r>
        <w:t>. Barwa, w przypadku oznakowania trwałego, powinna być biała lub czerwona, a dla oznakowania czasowego – żółta zgodnie z załącznikiem nr 2 do rozporządzenia Ministra Infrastruktury [7].</w:t>
      </w:r>
    </w:p>
    <w:p w:rsidR="00ED0C0A" w:rsidRDefault="00ED0C0A" w:rsidP="00ED0C0A">
      <w:r>
        <w:tab/>
        <w:t xml:space="preserve">Spośród punktowych elementów odblaskowych (PEO) stosowanych do </w:t>
      </w:r>
      <w:proofErr w:type="spellStart"/>
      <w:r>
        <w:t>oznakowań</w:t>
      </w:r>
      <w:proofErr w:type="spellEnd"/>
      <w:r>
        <w:t xml:space="preserve"> poziomych wyróżniają się PEO ze szklanym korpusem pełnym (odbłyśnik wielokierunkowy) lub zawierającym świecące diody LED i ewentualnie ogniwo słoneczne z baterią, tzw. aktywne PEO. Nie mieszczą się one w klasyfikacji PN-EN 1463-1:2001 [5], choć spełniają tę samą funkcję co typowe punktowe elementy odblaskowe, tj. kierunkują pojazdy w nocy w czasie suchej i mokrej pogody.</w:t>
      </w:r>
    </w:p>
    <w:p w:rsidR="00ED0C0A" w:rsidRDefault="00ED0C0A" w:rsidP="00ED0C0A">
      <w:r>
        <w:tab/>
        <w:t>PEO szklane z pełnym korpusem mogą być stosowane do oznakowania rond kompaktowych ze względu na ich geometrię 360</w:t>
      </w:r>
      <w:r>
        <w:rPr>
          <w:vertAlign w:val="superscript"/>
        </w:rPr>
        <w:t>o</w:t>
      </w:r>
      <w:r>
        <w:t xml:space="preserve">. </w:t>
      </w:r>
    </w:p>
    <w:p w:rsidR="00ED0C0A" w:rsidRDefault="00ED0C0A" w:rsidP="00ED0C0A">
      <w:r>
        <w:tab/>
        <w:t>Właściwości i wymagania dotyczące punktowych elementów odblaskowych określone są w normie zharmonizowanej [5a] i odpowiednich  aprobatach technicznych.</w:t>
      </w:r>
    </w:p>
    <w:p w:rsidR="00ED0C0A" w:rsidRDefault="00ED0C0A" w:rsidP="00ED0C0A">
      <w:pPr>
        <w:spacing w:before="120"/>
      </w:pPr>
      <w:r>
        <w:rPr>
          <w:b/>
        </w:rPr>
        <w:t xml:space="preserve">2.6.7. </w:t>
      </w:r>
      <w:r>
        <w:t>Wymagania wobec materiałów ze względu na ochronę warunków pracy i środowiska</w:t>
      </w:r>
    </w:p>
    <w:p w:rsidR="00ED0C0A" w:rsidRDefault="00ED0C0A" w:rsidP="00ED0C0A">
      <w:pPr>
        <w:spacing w:before="120"/>
      </w:pPr>
      <w:r>
        <w:tab/>
        <w:t>Materiały stosowane do znakowania nawierzchni nie powinny zawierać substancji zagrażających zdrowiu ludzi i powodujących skażenie środowiska.</w:t>
      </w:r>
    </w:p>
    <w:p w:rsidR="00ED0C0A" w:rsidRDefault="00ED0C0A" w:rsidP="00ED0C0A">
      <w:pPr>
        <w:pStyle w:val="Nagwek2"/>
      </w:pPr>
      <w:r>
        <w:t>2.7. Przechowywanie i składowanie materiałów</w:t>
      </w:r>
    </w:p>
    <w:p w:rsidR="00ED0C0A" w:rsidRDefault="00ED0C0A" w:rsidP="00ED0C0A">
      <w:r>
        <w:tab/>
        <w:t>Materiały do oznakowania cienko- i grubowarstwowego nawierzchni powinny zachować stałość swoich właściwości chemicznych i fizykochemicznych przez okres co najmniej 6 miesięcy składowania w warunkach określonych przez producenta.</w:t>
      </w:r>
    </w:p>
    <w:p w:rsidR="00ED0C0A" w:rsidRDefault="00ED0C0A" w:rsidP="00ED0C0A">
      <w:r>
        <w:tab/>
        <w:t>Materiały do poziomego oznakowania dróg należy przechowywać w magazynach odpowiadających zaleceniom producenta, zwłaszcza zabezpieczających je od napromieniowania słonecznego, opadów i w temperaturze, dla:</w:t>
      </w:r>
    </w:p>
    <w:p w:rsidR="00ED0C0A" w:rsidRDefault="00ED0C0A" w:rsidP="00A46F82">
      <w:pPr>
        <w:numPr>
          <w:ilvl w:val="0"/>
          <w:numId w:val="195"/>
        </w:numPr>
        <w:overflowPunct w:val="0"/>
        <w:autoSpaceDE w:val="0"/>
        <w:autoSpaceDN w:val="0"/>
        <w:adjustRightInd w:val="0"/>
        <w:jc w:val="both"/>
        <w:textAlignment w:val="baseline"/>
      </w:pPr>
      <w:r>
        <w:t>farb wodorozcieńczalnych od 5</w:t>
      </w:r>
      <w:r>
        <w:rPr>
          <w:vertAlign w:val="superscript"/>
        </w:rPr>
        <w:t>o</w:t>
      </w:r>
      <w:r>
        <w:t>C do 40</w:t>
      </w:r>
      <w:r>
        <w:rPr>
          <w:vertAlign w:val="superscript"/>
        </w:rPr>
        <w:t>o</w:t>
      </w:r>
      <w:r>
        <w:t>C,</w:t>
      </w:r>
    </w:p>
    <w:p w:rsidR="00ED0C0A" w:rsidRDefault="00ED0C0A" w:rsidP="00A46F82">
      <w:pPr>
        <w:numPr>
          <w:ilvl w:val="0"/>
          <w:numId w:val="195"/>
        </w:numPr>
        <w:overflowPunct w:val="0"/>
        <w:autoSpaceDE w:val="0"/>
        <w:autoSpaceDN w:val="0"/>
        <w:adjustRightInd w:val="0"/>
        <w:jc w:val="both"/>
        <w:textAlignment w:val="baseline"/>
      </w:pPr>
      <w:r>
        <w:t>farb rozpuszczalnikowych od -5</w:t>
      </w:r>
      <w:r>
        <w:rPr>
          <w:vertAlign w:val="superscript"/>
        </w:rPr>
        <w:t>o</w:t>
      </w:r>
      <w:r>
        <w:t>C do 25</w:t>
      </w:r>
      <w:r>
        <w:rPr>
          <w:vertAlign w:val="superscript"/>
        </w:rPr>
        <w:t>o</w:t>
      </w:r>
      <w:r>
        <w:t>C,</w:t>
      </w:r>
    </w:p>
    <w:p w:rsidR="00ED0C0A" w:rsidRDefault="00ED0C0A" w:rsidP="00A46F82">
      <w:pPr>
        <w:numPr>
          <w:ilvl w:val="0"/>
          <w:numId w:val="195"/>
        </w:numPr>
        <w:overflowPunct w:val="0"/>
        <w:autoSpaceDE w:val="0"/>
        <w:autoSpaceDN w:val="0"/>
        <w:adjustRightInd w:val="0"/>
        <w:spacing w:after="120"/>
        <w:ind w:left="284" w:hanging="284"/>
        <w:jc w:val="both"/>
        <w:textAlignment w:val="baseline"/>
      </w:pPr>
      <w:r>
        <w:t>pozostałych materiałów - poniżej 40</w:t>
      </w:r>
      <w:r>
        <w:rPr>
          <w:vertAlign w:val="superscript"/>
        </w:rPr>
        <w:t>o</w:t>
      </w:r>
      <w:r>
        <w:t>C.</w:t>
      </w:r>
    </w:p>
    <w:p w:rsidR="00ED0C0A" w:rsidRDefault="00ED0C0A" w:rsidP="00ED0C0A">
      <w:pPr>
        <w:pStyle w:val="Nagwek1"/>
      </w:pPr>
      <w:r>
        <w:t>3. sprzęt</w:t>
      </w:r>
    </w:p>
    <w:p w:rsidR="00ED0C0A" w:rsidRDefault="00ED0C0A" w:rsidP="00ED0C0A">
      <w:pPr>
        <w:pStyle w:val="Nagwek2"/>
      </w:pPr>
      <w:r>
        <w:t>3.1. Ogólne wymagania dotyczące sprzętu</w:t>
      </w:r>
    </w:p>
    <w:p w:rsidR="00ED0C0A" w:rsidRDefault="00ED0C0A" w:rsidP="00ED0C0A">
      <w:r>
        <w:tab/>
        <w:t>Ogólne wymagania dotyczące sprzętu podano w SST D-00.00.00 „Wymagania ogólne” pkt 3.</w:t>
      </w:r>
    </w:p>
    <w:p w:rsidR="00ED0C0A" w:rsidRDefault="00ED0C0A" w:rsidP="00ED0C0A">
      <w:pPr>
        <w:pStyle w:val="Nagwek2"/>
      </w:pPr>
      <w:r>
        <w:t>3.2. Sprzęt do wykonania oznakowania poziomego</w:t>
      </w:r>
    </w:p>
    <w:p w:rsidR="00ED0C0A" w:rsidRDefault="00ED0C0A" w:rsidP="00ED0C0A">
      <w:r>
        <w:tab/>
        <w:t>Wykonawca przystępujący do wykonania oznakowania poziomego, w zależności od zakresu robót, powinien wykazać się możliwością korzystania z następującego sprzętu, zaakceptowanego przez Inżyniera:</w:t>
      </w:r>
    </w:p>
    <w:p w:rsidR="00ED0C0A" w:rsidRDefault="00ED0C0A" w:rsidP="00ED0C0A">
      <w:pPr>
        <w:numPr>
          <w:ilvl w:val="0"/>
          <w:numId w:val="1"/>
        </w:numPr>
        <w:overflowPunct w:val="0"/>
        <w:autoSpaceDE w:val="0"/>
        <w:autoSpaceDN w:val="0"/>
        <w:adjustRightInd w:val="0"/>
        <w:jc w:val="both"/>
        <w:textAlignment w:val="baseline"/>
      </w:pPr>
      <w:r>
        <w:t>szczotek mechanicznych (zaleca się stosowanie szczotek wyposażonych w urządzenia odpylające) oraz szczotek ręcznych,</w:t>
      </w:r>
    </w:p>
    <w:p w:rsidR="00ED0C0A" w:rsidRDefault="00ED0C0A" w:rsidP="00ED0C0A">
      <w:pPr>
        <w:numPr>
          <w:ilvl w:val="0"/>
          <w:numId w:val="1"/>
        </w:numPr>
        <w:overflowPunct w:val="0"/>
        <w:autoSpaceDE w:val="0"/>
        <w:autoSpaceDN w:val="0"/>
        <w:adjustRightInd w:val="0"/>
        <w:jc w:val="both"/>
        <w:textAlignment w:val="baseline"/>
      </w:pPr>
      <w:r>
        <w:t>frezarek,</w:t>
      </w:r>
    </w:p>
    <w:p w:rsidR="00ED0C0A" w:rsidRDefault="00ED0C0A" w:rsidP="00ED0C0A">
      <w:pPr>
        <w:numPr>
          <w:ilvl w:val="0"/>
          <w:numId w:val="1"/>
        </w:numPr>
        <w:overflowPunct w:val="0"/>
        <w:autoSpaceDE w:val="0"/>
        <w:autoSpaceDN w:val="0"/>
        <w:adjustRightInd w:val="0"/>
        <w:jc w:val="both"/>
        <w:textAlignment w:val="baseline"/>
      </w:pPr>
      <w:r>
        <w:t>sprężarek,</w:t>
      </w:r>
    </w:p>
    <w:p w:rsidR="00ED0C0A" w:rsidRDefault="00ED0C0A" w:rsidP="00ED0C0A">
      <w:pPr>
        <w:numPr>
          <w:ilvl w:val="0"/>
          <w:numId w:val="1"/>
        </w:numPr>
        <w:overflowPunct w:val="0"/>
        <w:autoSpaceDE w:val="0"/>
        <w:autoSpaceDN w:val="0"/>
        <w:adjustRightInd w:val="0"/>
        <w:jc w:val="both"/>
        <w:textAlignment w:val="baseline"/>
      </w:pPr>
      <w:proofErr w:type="spellStart"/>
      <w:r>
        <w:t>malowarek</w:t>
      </w:r>
      <w:proofErr w:type="spellEnd"/>
      <w:r>
        <w:t>,</w:t>
      </w:r>
    </w:p>
    <w:p w:rsidR="00ED0C0A" w:rsidRDefault="00ED0C0A" w:rsidP="00ED0C0A">
      <w:pPr>
        <w:numPr>
          <w:ilvl w:val="0"/>
          <w:numId w:val="1"/>
        </w:numPr>
        <w:overflowPunct w:val="0"/>
        <w:autoSpaceDE w:val="0"/>
        <w:autoSpaceDN w:val="0"/>
        <w:adjustRightInd w:val="0"/>
        <w:jc w:val="both"/>
        <w:textAlignment w:val="baseline"/>
      </w:pPr>
      <w:r>
        <w:lastRenderedPageBreak/>
        <w:t>układarek mas termoplastycznych i chemoutwardzalnych,</w:t>
      </w:r>
    </w:p>
    <w:p w:rsidR="00ED0C0A" w:rsidRDefault="00ED0C0A" w:rsidP="00ED0C0A">
      <w:pPr>
        <w:numPr>
          <w:ilvl w:val="0"/>
          <w:numId w:val="1"/>
        </w:numPr>
        <w:overflowPunct w:val="0"/>
        <w:autoSpaceDE w:val="0"/>
        <w:autoSpaceDN w:val="0"/>
        <w:adjustRightInd w:val="0"/>
        <w:jc w:val="both"/>
        <w:textAlignment w:val="baseline"/>
      </w:pPr>
      <w:proofErr w:type="spellStart"/>
      <w:r>
        <w:t>wyklejarek</w:t>
      </w:r>
      <w:proofErr w:type="spellEnd"/>
      <w:r>
        <w:t xml:space="preserve"> do taśm,</w:t>
      </w:r>
    </w:p>
    <w:p w:rsidR="00ED0C0A" w:rsidRDefault="00ED0C0A" w:rsidP="00ED0C0A">
      <w:pPr>
        <w:numPr>
          <w:ilvl w:val="0"/>
          <w:numId w:val="1"/>
        </w:numPr>
        <w:overflowPunct w:val="0"/>
        <w:autoSpaceDE w:val="0"/>
        <w:autoSpaceDN w:val="0"/>
        <w:adjustRightInd w:val="0"/>
        <w:spacing w:after="120"/>
        <w:ind w:left="284" w:hanging="284"/>
        <w:jc w:val="both"/>
        <w:textAlignment w:val="baseline"/>
      </w:pPr>
      <w:r>
        <w:t>sprzętu do badań, określonego w SST.</w:t>
      </w:r>
    </w:p>
    <w:p w:rsidR="00ED0C0A" w:rsidRDefault="00ED0C0A" w:rsidP="00ED0C0A">
      <w:pPr>
        <w:numPr>
          <w:ilvl w:val="12"/>
          <w:numId w:val="0"/>
        </w:numPr>
        <w:spacing w:after="120"/>
        <w:ind w:firstLine="709"/>
      </w:pPr>
      <w:r>
        <w:t xml:space="preserve">Wykonawca powinien zapewnić odpowiednią jakość, ilość i wydajność </w:t>
      </w:r>
      <w:proofErr w:type="spellStart"/>
      <w:r>
        <w:t>malowarek</w:t>
      </w:r>
      <w:proofErr w:type="spellEnd"/>
      <w:r>
        <w:t xml:space="preserve"> lub układarek proporcjonalną do wielkości i czasu wykonania całego zakresu robót.</w:t>
      </w:r>
    </w:p>
    <w:p w:rsidR="00ED0C0A" w:rsidRDefault="00ED0C0A" w:rsidP="00ED0C0A">
      <w:pPr>
        <w:pStyle w:val="Nagwek1"/>
        <w:numPr>
          <w:ilvl w:val="12"/>
          <w:numId w:val="0"/>
        </w:numPr>
      </w:pPr>
      <w:r>
        <w:t>4. transport</w:t>
      </w:r>
    </w:p>
    <w:p w:rsidR="00ED0C0A" w:rsidRDefault="00ED0C0A" w:rsidP="00ED0C0A">
      <w:pPr>
        <w:pStyle w:val="Nagwek2"/>
        <w:numPr>
          <w:ilvl w:val="12"/>
          <w:numId w:val="0"/>
        </w:numPr>
      </w:pPr>
      <w:r>
        <w:t>4.1. Ogólne wymagania dotyczące transportu</w:t>
      </w:r>
    </w:p>
    <w:p w:rsidR="00ED0C0A" w:rsidRDefault="00ED0C0A" w:rsidP="00ED0C0A">
      <w:pPr>
        <w:numPr>
          <w:ilvl w:val="12"/>
          <w:numId w:val="0"/>
        </w:numPr>
      </w:pPr>
      <w:r>
        <w:tab/>
        <w:t>Ogólne wymagania dotyczące transportu podano w SST D-00.00.00 „Wymagania ogólne” pkt 4.</w:t>
      </w:r>
    </w:p>
    <w:p w:rsidR="00ED0C0A" w:rsidRDefault="00ED0C0A" w:rsidP="00ED0C0A">
      <w:pPr>
        <w:pStyle w:val="Nagwek2"/>
        <w:numPr>
          <w:ilvl w:val="12"/>
          <w:numId w:val="0"/>
        </w:numPr>
      </w:pPr>
      <w:r>
        <w:t>4.2. Przewóz materiałów do poziomego znakowania dróg</w:t>
      </w:r>
    </w:p>
    <w:p w:rsidR="00ED0C0A" w:rsidRDefault="00ED0C0A" w:rsidP="00ED0C0A">
      <w:pPr>
        <w:numPr>
          <w:ilvl w:val="12"/>
          <w:numId w:val="0"/>
        </w:numPr>
      </w:pPr>
      <w:r>
        <w:tab/>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rsidR="00ED0C0A" w:rsidRDefault="00ED0C0A" w:rsidP="00ED0C0A">
      <w:pPr>
        <w:numPr>
          <w:ilvl w:val="12"/>
          <w:numId w:val="0"/>
        </w:numPr>
      </w:pPr>
      <w:r>
        <w:tab/>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rsidR="00ED0C0A" w:rsidRDefault="00ED0C0A" w:rsidP="00ED0C0A">
      <w:pPr>
        <w:numPr>
          <w:ilvl w:val="12"/>
          <w:numId w:val="0"/>
        </w:numPr>
        <w:spacing w:after="120"/>
        <w:ind w:firstLine="709"/>
      </w:pPr>
      <w:r>
        <w:t>Pozostałe materiały do znakowania poziomego należy przewozić krytymi środkami transportowymi, chroniąc opakowania przed uszkodzeniem mechanicznym, zgodnie z PN-C-81400 [1] oraz zgodnie z prawem przewozowym.</w:t>
      </w:r>
    </w:p>
    <w:p w:rsidR="00ED0C0A" w:rsidRDefault="00ED0C0A" w:rsidP="00ED0C0A">
      <w:pPr>
        <w:pStyle w:val="Nagwek1"/>
        <w:numPr>
          <w:ilvl w:val="12"/>
          <w:numId w:val="0"/>
        </w:numPr>
      </w:pPr>
      <w:r>
        <w:t>5. wykonanie robót</w:t>
      </w:r>
    </w:p>
    <w:p w:rsidR="00ED0C0A" w:rsidRDefault="00ED0C0A" w:rsidP="00ED0C0A">
      <w:pPr>
        <w:pStyle w:val="Nagwek2"/>
        <w:numPr>
          <w:ilvl w:val="12"/>
          <w:numId w:val="0"/>
        </w:numPr>
      </w:pPr>
      <w:r>
        <w:t>5.1. Ogólne zasady wykonania robót</w:t>
      </w:r>
    </w:p>
    <w:p w:rsidR="00ED0C0A" w:rsidRDefault="00ED0C0A" w:rsidP="00ED0C0A">
      <w:pPr>
        <w:numPr>
          <w:ilvl w:val="12"/>
          <w:numId w:val="0"/>
        </w:numPr>
      </w:pPr>
      <w:r>
        <w:tab/>
        <w:t xml:space="preserve">Ogólne zasady wykonania robót podano w SST D-00.00.00 „Wymagania ogólne” pkt 5. Nowe i odnowione nawierzchnie dróg przed otwarciem do ruchu muszą być oznakowane zgodnie z dokumentacją projektową. </w:t>
      </w:r>
    </w:p>
    <w:p w:rsidR="00ED0C0A" w:rsidRDefault="00ED0C0A" w:rsidP="00ED0C0A">
      <w:pPr>
        <w:pStyle w:val="Nagwek2"/>
        <w:numPr>
          <w:ilvl w:val="12"/>
          <w:numId w:val="0"/>
        </w:numPr>
      </w:pPr>
      <w:r>
        <w:t>5.2. Warunki atmosferyczne</w:t>
      </w:r>
    </w:p>
    <w:p w:rsidR="00ED0C0A" w:rsidRDefault="00ED0C0A" w:rsidP="00ED0C0A">
      <w:pPr>
        <w:numPr>
          <w:ilvl w:val="12"/>
          <w:numId w:val="0"/>
        </w:numPr>
      </w:pPr>
      <w:r>
        <w:tab/>
        <w:t>W czasie wykonywania oznakowania temperatura nawierzchni i powietrza powinna wynosić co najmniej 5</w:t>
      </w:r>
      <w:r>
        <w:rPr>
          <w:vertAlign w:val="superscript"/>
        </w:rPr>
        <w:t>o</w:t>
      </w:r>
      <w:r>
        <w:t>C, a wilgotność względna powietrza powinna być zgodna z zaleceniami producenta lub wynosić co najwyżej 85%.</w:t>
      </w:r>
    </w:p>
    <w:p w:rsidR="00ED0C0A" w:rsidRDefault="00ED0C0A" w:rsidP="00ED0C0A">
      <w:pPr>
        <w:pStyle w:val="Nagwek2"/>
        <w:numPr>
          <w:ilvl w:val="12"/>
          <w:numId w:val="0"/>
        </w:numPr>
      </w:pPr>
      <w:r>
        <w:t>5.3. Jednorodność nawierzchni znakowanej</w:t>
      </w:r>
    </w:p>
    <w:p w:rsidR="00ED0C0A" w:rsidRDefault="00ED0C0A" w:rsidP="00ED0C0A">
      <w:pPr>
        <w:numPr>
          <w:ilvl w:val="12"/>
          <w:numId w:val="0"/>
        </w:numPr>
      </w:pPr>
      <w:r>
        <w:tab/>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rsidR="00ED0C0A" w:rsidRDefault="00ED0C0A" w:rsidP="00ED0C0A">
      <w:pPr>
        <w:pStyle w:val="Nagwek2"/>
        <w:numPr>
          <w:ilvl w:val="12"/>
          <w:numId w:val="0"/>
        </w:numPr>
      </w:pPr>
      <w:r>
        <w:t>5.4. Przygotowanie podłoża do wykonania znakowania</w:t>
      </w:r>
    </w:p>
    <w:p w:rsidR="00ED0C0A" w:rsidRDefault="00ED0C0A" w:rsidP="00ED0C0A">
      <w:pPr>
        <w:numPr>
          <w:ilvl w:val="12"/>
          <w:numId w:val="0"/>
        </w:numPr>
      </w:pPr>
      <w:r>
        <w:tab/>
        <w:t>Przed wykonaniem znakowania poziomego należy oczyścić powierzchnię nawierzchni malowanej z pyłu, kurzu, piasku, smarów, olejów i innych zanieczyszczeń, przy użyciu sprzętu wymienionego w SST i zaakceptowanego przez Inżyniera.</w:t>
      </w:r>
    </w:p>
    <w:p w:rsidR="00ED0C0A" w:rsidRDefault="00ED0C0A" w:rsidP="00ED0C0A">
      <w:pPr>
        <w:numPr>
          <w:ilvl w:val="12"/>
          <w:numId w:val="0"/>
        </w:numPr>
      </w:pPr>
      <w:r>
        <w:tab/>
        <w:t>Powierzchnia nawierzchni przygotowana do wykonania oznakowania poziomego musi być czysta i sucha.</w:t>
      </w:r>
    </w:p>
    <w:p w:rsidR="00ED0C0A" w:rsidRDefault="00ED0C0A" w:rsidP="00ED0C0A">
      <w:pPr>
        <w:pStyle w:val="Nagwek2"/>
        <w:numPr>
          <w:ilvl w:val="12"/>
          <w:numId w:val="0"/>
        </w:numPr>
      </w:pPr>
      <w:r>
        <w:t xml:space="preserve">5.5. </w:t>
      </w:r>
      <w:proofErr w:type="spellStart"/>
      <w:r>
        <w:t>Przedznakowanie</w:t>
      </w:r>
      <w:proofErr w:type="spellEnd"/>
    </w:p>
    <w:p w:rsidR="00ED0C0A" w:rsidRDefault="00ED0C0A" w:rsidP="00ED0C0A">
      <w:pPr>
        <w:numPr>
          <w:ilvl w:val="12"/>
          <w:numId w:val="0"/>
        </w:numPr>
      </w:pPr>
      <w:r>
        <w:tab/>
        <w:t xml:space="preserve">W celu dokładnego wykonania poziomego oznakowania drogi, można wykonać </w:t>
      </w:r>
      <w:proofErr w:type="spellStart"/>
      <w:r>
        <w:t>przedznakowanie</w:t>
      </w:r>
      <w:proofErr w:type="spellEnd"/>
      <w:r>
        <w:t xml:space="preserve">, stosując się do ustaleń zawartych w dokumentacji projektowej, w </w:t>
      </w:r>
      <w:r>
        <w:rPr>
          <w:shd w:val="clear" w:color="auto" w:fill="FFFFFF"/>
        </w:rPr>
        <w:t>załączniku nr 2 do rozporządzenia Ministra Infrastruktury [7], SST i wskazaniach Inżyniera.</w:t>
      </w:r>
    </w:p>
    <w:p w:rsidR="00ED0C0A" w:rsidRDefault="00ED0C0A" w:rsidP="00ED0C0A">
      <w:pPr>
        <w:numPr>
          <w:ilvl w:val="12"/>
          <w:numId w:val="0"/>
        </w:numPr>
      </w:pPr>
      <w:r>
        <w:tab/>
        <w:t xml:space="preserve">Do wykonania </w:t>
      </w:r>
      <w:proofErr w:type="spellStart"/>
      <w:r>
        <w:t>przedznakowania</w:t>
      </w:r>
      <w:proofErr w:type="spellEnd"/>
      <w:r>
        <w:t xml:space="preserve"> można stosować nietrwałą farbę, np. farbę silnie rozcieńczoną rozpuszczalnikiem. Zaleca się wykonywanie </w:t>
      </w:r>
      <w:proofErr w:type="spellStart"/>
      <w:r>
        <w:t>przedznakowania</w:t>
      </w:r>
      <w:proofErr w:type="spellEnd"/>
      <w:r>
        <w:t xml:space="preserve"> w postaci cienkich linii lub kropek. Początek i koniec znakowania należy zaznaczyć małą kreską poprzeczną.</w:t>
      </w:r>
    </w:p>
    <w:p w:rsidR="00ED0C0A" w:rsidRDefault="00ED0C0A" w:rsidP="00ED0C0A">
      <w:pPr>
        <w:numPr>
          <w:ilvl w:val="12"/>
          <w:numId w:val="0"/>
        </w:numPr>
      </w:pPr>
      <w:r>
        <w:lastRenderedPageBreak/>
        <w:tab/>
        <w:t xml:space="preserve">W przypadku odnawiania oznakowania drogi, gdy stare oznakowanie jest wystarczająco czytelne i zgodne z dokumentacją projektową, można </w:t>
      </w:r>
      <w:proofErr w:type="spellStart"/>
      <w:r>
        <w:t>przedznakowania</w:t>
      </w:r>
      <w:proofErr w:type="spellEnd"/>
      <w:r>
        <w:t xml:space="preserve"> nie wykonywać.</w:t>
      </w:r>
    </w:p>
    <w:p w:rsidR="00ED0C0A" w:rsidRDefault="00ED0C0A" w:rsidP="00ED0C0A">
      <w:pPr>
        <w:pStyle w:val="Nagwek2"/>
        <w:numPr>
          <w:ilvl w:val="12"/>
          <w:numId w:val="0"/>
        </w:numPr>
      </w:pPr>
      <w:r>
        <w:t>5.6. Wykonanie oznakowania drogi</w:t>
      </w:r>
    </w:p>
    <w:p w:rsidR="00ED0C0A" w:rsidRDefault="00ED0C0A" w:rsidP="00ED0C0A">
      <w:pPr>
        <w:pStyle w:val="Nagwek2"/>
        <w:numPr>
          <w:ilvl w:val="12"/>
          <w:numId w:val="0"/>
        </w:numPr>
        <w:spacing w:before="0"/>
      </w:pPr>
      <w:r>
        <w:t>5.6.1.</w:t>
      </w:r>
      <w:r>
        <w:rPr>
          <w:b w:val="0"/>
        </w:rPr>
        <w:t xml:space="preserve"> </w:t>
      </w:r>
      <w:r>
        <w:t xml:space="preserve"> </w:t>
      </w:r>
      <w:r>
        <w:rPr>
          <w:b w:val="0"/>
        </w:rPr>
        <w:t>Dostarczenie materiałów i spełnienie zaleceń producenta materiałów</w:t>
      </w:r>
    </w:p>
    <w:p w:rsidR="00ED0C0A" w:rsidRDefault="00ED0C0A" w:rsidP="00ED0C0A">
      <w:pPr>
        <w:numPr>
          <w:ilvl w:val="12"/>
          <w:numId w:val="0"/>
        </w:numPr>
      </w:pPr>
      <w:r>
        <w:tab/>
        <w:t>Materiały do znakowania drogi, spełniające wymagania podane w punkcie 2, powinny być dostarczone w oryginalnych opakowaniach handlowych i stosowane zgodnie z zaleceniami SST, producenta oraz wymaganiami znajdującymi się w aprobacie technicznej.</w:t>
      </w:r>
    </w:p>
    <w:p w:rsidR="00ED0C0A" w:rsidRDefault="00ED0C0A" w:rsidP="00ED0C0A">
      <w:pPr>
        <w:numPr>
          <w:ilvl w:val="12"/>
          <w:numId w:val="0"/>
        </w:numPr>
        <w:spacing w:before="120"/>
      </w:pPr>
      <w:r>
        <w:rPr>
          <w:b/>
        </w:rPr>
        <w:t xml:space="preserve">5.6.2. </w:t>
      </w:r>
      <w:r>
        <w:t>Wykonanie oznakowania drogi materiałami cienkowarstwowymi</w:t>
      </w:r>
    </w:p>
    <w:p w:rsidR="00ED0C0A" w:rsidRDefault="00ED0C0A" w:rsidP="00ED0C0A">
      <w:pPr>
        <w:numPr>
          <w:ilvl w:val="12"/>
          <w:numId w:val="0"/>
        </w:numPr>
        <w:spacing w:before="120"/>
      </w:pPr>
      <w:r>
        <w:tab/>
        <w:t>Wykonanie znakowania powinno być zgodne z zaleceniami producenta materiałów, a w przypadku ich braku lub niepełnych danych - zgodne z poniższymi wskazaniami.</w:t>
      </w:r>
    </w:p>
    <w:p w:rsidR="00ED0C0A" w:rsidRDefault="00ED0C0A" w:rsidP="00ED0C0A">
      <w:pPr>
        <w:numPr>
          <w:ilvl w:val="12"/>
          <w:numId w:val="0"/>
        </w:numPr>
      </w:pPr>
      <w:r>
        <w:tab/>
        <w:t xml:space="preserve">Farbę do znakowania cienkowarstwowego po otwarciu opakowania należy wymieszać w czasie od 2 do 4 minut do uzyskania pełnej jednorodności. Przed lub w czasie napełniania zbiornika </w:t>
      </w:r>
      <w:proofErr w:type="spellStart"/>
      <w:r>
        <w:t>malowarki</w:t>
      </w:r>
      <w:proofErr w:type="spellEnd"/>
      <w:r>
        <w:t xml:space="preserve"> zaleca się przecedzić farbę przez sito </w:t>
      </w:r>
      <w:smartTag w:uri="urn:schemas-microsoft-com:office:smarttags" w:element="metricconverter">
        <w:smartTagPr>
          <w:attr w:name="ProductID" w:val="0,6 mm"/>
        </w:smartTagPr>
        <w:r>
          <w:t>0,6 mm</w:t>
        </w:r>
      </w:smartTag>
      <w:r>
        <w:t>. Nie wolno stosować do malowania mechanicznego farby, w której osad na dnie opakowania nie daje się całkowicie wymieszać lub na jej powierzchni znajduje się kożuch.</w:t>
      </w:r>
    </w:p>
    <w:p w:rsidR="00ED0C0A" w:rsidRDefault="00ED0C0A" w:rsidP="00ED0C0A">
      <w:pPr>
        <w:numPr>
          <w:ilvl w:val="12"/>
          <w:numId w:val="0"/>
        </w:numPr>
      </w:pPr>
      <w:r>
        <w:tab/>
        <w:t xml:space="preserve">Farbę należy nakładać równomierną warstwą o grubości ustalonej w SST, zachowując wymiary i ostrość krawędzi. Grubość nanoszonej warstwy zaleca się kontrolować przy pomocy grzebienia pomiarowego na płytce szklanej lub metalowej podkładanej na drodze </w:t>
      </w:r>
      <w:proofErr w:type="spellStart"/>
      <w:r>
        <w:t>malowarki</w:t>
      </w:r>
      <w:proofErr w:type="spellEnd"/>
      <w:r>
        <w:t>. Ilość farby zużyta w czasie prac, określona przez średnie zużycie na metr kwadratowy nie może się różnić od ilości ustalonej, więcej niż o 20%.</w:t>
      </w:r>
    </w:p>
    <w:p w:rsidR="00ED0C0A" w:rsidRDefault="00ED0C0A" w:rsidP="00ED0C0A">
      <w:pPr>
        <w:numPr>
          <w:ilvl w:val="12"/>
          <w:numId w:val="0"/>
        </w:numPr>
      </w:pPr>
      <w:r>
        <w:tab/>
        <w:t xml:space="preserve">Wszystkie większe prace powinny być wykonane przy użyciu samojezdnych </w:t>
      </w:r>
      <w:proofErr w:type="spellStart"/>
      <w:r>
        <w:t>malowarek</w:t>
      </w:r>
      <w:proofErr w:type="spellEnd"/>
      <w:r>
        <w:t xml:space="preserve"> z automatycznym podziałem linii i posypywaniem kulkami szklanymi z ew. materiałem </w:t>
      </w:r>
      <w:proofErr w:type="spellStart"/>
      <w:r>
        <w:t>uszorstniającym</w:t>
      </w:r>
      <w:proofErr w:type="spellEnd"/>
      <w:r>
        <w:t>. W przypadku mniejszych prac, wielkość, wydajność i jakość sprzętu należy dostosować do zakresu i rozmiaru prac. Decyzję dotyczącą rodzaju sprzętu i sposobu wykonania znakowania podejmuje Inżynier na wniosek Wykonawcy.</w:t>
      </w:r>
    </w:p>
    <w:p w:rsidR="00ED0C0A" w:rsidRDefault="00ED0C0A" w:rsidP="00ED0C0A">
      <w:pPr>
        <w:numPr>
          <w:ilvl w:val="12"/>
          <w:numId w:val="0"/>
        </w:numPr>
        <w:spacing w:before="120"/>
      </w:pPr>
      <w:r>
        <w:rPr>
          <w:b/>
        </w:rPr>
        <w:t xml:space="preserve">5.6.3. </w:t>
      </w:r>
      <w:r>
        <w:t>Wykonanie oznakowania drogi materiałami grubowarstwowymi</w:t>
      </w:r>
    </w:p>
    <w:p w:rsidR="00ED0C0A" w:rsidRDefault="00ED0C0A" w:rsidP="00ED0C0A">
      <w:pPr>
        <w:numPr>
          <w:ilvl w:val="12"/>
          <w:numId w:val="0"/>
        </w:numPr>
        <w:spacing w:before="120"/>
      </w:pPr>
      <w:r>
        <w:tab/>
        <w:t>Wykonanie oznakowania powinno być zgodne z zaleceniami producenta materiałów, a w przypadku ich braku lub niepełnych danych - zgodne z poniższymi wskazaniami.</w:t>
      </w:r>
    </w:p>
    <w:p w:rsidR="00ED0C0A" w:rsidRDefault="00ED0C0A" w:rsidP="00ED0C0A">
      <w:pPr>
        <w:numPr>
          <w:ilvl w:val="12"/>
          <w:numId w:val="0"/>
        </w:numPr>
      </w:pPr>
      <w:r>
        <w:tab/>
        <w:t xml:space="preserve">Materiał znakujący należy nakładać równomierną warstwą o grubości (lub w ilości) ustalonej w SST, zachowując wymiary i ostrość krawędzi. Grubość nanoszonej warstwy zaleca się kontrolować przy pomocy grzebienia pomiarowego na płytce metalowej, podkładanej na drodze </w:t>
      </w:r>
      <w:proofErr w:type="spellStart"/>
      <w:r>
        <w:t>malowarki</w:t>
      </w:r>
      <w:proofErr w:type="spellEnd"/>
      <w:r>
        <w:t>. Ilość materiału zużyta w czasie prac, określona przez średnie zużycie na metr kwadratowy, nie może się różnić od ilości ustalonej, więcej niż o 20%.</w:t>
      </w:r>
    </w:p>
    <w:p w:rsidR="00ED0C0A" w:rsidRDefault="00ED0C0A" w:rsidP="00ED0C0A">
      <w:pPr>
        <w:numPr>
          <w:ilvl w:val="12"/>
          <w:numId w:val="0"/>
        </w:numPr>
        <w:rPr>
          <w:strike/>
        </w:rPr>
      </w:pPr>
      <w:r>
        <w:tab/>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t>uszorstniającym</w:t>
      </w:r>
      <w:proofErr w:type="spellEnd"/>
      <w:r>
        <w:t xml:space="preserve">.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t>
      </w:r>
      <w:proofErr w:type="spellStart"/>
      <w:r>
        <w:t>waterblasting</w:t>
      </w:r>
      <w:proofErr w:type="spellEnd"/>
      <w:r>
        <w:t xml:space="preserve">, aby zlikwidować pozostałości mleczka cementowego i </w:t>
      </w:r>
      <w:proofErr w:type="spellStart"/>
      <w:r>
        <w:t>uszorstnić</w:t>
      </w:r>
      <w:proofErr w:type="spellEnd"/>
      <w:r>
        <w:t xml:space="preserve"> powierzchnię. Po usunięciu warstwy powierzchniowej betonu, należy powierzchnię znakowaną umyć wodą pod ciśnieniem oraz zagruntować środkiem wskazanym przez producenta masy (podkład, grunt, </w:t>
      </w:r>
      <w:proofErr w:type="spellStart"/>
      <w:r>
        <w:t>primer</w:t>
      </w:r>
      <w:proofErr w:type="spellEnd"/>
      <w:r>
        <w:t>) w ilości przez niego podanej.</w:t>
      </w:r>
    </w:p>
    <w:p w:rsidR="00ED0C0A" w:rsidRDefault="00ED0C0A" w:rsidP="00ED0C0A">
      <w:pPr>
        <w:numPr>
          <w:ilvl w:val="12"/>
          <w:numId w:val="0"/>
        </w:numPr>
        <w:spacing w:before="120"/>
      </w:pPr>
      <w:r>
        <w:rPr>
          <w:b/>
        </w:rPr>
        <w:t xml:space="preserve">5.6.4. </w:t>
      </w:r>
      <w:r>
        <w:t>Wykonanie oznakowania drogi punktowymi elementami odblaskowymi</w:t>
      </w:r>
    </w:p>
    <w:p w:rsidR="00ED0C0A" w:rsidRDefault="00ED0C0A" w:rsidP="00ED0C0A">
      <w:pPr>
        <w:numPr>
          <w:ilvl w:val="12"/>
          <w:numId w:val="0"/>
        </w:numPr>
        <w:spacing w:before="120"/>
      </w:pPr>
      <w:r>
        <w:tab/>
        <w:t>Wykonanie oznakowania powinno być zgodne z zaleceniami producenta materiałów, a w przypadku ich braku lub niepełnych danych - zgodne z poniższymi wskazaniami.</w:t>
      </w:r>
    </w:p>
    <w:p w:rsidR="00ED0C0A" w:rsidRDefault="00ED0C0A" w:rsidP="00ED0C0A">
      <w:pPr>
        <w:numPr>
          <w:ilvl w:val="12"/>
          <w:numId w:val="0"/>
        </w:numPr>
      </w:pPr>
      <w:r>
        <w:tab/>
        <w:t>Przy wykonywaniu oznakowania punktowymi elementami odblaskowymi należy zwracać szczególną uwagę na staranne mocowanie elementów do podłoża, od czego zależy trwałość wykonanego oznakowania.</w:t>
      </w:r>
    </w:p>
    <w:p w:rsidR="00ED0C0A" w:rsidRDefault="00ED0C0A" w:rsidP="00ED0C0A">
      <w:pPr>
        <w:numPr>
          <w:ilvl w:val="12"/>
          <w:numId w:val="0"/>
        </w:numPr>
      </w:pPr>
      <w:r>
        <w:tab/>
        <w:t>Nie wolno zmieniać ustalonego przez producenta rodzaju kleju z uwagi na możliwość uzyskania różnej jego przyczepności do nawierzchni i do materiałów, z których wykonano punktowe elementy odblaskowe.</w:t>
      </w:r>
    </w:p>
    <w:p w:rsidR="00ED0C0A" w:rsidRDefault="00ED0C0A" w:rsidP="00ED0C0A">
      <w:pPr>
        <w:numPr>
          <w:ilvl w:val="12"/>
          <w:numId w:val="0"/>
        </w:numPr>
      </w:pPr>
      <w:r>
        <w:tab/>
        <w:t>W przypadku znakowania nawierzchni betonowych należy zastosować podkład (</w:t>
      </w:r>
      <w:proofErr w:type="spellStart"/>
      <w:r>
        <w:t>primer</w:t>
      </w:r>
      <w:proofErr w:type="spellEnd"/>
      <w:r>
        <w:t>) poprawiający przyczepność przyklejanych punktowych elementów odblaskowych do nawierzchni.</w:t>
      </w:r>
    </w:p>
    <w:p w:rsidR="00ED0C0A" w:rsidRDefault="00ED0C0A" w:rsidP="00ED0C0A">
      <w:pPr>
        <w:numPr>
          <w:ilvl w:val="12"/>
          <w:numId w:val="0"/>
        </w:numPr>
        <w:spacing w:before="120" w:after="120"/>
      </w:pPr>
      <w:r>
        <w:rPr>
          <w:b/>
          <w:bCs/>
        </w:rPr>
        <w:t>5.6.5.</w:t>
      </w:r>
      <w:r>
        <w:t xml:space="preserve"> Wykonanie oznakowania tymczasowego</w:t>
      </w:r>
    </w:p>
    <w:p w:rsidR="00ED0C0A" w:rsidRDefault="00ED0C0A" w:rsidP="00ED0C0A">
      <w:pPr>
        <w:pStyle w:val="Tekstpodstawowywcity"/>
      </w:pPr>
      <w:r>
        <w:t xml:space="preserve">Do wykonywania oznakowania tymczasowego barwy żółtej należy stosować materiały łatwe do usunięcia po zakończeniu okresu tymczasowości. Linie wyznaczające pasy </w:t>
      </w:r>
      <w:r>
        <w:lastRenderedPageBreak/>
        <w:t xml:space="preserve">ruchu zaleca się uzupełnić punktowymi elementami odblaskowymi z odbłyśnikami także barwy żółtej. </w:t>
      </w:r>
    </w:p>
    <w:p w:rsidR="00ED0C0A" w:rsidRDefault="00ED0C0A" w:rsidP="00ED0C0A">
      <w:pPr>
        <w:ind w:firstLine="709"/>
        <w:rPr>
          <w:szCs w:val="22"/>
        </w:rPr>
      </w:pPr>
      <w:r>
        <w:rPr>
          <w:szCs w:val="22"/>
        </w:rP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rsidR="00ED0C0A" w:rsidRDefault="00ED0C0A" w:rsidP="00ED0C0A">
      <w:pPr>
        <w:ind w:firstLine="709"/>
      </w:pPr>
      <w:r>
        <w:rPr>
          <w:szCs w:val="22"/>
        </w:rPr>
        <w:t xml:space="preserve">Materiały stosowane do </w:t>
      </w:r>
      <w:r>
        <w:t>wykonywania oznakowania tymczasowego powinny także posiadać aprobaty techniczne, a producent powinien wystawiać deklarację zgodności.</w:t>
      </w:r>
    </w:p>
    <w:p w:rsidR="00ED0C0A" w:rsidRDefault="00ED0C0A" w:rsidP="00ED0C0A">
      <w:pPr>
        <w:pStyle w:val="Nagwek2"/>
        <w:numPr>
          <w:ilvl w:val="12"/>
          <w:numId w:val="0"/>
        </w:numPr>
      </w:pPr>
      <w:r>
        <w:t>5.7. Usuwanie oznakowania poziomego</w:t>
      </w:r>
    </w:p>
    <w:p w:rsidR="00ED0C0A" w:rsidRDefault="00ED0C0A" w:rsidP="00ED0C0A">
      <w:pPr>
        <w:numPr>
          <w:ilvl w:val="12"/>
          <w:numId w:val="0"/>
        </w:numPr>
      </w:pPr>
      <w:r>
        <w:tab/>
        <w:t>W przypadku konieczności usunięcia istniejącego oznakowania poziomego, czynność tę należy wykonać jak najmniej uszkadzając nawierzchnię.</w:t>
      </w:r>
    </w:p>
    <w:p w:rsidR="00ED0C0A" w:rsidRDefault="00ED0C0A" w:rsidP="00ED0C0A">
      <w:pPr>
        <w:numPr>
          <w:ilvl w:val="12"/>
          <w:numId w:val="0"/>
        </w:numPr>
      </w:pPr>
      <w:r>
        <w:tab/>
        <w:t>Zaleca się wykonywać usuwanie oznakowania:</w:t>
      </w:r>
    </w:p>
    <w:p w:rsidR="00ED0C0A" w:rsidRDefault="00ED0C0A" w:rsidP="00ED0C0A">
      <w:pPr>
        <w:numPr>
          <w:ilvl w:val="0"/>
          <w:numId w:val="1"/>
        </w:numPr>
        <w:overflowPunct w:val="0"/>
        <w:autoSpaceDE w:val="0"/>
        <w:autoSpaceDN w:val="0"/>
        <w:adjustRightInd w:val="0"/>
        <w:jc w:val="both"/>
        <w:textAlignment w:val="baseline"/>
      </w:pPr>
      <w:r>
        <w:t>cienkowarstwowego, metodą: frezowania mechanicznego lub wodą pod wysokim ciśnieniem (</w:t>
      </w:r>
      <w:proofErr w:type="spellStart"/>
      <w:r>
        <w:t>waterblasting</w:t>
      </w:r>
      <w:proofErr w:type="spellEnd"/>
      <w:r>
        <w:t>), piaskowania, śrutowania, trawienia, wypalania lub zamalowania,</w:t>
      </w:r>
    </w:p>
    <w:p w:rsidR="00ED0C0A" w:rsidRDefault="00ED0C0A" w:rsidP="00ED0C0A">
      <w:pPr>
        <w:numPr>
          <w:ilvl w:val="0"/>
          <w:numId w:val="1"/>
        </w:numPr>
        <w:overflowPunct w:val="0"/>
        <w:autoSpaceDE w:val="0"/>
        <w:autoSpaceDN w:val="0"/>
        <w:adjustRightInd w:val="0"/>
        <w:jc w:val="both"/>
        <w:textAlignment w:val="baseline"/>
      </w:pPr>
      <w:r>
        <w:t>grubowarstwowego, metodą piaskowania, kulkowania, frezowania,</w:t>
      </w:r>
    </w:p>
    <w:p w:rsidR="00ED0C0A" w:rsidRDefault="00ED0C0A" w:rsidP="00ED0C0A">
      <w:pPr>
        <w:numPr>
          <w:ilvl w:val="0"/>
          <w:numId w:val="1"/>
        </w:numPr>
        <w:overflowPunct w:val="0"/>
        <w:autoSpaceDE w:val="0"/>
        <w:autoSpaceDN w:val="0"/>
        <w:adjustRightInd w:val="0"/>
        <w:jc w:val="both"/>
        <w:textAlignment w:val="baseline"/>
      </w:pPr>
      <w:r>
        <w:t>punktowego, prostymi narzędziami mechanicznymi.</w:t>
      </w:r>
    </w:p>
    <w:p w:rsidR="00ED0C0A" w:rsidRDefault="00ED0C0A" w:rsidP="00ED0C0A">
      <w:pPr>
        <w:numPr>
          <w:ilvl w:val="12"/>
          <w:numId w:val="0"/>
        </w:numPr>
      </w:pPr>
      <w:r>
        <w:tab/>
        <w:t>Środki zastosowane do usunięcia oznakowania nie mogą wpływać ujemnie na przyczepność nowego oznakowania do podłoża, na jego szorstkość, trwałość oraz na właściwości podłoża.</w:t>
      </w:r>
    </w:p>
    <w:p w:rsidR="00ED0C0A" w:rsidRDefault="00ED0C0A" w:rsidP="00ED0C0A">
      <w:pPr>
        <w:numPr>
          <w:ilvl w:val="12"/>
          <w:numId w:val="0"/>
        </w:numPr>
      </w:pPr>
      <w:r>
        <w:tab/>
        <w:t>Usuwanie oznakowania na czas robót drogowych może być wykonane przez zamalowanie nietrwałą farbą barwy czarnej.</w:t>
      </w:r>
    </w:p>
    <w:p w:rsidR="00ED0C0A" w:rsidRDefault="00ED0C0A" w:rsidP="00ED0C0A">
      <w:pPr>
        <w:numPr>
          <w:ilvl w:val="12"/>
          <w:numId w:val="0"/>
        </w:numPr>
      </w:pPr>
      <w:r>
        <w:tab/>
        <w:t>Materiały pozostałe po usunięciu oznakowania należy usunąć z drogi tak, aby nie zanieczyszczały środowiska, w miejsce zaakceptowane przez Inżyniera.</w:t>
      </w:r>
    </w:p>
    <w:p w:rsidR="00ED0C0A" w:rsidRDefault="00ED0C0A" w:rsidP="00ED0C0A">
      <w:pPr>
        <w:pStyle w:val="Nagwek2"/>
        <w:numPr>
          <w:ilvl w:val="12"/>
          <w:numId w:val="0"/>
        </w:numPr>
      </w:pPr>
      <w:r>
        <w:t>5.8. Odnowa oznakowania poziomego</w:t>
      </w:r>
    </w:p>
    <w:p w:rsidR="00ED0C0A" w:rsidRDefault="00ED0C0A" w:rsidP="00ED0C0A">
      <w:pPr>
        <w:numPr>
          <w:ilvl w:val="12"/>
          <w:numId w:val="0"/>
        </w:numPr>
        <w:spacing w:after="120"/>
      </w:pPr>
      <w:r>
        <w:tab/>
        <w:t>Odnawianie oznakowania poziomego, wykonywanego w przypadku utraty wymagań jednej z właściwości, należy wykonać materiałem o sprawdzonej dobrej przyczepności do starej warstwy.</w:t>
      </w:r>
    </w:p>
    <w:p w:rsidR="00ED0C0A" w:rsidRDefault="00ED0C0A" w:rsidP="00ED0C0A">
      <w:pPr>
        <w:numPr>
          <w:ilvl w:val="12"/>
          <w:numId w:val="0"/>
        </w:numPr>
      </w:pPr>
      <w:r>
        <w:tab/>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w:t>
      </w:r>
      <w:proofErr w:type="spellStart"/>
      <w:r>
        <w:t>sprayplast</w:t>
      </w:r>
      <w:proofErr w:type="spellEnd"/>
      <w:r>
        <w:t>) lub odpowiednimi akrylowymi farbami rozpuszczalnikowymi.</w:t>
      </w:r>
    </w:p>
    <w:p w:rsidR="00ED0C0A" w:rsidRDefault="00ED0C0A" w:rsidP="00ED0C0A">
      <w:pPr>
        <w:numPr>
          <w:ilvl w:val="12"/>
          <w:numId w:val="0"/>
        </w:numPr>
        <w:spacing w:after="120"/>
      </w:pPr>
      <w:r>
        <w:tab/>
        <w:t>Ilość stosowanego do odnowienia materiału, należy dobrać w zależności od rodzaju i stanu oznakowania odnawianego, kierując się wskazówkami producenta materiału i zaleceniami Inżyniera.</w:t>
      </w:r>
    </w:p>
    <w:p w:rsidR="00ED0C0A" w:rsidRDefault="00ED0C0A" w:rsidP="00ED0C0A">
      <w:pPr>
        <w:pStyle w:val="Nagwek1"/>
        <w:numPr>
          <w:ilvl w:val="12"/>
          <w:numId w:val="0"/>
        </w:numPr>
      </w:pPr>
      <w:r>
        <w:t>6. kontrola jakości robót</w:t>
      </w:r>
    </w:p>
    <w:p w:rsidR="00ED0C0A" w:rsidRDefault="00ED0C0A" w:rsidP="00ED0C0A">
      <w:pPr>
        <w:pStyle w:val="Nagwek2"/>
        <w:numPr>
          <w:ilvl w:val="12"/>
          <w:numId w:val="0"/>
        </w:numPr>
      </w:pPr>
      <w:r>
        <w:t>6.1. Ogólne zasady kontroli jakości robót</w:t>
      </w:r>
    </w:p>
    <w:p w:rsidR="00ED0C0A" w:rsidRDefault="00ED0C0A" w:rsidP="00ED0C0A">
      <w:pPr>
        <w:numPr>
          <w:ilvl w:val="12"/>
          <w:numId w:val="0"/>
        </w:numPr>
      </w:pPr>
      <w:r>
        <w:tab/>
        <w:t>Ogólne zasady kontroli jakości robót podano w SST D-00.00.00 „Wymagania ogólne” pkt 6.</w:t>
      </w:r>
    </w:p>
    <w:p w:rsidR="00ED0C0A" w:rsidRDefault="00ED0C0A" w:rsidP="00ED0C0A">
      <w:pPr>
        <w:pStyle w:val="Nagwek2"/>
        <w:numPr>
          <w:ilvl w:val="12"/>
          <w:numId w:val="0"/>
        </w:numPr>
      </w:pPr>
      <w:r>
        <w:t xml:space="preserve">6.2. Badanie przygotowania podłoża i </w:t>
      </w:r>
      <w:proofErr w:type="spellStart"/>
      <w:r>
        <w:t>przedznakowania</w:t>
      </w:r>
      <w:proofErr w:type="spellEnd"/>
    </w:p>
    <w:p w:rsidR="00ED0C0A" w:rsidRDefault="00ED0C0A" w:rsidP="00ED0C0A">
      <w:pPr>
        <w:numPr>
          <w:ilvl w:val="12"/>
          <w:numId w:val="0"/>
        </w:numPr>
      </w:pPr>
      <w:r>
        <w:tab/>
        <w:t>Powierzchnia jezdni przed wykonaniem znakowania poziomego musi być całkowicie czysta i sucha.</w:t>
      </w:r>
    </w:p>
    <w:p w:rsidR="00ED0C0A" w:rsidRDefault="00ED0C0A" w:rsidP="00ED0C0A">
      <w:pPr>
        <w:numPr>
          <w:ilvl w:val="12"/>
          <w:numId w:val="0"/>
        </w:numPr>
      </w:pPr>
      <w:r>
        <w:tab/>
      </w:r>
      <w:proofErr w:type="spellStart"/>
      <w:r>
        <w:t>Przedznakowanie</w:t>
      </w:r>
      <w:proofErr w:type="spellEnd"/>
      <w:r>
        <w:t xml:space="preserve"> powinno być wykonane zgodnie z wymaganiami punktu 5.5.</w:t>
      </w:r>
    </w:p>
    <w:p w:rsidR="00ED0C0A" w:rsidRDefault="00ED0C0A" w:rsidP="00ED0C0A">
      <w:pPr>
        <w:pStyle w:val="Nagwek2"/>
        <w:numPr>
          <w:ilvl w:val="12"/>
          <w:numId w:val="0"/>
        </w:numPr>
      </w:pPr>
      <w:r>
        <w:t>6.3. Badania wykonania oznakowania poziomego</w:t>
      </w:r>
    </w:p>
    <w:p w:rsidR="00ED0C0A" w:rsidRDefault="00ED0C0A" w:rsidP="00ED0C0A">
      <w:pPr>
        <w:keepNext/>
        <w:numPr>
          <w:ilvl w:val="12"/>
          <w:numId w:val="0"/>
        </w:numPr>
      </w:pPr>
      <w:r>
        <w:rPr>
          <w:b/>
        </w:rPr>
        <w:t xml:space="preserve">6.3.1. </w:t>
      </w:r>
      <w:r>
        <w:t>Wymagania wobec oznakowania poziomego</w:t>
      </w:r>
    </w:p>
    <w:p w:rsidR="00ED0C0A" w:rsidRDefault="00ED0C0A" w:rsidP="00ED0C0A">
      <w:pPr>
        <w:pStyle w:val="Stopka"/>
        <w:numPr>
          <w:ilvl w:val="12"/>
          <w:numId w:val="0"/>
        </w:numPr>
        <w:tabs>
          <w:tab w:val="clear" w:pos="4536"/>
          <w:tab w:val="clear" w:pos="9072"/>
        </w:tabs>
        <w:spacing w:before="60" w:after="60"/>
        <w:rPr>
          <w:b/>
        </w:rPr>
      </w:pPr>
      <w:r>
        <w:t>6.3.1.1. Zasady</w:t>
      </w:r>
    </w:p>
    <w:p w:rsidR="00ED0C0A" w:rsidRDefault="00ED0C0A" w:rsidP="00ED0C0A">
      <w:pPr>
        <w:numPr>
          <w:ilvl w:val="12"/>
          <w:numId w:val="0"/>
        </w:numPr>
        <w:ind w:firstLine="709"/>
        <w:rPr>
          <w:spacing w:val="-3"/>
        </w:rPr>
      </w:pPr>
      <w:r>
        <w:rPr>
          <w:spacing w:val="-3"/>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rsidR="00ED0C0A" w:rsidRDefault="00ED0C0A" w:rsidP="00ED0C0A">
      <w:pPr>
        <w:numPr>
          <w:ilvl w:val="12"/>
          <w:numId w:val="0"/>
        </w:numPr>
        <w:ind w:firstLine="709"/>
        <w:rPr>
          <w:spacing w:val="-3"/>
        </w:rPr>
      </w:pPr>
      <w:r>
        <w:rPr>
          <w:spacing w:val="-3"/>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rsidR="00ED0C0A" w:rsidRDefault="00ED0C0A" w:rsidP="00ED0C0A">
      <w:pPr>
        <w:numPr>
          <w:ilvl w:val="12"/>
          <w:numId w:val="0"/>
        </w:numPr>
        <w:ind w:firstLine="709"/>
        <w:rPr>
          <w:spacing w:val="-3"/>
        </w:rPr>
      </w:pPr>
      <w:r>
        <w:rPr>
          <w:spacing w:val="-3"/>
        </w:rPr>
        <w:t xml:space="preserve">Barwa żółta dotyczy tylko </w:t>
      </w:r>
      <w:proofErr w:type="spellStart"/>
      <w:r>
        <w:rPr>
          <w:spacing w:val="-3"/>
        </w:rPr>
        <w:t>oznakowań</w:t>
      </w:r>
      <w:proofErr w:type="spellEnd"/>
      <w:r>
        <w:rPr>
          <w:spacing w:val="-3"/>
        </w:rPr>
        <w:t xml:space="preserve"> tymczasowych, które także powinny być kontrolowane. Inne barwy </w:t>
      </w:r>
      <w:proofErr w:type="spellStart"/>
      <w:r>
        <w:rPr>
          <w:spacing w:val="-3"/>
        </w:rPr>
        <w:t>oznakowań</w:t>
      </w:r>
      <w:proofErr w:type="spellEnd"/>
      <w:r>
        <w:rPr>
          <w:spacing w:val="-3"/>
        </w:rPr>
        <w:t xml:space="preserve"> niż biała i żółta należy stosować zgodnie z zaleceniami zawartymi w załączniku nr 2 do rozporządzenia [7].</w:t>
      </w:r>
    </w:p>
    <w:p w:rsidR="00ED0C0A" w:rsidRDefault="00ED0C0A" w:rsidP="00ED0C0A">
      <w:pPr>
        <w:numPr>
          <w:ilvl w:val="12"/>
          <w:numId w:val="0"/>
        </w:numPr>
        <w:spacing w:before="120"/>
      </w:pPr>
      <w:r>
        <w:lastRenderedPageBreak/>
        <w:t>6.3.1.2. Widzialność w dzień</w:t>
      </w:r>
    </w:p>
    <w:p w:rsidR="00ED0C0A" w:rsidRDefault="00ED0C0A" w:rsidP="00ED0C0A">
      <w:pPr>
        <w:numPr>
          <w:ilvl w:val="12"/>
          <w:numId w:val="0"/>
        </w:numPr>
        <w:spacing w:before="120"/>
      </w:pPr>
      <w:r>
        <w:tab/>
        <w:t xml:space="preserve">Widzialność oznakowania w dzień jest określona współczynnikiem luminancji </w:t>
      </w:r>
      <w:r>
        <w:sym w:font="Symbol" w:char="F062"/>
      </w:r>
      <w:r>
        <w:t xml:space="preserve"> i barwą oznakowania wyrażoną współrzędnymi chromatyczności.</w:t>
      </w:r>
    </w:p>
    <w:p w:rsidR="00ED0C0A" w:rsidRDefault="00ED0C0A" w:rsidP="00ED0C0A">
      <w:pPr>
        <w:numPr>
          <w:ilvl w:val="12"/>
          <w:numId w:val="0"/>
        </w:numPr>
        <w:ind w:firstLine="709"/>
      </w:pPr>
      <w:r>
        <w:t xml:space="preserve">Wartość współczynnika </w:t>
      </w:r>
      <w:r>
        <w:sym w:font="Symbol" w:char="F062"/>
      </w:r>
      <w:r>
        <w:t xml:space="preserve"> powinna wynosić dla oznakowania nowego </w:t>
      </w:r>
      <w:r>
        <w:rPr>
          <w:spacing w:val="-3"/>
        </w:rPr>
        <w:t>w terminie od 14 do 30 dnia po wykonaniu</w:t>
      </w:r>
      <w:r>
        <w:t>, barwy:</w:t>
      </w:r>
    </w:p>
    <w:p w:rsidR="00ED0C0A" w:rsidRDefault="00ED0C0A" w:rsidP="00ED0C0A">
      <w:pPr>
        <w:numPr>
          <w:ilvl w:val="0"/>
          <w:numId w:val="1"/>
        </w:numPr>
        <w:overflowPunct w:val="0"/>
        <w:autoSpaceDE w:val="0"/>
        <w:autoSpaceDN w:val="0"/>
        <w:adjustRightInd w:val="0"/>
        <w:jc w:val="both"/>
        <w:textAlignment w:val="baseline"/>
      </w:pPr>
      <w:r>
        <w:t>białej, na nawierzchni asfaltowej , co najmniej 0,40, klasa B3,</w:t>
      </w:r>
    </w:p>
    <w:p w:rsidR="00ED0C0A" w:rsidRDefault="00ED0C0A" w:rsidP="00ED0C0A">
      <w:pPr>
        <w:numPr>
          <w:ilvl w:val="0"/>
          <w:numId w:val="1"/>
        </w:numPr>
        <w:overflowPunct w:val="0"/>
        <w:autoSpaceDE w:val="0"/>
        <w:autoSpaceDN w:val="0"/>
        <w:adjustRightInd w:val="0"/>
        <w:jc w:val="both"/>
        <w:textAlignment w:val="baseline"/>
      </w:pPr>
      <w:r>
        <w:t>białej, na nawierzchni betonowej, co najmniej 0,50, klasa B4,</w:t>
      </w:r>
    </w:p>
    <w:p w:rsidR="00ED0C0A" w:rsidRDefault="00ED0C0A" w:rsidP="00ED0C0A">
      <w:pPr>
        <w:numPr>
          <w:ilvl w:val="0"/>
          <w:numId w:val="1"/>
        </w:numPr>
        <w:overflowPunct w:val="0"/>
        <w:autoSpaceDE w:val="0"/>
        <w:autoSpaceDN w:val="0"/>
        <w:adjustRightInd w:val="0"/>
        <w:jc w:val="both"/>
        <w:textAlignment w:val="baseline"/>
      </w:pPr>
      <w:r>
        <w:t>żółtej, co najmniej 0,30, klasa B2.</w:t>
      </w:r>
    </w:p>
    <w:p w:rsidR="00ED0C0A" w:rsidRDefault="00ED0C0A" w:rsidP="00ED0C0A">
      <w:pPr>
        <w:numPr>
          <w:ilvl w:val="12"/>
          <w:numId w:val="0"/>
        </w:numPr>
      </w:pPr>
      <w:r>
        <w:tab/>
        <w:t xml:space="preserve">Wartość współczynnika </w:t>
      </w:r>
      <w:r>
        <w:sym w:font="Symbol" w:char="F062"/>
      </w:r>
      <w:r>
        <w:t xml:space="preserve"> powinna wynosić po 30 dniu od wykonania dla całego okresu użytkowania oznakowania, barwy:</w:t>
      </w:r>
    </w:p>
    <w:p w:rsidR="00ED0C0A" w:rsidRDefault="00ED0C0A" w:rsidP="00ED0C0A">
      <w:pPr>
        <w:numPr>
          <w:ilvl w:val="0"/>
          <w:numId w:val="1"/>
        </w:numPr>
        <w:overflowPunct w:val="0"/>
        <w:autoSpaceDE w:val="0"/>
        <w:autoSpaceDN w:val="0"/>
        <w:adjustRightInd w:val="0"/>
        <w:jc w:val="both"/>
        <w:textAlignment w:val="baseline"/>
      </w:pPr>
      <w:r>
        <w:t>białej, na nawierzchni asfaltowej , co najmniej 0,30, klasa B2,</w:t>
      </w:r>
    </w:p>
    <w:p w:rsidR="00ED0C0A" w:rsidRDefault="00ED0C0A" w:rsidP="00ED0C0A">
      <w:pPr>
        <w:numPr>
          <w:ilvl w:val="0"/>
          <w:numId w:val="1"/>
        </w:numPr>
        <w:overflowPunct w:val="0"/>
        <w:autoSpaceDE w:val="0"/>
        <w:autoSpaceDN w:val="0"/>
        <w:adjustRightInd w:val="0"/>
        <w:jc w:val="both"/>
        <w:textAlignment w:val="baseline"/>
      </w:pPr>
      <w:r>
        <w:t>białej, na nawierzchni betonowej, co najmniej 0,40, klasa B3,</w:t>
      </w:r>
    </w:p>
    <w:p w:rsidR="00ED0C0A" w:rsidRDefault="00ED0C0A" w:rsidP="00ED0C0A">
      <w:pPr>
        <w:numPr>
          <w:ilvl w:val="0"/>
          <w:numId w:val="1"/>
        </w:numPr>
        <w:overflowPunct w:val="0"/>
        <w:autoSpaceDE w:val="0"/>
        <w:autoSpaceDN w:val="0"/>
        <w:adjustRightInd w:val="0"/>
        <w:jc w:val="both"/>
        <w:textAlignment w:val="baseline"/>
      </w:pPr>
      <w:r>
        <w:t xml:space="preserve">żółtej, co najmniej 0,20 klasa B1. </w:t>
      </w:r>
    </w:p>
    <w:p w:rsidR="00ED0C0A" w:rsidRDefault="00ED0C0A" w:rsidP="00ED0C0A">
      <w:pPr>
        <w:numPr>
          <w:ilvl w:val="12"/>
          <w:numId w:val="0"/>
        </w:numPr>
      </w:pPr>
      <w:r>
        <w:tab/>
        <w:t>Barwa oznakowania powinna być określona wg PN-EN 1436:2000 [4] przez współrzędne chromatyczności x i y, które dla suchego oznakowania powinny leżeć w obszarze zdefiniowanym przez cztery punkty narożne podane w tablicy 1 i na wykresach (rys. 1, 2 i 3).</w:t>
      </w:r>
    </w:p>
    <w:p w:rsidR="00ED0C0A" w:rsidRDefault="00ED0C0A" w:rsidP="00ED0C0A">
      <w:pPr>
        <w:numPr>
          <w:ilvl w:val="12"/>
          <w:numId w:val="0"/>
        </w:numPr>
      </w:pPr>
    </w:p>
    <w:p w:rsidR="00ED0C0A" w:rsidRDefault="00ED0C0A" w:rsidP="00ED0C0A">
      <w:pPr>
        <w:numPr>
          <w:ilvl w:val="12"/>
          <w:numId w:val="0"/>
        </w:numPr>
      </w:pPr>
    </w:p>
    <w:p w:rsidR="008028C9" w:rsidRDefault="008028C9" w:rsidP="00ED0C0A">
      <w:pPr>
        <w:spacing w:before="120" w:after="120"/>
      </w:pPr>
    </w:p>
    <w:p w:rsidR="008028C9" w:rsidRDefault="008028C9" w:rsidP="00ED0C0A">
      <w:pPr>
        <w:spacing w:before="120" w:after="120"/>
      </w:pPr>
    </w:p>
    <w:p w:rsidR="008028C9" w:rsidRDefault="008028C9" w:rsidP="00ED0C0A">
      <w:pPr>
        <w:spacing w:before="120" w:after="120"/>
      </w:pPr>
    </w:p>
    <w:p w:rsidR="008028C9" w:rsidRDefault="008028C9" w:rsidP="00ED0C0A">
      <w:pPr>
        <w:spacing w:before="120" w:after="120"/>
      </w:pPr>
    </w:p>
    <w:p w:rsidR="00ED0C0A" w:rsidRDefault="00ED0C0A" w:rsidP="00ED0C0A">
      <w:pPr>
        <w:spacing w:before="120" w:after="120"/>
      </w:pPr>
      <w:r>
        <w:t xml:space="preserve">Tablica 1. Punkty narożne obszarów chromatyczności </w:t>
      </w:r>
      <w:proofErr w:type="spellStart"/>
      <w:r>
        <w:t>oznakowań</w:t>
      </w:r>
      <w:proofErr w:type="spellEnd"/>
      <w:r>
        <w:t xml:space="preserve"> dróg</w:t>
      </w:r>
    </w:p>
    <w:tbl>
      <w:tblPr>
        <w:tblW w:w="7468" w:type="dxa"/>
        <w:jc w:val="center"/>
        <w:tblLayout w:type="fixed"/>
        <w:tblCellMar>
          <w:left w:w="157" w:type="dxa"/>
          <w:right w:w="157" w:type="dxa"/>
        </w:tblCellMar>
        <w:tblLook w:val="0000" w:firstRow="0" w:lastRow="0" w:firstColumn="0" w:lastColumn="0" w:noHBand="0" w:noVBand="0"/>
      </w:tblPr>
      <w:tblGrid>
        <w:gridCol w:w="2601"/>
        <w:gridCol w:w="425"/>
        <w:gridCol w:w="1110"/>
        <w:gridCol w:w="1111"/>
        <w:gridCol w:w="1110"/>
        <w:gridCol w:w="1111"/>
      </w:tblGrid>
      <w:tr w:rsidR="00ED0C0A" w:rsidTr="00ED0C0A">
        <w:trPr>
          <w:trHeight w:val="398"/>
          <w:jc w:val="center"/>
        </w:trPr>
        <w:tc>
          <w:tcPr>
            <w:tcW w:w="3026" w:type="dxa"/>
            <w:gridSpan w:val="2"/>
            <w:tcBorders>
              <w:top w:val="single" w:sz="6" w:space="0" w:color="auto"/>
              <w:left w:val="single" w:sz="6" w:space="0" w:color="auto"/>
              <w:bottom w:val="double" w:sz="4" w:space="0" w:color="auto"/>
              <w:right w:val="nil"/>
            </w:tcBorders>
          </w:tcPr>
          <w:p w:rsidR="00ED0C0A" w:rsidRDefault="00ED0C0A" w:rsidP="00ED0C0A">
            <w:pPr>
              <w:tabs>
                <w:tab w:val="left" w:pos="-720"/>
              </w:tabs>
              <w:suppressAutoHyphens/>
              <w:spacing w:before="120" w:after="120"/>
              <w:rPr>
                <w:bCs/>
                <w:spacing w:val="-3"/>
                <w:sz w:val="24"/>
              </w:rPr>
            </w:pPr>
            <w:r>
              <w:rPr>
                <w:bCs/>
                <w:spacing w:val="-3"/>
              </w:rPr>
              <w:t>Punkt narożny nr</w:t>
            </w:r>
          </w:p>
        </w:tc>
        <w:tc>
          <w:tcPr>
            <w:tcW w:w="1110" w:type="dxa"/>
            <w:tcBorders>
              <w:top w:val="single" w:sz="6" w:space="0" w:color="auto"/>
              <w:left w:val="single" w:sz="6" w:space="0" w:color="auto"/>
              <w:bottom w:val="double" w:sz="4" w:space="0" w:color="auto"/>
              <w:right w:val="nil"/>
            </w:tcBorders>
          </w:tcPr>
          <w:p w:rsidR="00ED0C0A" w:rsidRDefault="00ED0C0A" w:rsidP="00ED0C0A">
            <w:pPr>
              <w:tabs>
                <w:tab w:val="left" w:pos="-720"/>
              </w:tabs>
              <w:suppressAutoHyphens/>
              <w:spacing w:before="120" w:after="120"/>
              <w:jc w:val="center"/>
              <w:rPr>
                <w:bCs/>
                <w:spacing w:val="-3"/>
                <w:sz w:val="24"/>
              </w:rPr>
            </w:pPr>
            <w:r>
              <w:rPr>
                <w:bCs/>
                <w:spacing w:val="-3"/>
              </w:rPr>
              <w:t>1</w:t>
            </w:r>
          </w:p>
        </w:tc>
        <w:tc>
          <w:tcPr>
            <w:tcW w:w="1111" w:type="dxa"/>
            <w:tcBorders>
              <w:top w:val="single" w:sz="6" w:space="0" w:color="auto"/>
              <w:left w:val="single" w:sz="6" w:space="0" w:color="auto"/>
              <w:bottom w:val="double" w:sz="4" w:space="0" w:color="auto"/>
              <w:right w:val="nil"/>
            </w:tcBorders>
          </w:tcPr>
          <w:p w:rsidR="00ED0C0A" w:rsidRDefault="00ED0C0A" w:rsidP="00ED0C0A">
            <w:pPr>
              <w:tabs>
                <w:tab w:val="left" w:pos="-720"/>
              </w:tabs>
              <w:suppressAutoHyphens/>
              <w:spacing w:before="120" w:after="120"/>
              <w:jc w:val="center"/>
              <w:rPr>
                <w:bCs/>
                <w:spacing w:val="-3"/>
                <w:sz w:val="24"/>
              </w:rPr>
            </w:pPr>
            <w:r>
              <w:rPr>
                <w:bCs/>
                <w:spacing w:val="-3"/>
              </w:rPr>
              <w:t>2</w:t>
            </w:r>
          </w:p>
        </w:tc>
        <w:tc>
          <w:tcPr>
            <w:tcW w:w="1110" w:type="dxa"/>
            <w:tcBorders>
              <w:top w:val="single" w:sz="6" w:space="0" w:color="auto"/>
              <w:left w:val="single" w:sz="6" w:space="0" w:color="auto"/>
              <w:bottom w:val="double" w:sz="4" w:space="0" w:color="auto"/>
              <w:right w:val="nil"/>
            </w:tcBorders>
          </w:tcPr>
          <w:p w:rsidR="00ED0C0A" w:rsidRDefault="00ED0C0A" w:rsidP="00ED0C0A">
            <w:pPr>
              <w:tabs>
                <w:tab w:val="left" w:pos="-720"/>
              </w:tabs>
              <w:suppressAutoHyphens/>
              <w:spacing w:before="120" w:after="120"/>
              <w:jc w:val="center"/>
              <w:rPr>
                <w:bCs/>
                <w:spacing w:val="-3"/>
                <w:sz w:val="24"/>
              </w:rPr>
            </w:pPr>
            <w:r>
              <w:rPr>
                <w:bCs/>
                <w:spacing w:val="-3"/>
              </w:rPr>
              <w:t>3</w:t>
            </w:r>
          </w:p>
        </w:tc>
        <w:tc>
          <w:tcPr>
            <w:tcW w:w="1111" w:type="dxa"/>
            <w:tcBorders>
              <w:top w:val="single" w:sz="6" w:space="0" w:color="auto"/>
              <w:left w:val="single" w:sz="6" w:space="0" w:color="auto"/>
              <w:bottom w:val="double" w:sz="4" w:space="0" w:color="auto"/>
              <w:right w:val="single" w:sz="6" w:space="0" w:color="auto"/>
            </w:tcBorders>
          </w:tcPr>
          <w:p w:rsidR="00ED0C0A" w:rsidRDefault="00ED0C0A" w:rsidP="00ED0C0A">
            <w:pPr>
              <w:tabs>
                <w:tab w:val="left" w:pos="-720"/>
              </w:tabs>
              <w:suppressAutoHyphens/>
              <w:spacing w:before="120" w:after="120"/>
              <w:jc w:val="center"/>
              <w:rPr>
                <w:bCs/>
                <w:spacing w:val="-3"/>
                <w:sz w:val="24"/>
              </w:rPr>
            </w:pPr>
            <w:r>
              <w:rPr>
                <w:bCs/>
                <w:spacing w:val="-3"/>
              </w:rPr>
              <w:t>4</w:t>
            </w:r>
          </w:p>
        </w:tc>
      </w:tr>
      <w:tr w:rsidR="00ED0C0A" w:rsidTr="00ED0C0A">
        <w:trPr>
          <w:jc w:val="center"/>
        </w:trPr>
        <w:tc>
          <w:tcPr>
            <w:tcW w:w="2601" w:type="dxa"/>
            <w:tcBorders>
              <w:top w:val="double" w:sz="4" w:space="0" w:color="auto"/>
              <w:left w:val="single" w:sz="6" w:space="0" w:color="auto"/>
              <w:bottom w:val="nil"/>
              <w:right w:val="nil"/>
            </w:tcBorders>
          </w:tcPr>
          <w:p w:rsidR="00ED0C0A" w:rsidRDefault="00ED0C0A" w:rsidP="00ED0C0A">
            <w:pPr>
              <w:pStyle w:val="Stopka"/>
              <w:tabs>
                <w:tab w:val="clear" w:pos="4536"/>
                <w:tab w:val="clear" w:pos="9072"/>
                <w:tab w:val="left" w:pos="-720"/>
              </w:tabs>
              <w:suppressAutoHyphens/>
              <w:spacing w:before="20" w:after="20"/>
              <w:rPr>
                <w:spacing w:val="-3"/>
                <w:sz w:val="24"/>
              </w:rPr>
            </w:pPr>
            <w:r>
              <w:rPr>
                <w:spacing w:val="-3"/>
              </w:rPr>
              <w:t>Oznakowanie białe</w:t>
            </w:r>
          </w:p>
        </w:tc>
        <w:tc>
          <w:tcPr>
            <w:tcW w:w="425" w:type="dxa"/>
            <w:tcBorders>
              <w:top w:val="double" w:sz="4"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x</w:t>
            </w:r>
          </w:p>
        </w:tc>
        <w:tc>
          <w:tcPr>
            <w:tcW w:w="1110" w:type="dxa"/>
            <w:tcBorders>
              <w:top w:val="double" w:sz="4"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0,355</w:t>
            </w:r>
          </w:p>
        </w:tc>
        <w:tc>
          <w:tcPr>
            <w:tcW w:w="1111" w:type="dxa"/>
            <w:tcBorders>
              <w:top w:val="double" w:sz="4"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0,305</w:t>
            </w:r>
          </w:p>
        </w:tc>
        <w:tc>
          <w:tcPr>
            <w:tcW w:w="1110" w:type="dxa"/>
            <w:tcBorders>
              <w:top w:val="double" w:sz="4"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0,285</w:t>
            </w:r>
          </w:p>
        </w:tc>
        <w:tc>
          <w:tcPr>
            <w:tcW w:w="1111" w:type="dxa"/>
            <w:tcBorders>
              <w:top w:val="double" w:sz="4" w:space="0" w:color="auto"/>
              <w:left w:val="single" w:sz="6" w:space="0" w:color="auto"/>
              <w:bottom w:val="nil"/>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0,335</w:t>
            </w:r>
          </w:p>
        </w:tc>
      </w:tr>
      <w:tr w:rsidR="00ED0C0A" w:rsidTr="00ED0C0A">
        <w:trPr>
          <w:jc w:val="center"/>
        </w:trPr>
        <w:tc>
          <w:tcPr>
            <w:tcW w:w="2601" w:type="dxa"/>
            <w:tcBorders>
              <w:top w:val="nil"/>
              <w:left w:val="single" w:sz="6" w:space="0" w:color="auto"/>
              <w:bottom w:val="nil"/>
              <w:right w:val="nil"/>
            </w:tcBorders>
          </w:tcPr>
          <w:p w:rsidR="00ED0C0A" w:rsidRDefault="00ED0C0A" w:rsidP="00ED0C0A">
            <w:pPr>
              <w:tabs>
                <w:tab w:val="left" w:pos="-720"/>
              </w:tabs>
              <w:suppressAutoHyphens/>
              <w:spacing w:before="20" w:after="20"/>
              <w:rPr>
                <w:spacing w:val="-3"/>
                <w:sz w:val="24"/>
              </w:rPr>
            </w:pPr>
          </w:p>
        </w:tc>
        <w:tc>
          <w:tcPr>
            <w:tcW w:w="425"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y</w:t>
            </w:r>
          </w:p>
        </w:tc>
        <w:tc>
          <w:tcPr>
            <w:tcW w:w="1110"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0,355</w:t>
            </w:r>
          </w:p>
        </w:tc>
        <w:tc>
          <w:tcPr>
            <w:tcW w:w="1111"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0,305</w:t>
            </w:r>
          </w:p>
        </w:tc>
        <w:tc>
          <w:tcPr>
            <w:tcW w:w="1110"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0,325</w:t>
            </w:r>
          </w:p>
        </w:tc>
        <w:tc>
          <w:tcPr>
            <w:tcW w:w="1111" w:type="dxa"/>
            <w:tcBorders>
              <w:top w:val="single" w:sz="6" w:space="0" w:color="auto"/>
              <w:left w:val="single" w:sz="6" w:space="0" w:color="auto"/>
              <w:bottom w:val="nil"/>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0,375</w:t>
            </w:r>
          </w:p>
        </w:tc>
      </w:tr>
      <w:tr w:rsidR="00ED0C0A" w:rsidTr="00ED0C0A">
        <w:trPr>
          <w:jc w:val="center"/>
        </w:trPr>
        <w:tc>
          <w:tcPr>
            <w:tcW w:w="2601"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rPr>
                <w:spacing w:val="-3"/>
                <w:sz w:val="24"/>
              </w:rPr>
            </w:pPr>
            <w:r>
              <w:rPr>
                <w:spacing w:val="-3"/>
              </w:rPr>
              <w:t>Oznakowanie żółte klasa Y1</w:t>
            </w:r>
          </w:p>
        </w:tc>
        <w:tc>
          <w:tcPr>
            <w:tcW w:w="425"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x</w:t>
            </w:r>
          </w:p>
        </w:tc>
        <w:tc>
          <w:tcPr>
            <w:tcW w:w="1110"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0,443</w:t>
            </w:r>
          </w:p>
        </w:tc>
        <w:tc>
          <w:tcPr>
            <w:tcW w:w="1111"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0,545</w:t>
            </w:r>
          </w:p>
        </w:tc>
        <w:tc>
          <w:tcPr>
            <w:tcW w:w="1110"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0,465</w:t>
            </w:r>
          </w:p>
        </w:tc>
        <w:tc>
          <w:tcPr>
            <w:tcW w:w="1111" w:type="dxa"/>
            <w:tcBorders>
              <w:top w:val="single" w:sz="6" w:space="0" w:color="auto"/>
              <w:left w:val="single" w:sz="6" w:space="0" w:color="auto"/>
              <w:bottom w:val="nil"/>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0,389</w:t>
            </w:r>
          </w:p>
        </w:tc>
      </w:tr>
      <w:tr w:rsidR="00ED0C0A" w:rsidTr="00ED0C0A">
        <w:trPr>
          <w:jc w:val="center"/>
        </w:trPr>
        <w:tc>
          <w:tcPr>
            <w:tcW w:w="2601" w:type="dxa"/>
            <w:tcBorders>
              <w:top w:val="nil"/>
              <w:left w:val="single" w:sz="6" w:space="0" w:color="auto"/>
              <w:bottom w:val="single" w:sz="6" w:space="0" w:color="auto"/>
              <w:right w:val="nil"/>
            </w:tcBorders>
          </w:tcPr>
          <w:p w:rsidR="00ED0C0A" w:rsidRDefault="00ED0C0A" w:rsidP="00ED0C0A">
            <w:pPr>
              <w:tabs>
                <w:tab w:val="left" w:pos="-720"/>
              </w:tabs>
              <w:suppressAutoHyphens/>
              <w:spacing w:before="20" w:after="20"/>
              <w:rPr>
                <w:spacing w:val="-3"/>
                <w:sz w:val="24"/>
              </w:rPr>
            </w:pPr>
          </w:p>
        </w:tc>
        <w:tc>
          <w:tcPr>
            <w:tcW w:w="425"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y</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0,399</w:t>
            </w:r>
          </w:p>
        </w:tc>
        <w:tc>
          <w:tcPr>
            <w:tcW w:w="1111"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0,455</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0,535</w:t>
            </w:r>
          </w:p>
        </w:tc>
        <w:tc>
          <w:tcPr>
            <w:tcW w:w="1111" w:type="dxa"/>
            <w:tcBorders>
              <w:top w:val="single" w:sz="6" w:space="0" w:color="auto"/>
              <w:left w:val="single" w:sz="6" w:space="0" w:color="auto"/>
              <w:bottom w:val="single" w:sz="6" w:space="0" w:color="auto"/>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0,431</w:t>
            </w:r>
          </w:p>
        </w:tc>
      </w:tr>
      <w:tr w:rsidR="00ED0C0A" w:rsidTr="00ED0C0A">
        <w:trPr>
          <w:jc w:val="center"/>
        </w:trPr>
        <w:tc>
          <w:tcPr>
            <w:tcW w:w="2601" w:type="dxa"/>
            <w:tcBorders>
              <w:top w:val="single" w:sz="6" w:space="0" w:color="auto"/>
              <w:left w:val="single" w:sz="6" w:space="0" w:color="auto"/>
              <w:right w:val="nil"/>
            </w:tcBorders>
          </w:tcPr>
          <w:p w:rsidR="00ED0C0A" w:rsidRDefault="00ED0C0A" w:rsidP="00ED0C0A">
            <w:pPr>
              <w:tabs>
                <w:tab w:val="left" w:pos="-720"/>
              </w:tabs>
              <w:suppressAutoHyphens/>
              <w:spacing w:before="20" w:after="20"/>
              <w:rPr>
                <w:spacing w:val="-3"/>
              </w:rPr>
            </w:pPr>
            <w:r>
              <w:rPr>
                <w:spacing w:val="-3"/>
              </w:rPr>
              <w:t>Oznakowanie żółte klasa Y2</w:t>
            </w:r>
          </w:p>
        </w:tc>
        <w:tc>
          <w:tcPr>
            <w:tcW w:w="425" w:type="dxa"/>
            <w:tcBorders>
              <w:top w:val="single" w:sz="6" w:space="0" w:color="auto"/>
              <w:left w:val="single" w:sz="6" w:space="0" w:color="auto"/>
              <w:bottom w:val="single" w:sz="4" w:space="0" w:color="auto"/>
              <w:right w:val="nil"/>
            </w:tcBorders>
          </w:tcPr>
          <w:p w:rsidR="00ED0C0A" w:rsidRDefault="00ED0C0A" w:rsidP="00ED0C0A">
            <w:pPr>
              <w:tabs>
                <w:tab w:val="left" w:pos="-720"/>
              </w:tabs>
              <w:suppressAutoHyphens/>
              <w:spacing w:before="20" w:after="20"/>
              <w:jc w:val="center"/>
              <w:rPr>
                <w:spacing w:val="-3"/>
              </w:rPr>
            </w:pPr>
            <w:r>
              <w:rPr>
                <w:spacing w:val="-3"/>
              </w:rPr>
              <w:t>x</w:t>
            </w:r>
          </w:p>
        </w:tc>
        <w:tc>
          <w:tcPr>
            <w:tcW w:w="1110" w:type="dxa"/>
            <w:tcBorders>
              <w:top w:val="single" w:sz="6" w:space="0" w:color="auto"/>
              <w:left w:val="single" w:sz="6" w:space="0" w:color="auto"/>
              <w:bottom w:val="single" w:sz="4" w:space="0" w:color="auto"/>
              <w:right w:val="nil"/>
            </w:tcBorders>
          </w:tcPr>
          <w:p w:rsidR="00ED0C0A" w:rsidRDefault="00ED0C0A" w:rsidP="00ED0C0A">
            <w:pPr>
              <w:tabs>
                <w:tab w:val="left" w:pos="-720"/>
              </w:tabs>
              <w:suppressAutoHyphens/>
              <w:spacing w:before="20" w:after="20"/>
              <w:jc w:val="center"/>
              <w:rPr>
                <w:spacing w:val="-3"/>
              </w:rPr>
            </w:pPr>
            <w:r>
              <w:rPr>
                <w:lang w:val="en-US"/>
              </w:rPr>
              <w:t>0,494</w:t>
            </w:r>
          </w:p>
        </w:tc>
        <w:tc>
          <w:tcPr>
            <w:tcW w:w="1111" w:type="dxa"/>
            <w:tcBorders>
              <w:top w:val="single" w:sz="6" w:space="0" w:color="auto"/>
              <w:left w:val="single" w:sz="6" w:space="0" w:color="auto"/>
              <w:bottom w:val="single" w:sz="4" w:space="0" w:color="auto"/>
              <w:right w:val="nil"/>
            </w:tcBorders>
          </w:tcPr>
          <w:p w:rsidR="00ED0C0A" w:rsidRDefault="00ED0C0A" w:rsidP="00ED0C0A">
            <w:pPr>
              <w:tabs>
                <w:tab w:val="left" w:pos="-720"/>
              </w:tabs>
              <w:suppressAutoHyphens/>
              <w:spacing w:before="20" w:after="20"/>
              <w:jc w:val="center"/>
              <w:rPr>
                <w:spacing w:val="-3"/>
              </w:rPr>
            </w:pPr>
            <w:r>
              <w:rPr>
                <w:lang w:val="en-US"/>
              </w:rPr>
              <w:t>0,545</w:t>
            </w:r>
          </w:p>
        </w:tc>
        <w:tc>
          <w:tcPr>
            <w:tcW w:w="1110" w:type="dxa"/>
            <w:tcBorders>
              <w:top w:val="single" w:sz="6" w:space="0" w:color="auto"/>
              <w:left w:val="single" w:sz="6" w:space="0" w:color="auto"/>
              <w:bottom w:val="single" w:sz="4" w:space="0" w:color="auto"/>
              <w:right w:val="nil"/>
            </w:tcBorders>
          </w:tcPr>
          <w:p w:rsidR="00ED0C0A" w:rsidRDefault="00ED0C0A" w:rsidP="00ED0C0A">
            <w:pPr>
              <w:tabs>
                <w:tab w:val="left" w:pos="-720"/>
              </w:tabs>
              <w:suppressAutoHyphens/>
              <w:spacing w:before="20" w:after="20"/>
              <w:jc w:val="center"/>
              <w:rPr>
                <w:spacing w:val="-3"/>
              </w:rPr>
            </w:pPr>
            <w:r>
              <w:rPr>
                <w:lang w:val="en-US"/>
              </w:rPr>
              <w:t>0,465</w:t>
            </w:r>
          </w:p>
        </w:tc>
        <w:tc>
          <w:tcPr>
            <w:tcW w:w="1111" w:type="dxa"/>
            <w:tcBorders>
              <w:top w:val="single" w:sz="6" w:space="0" w:color="auto"/>
              <w:left w:val="single" w:sz="6" w:space="0" w:color="auto"/>
              <w:bottom w:val="single" w:sz="4" w:space="0" w:color="auto"/>
              <w:right w:val="single" w:sz="6" w:space="0" w:color="auto"/>
            </w:tcBorders>
          </w:tcPr>
          <w:p w:rsidR="00ED0C0A" w:rsidRDefault="00ED0C0A" w:rsidP="00ED0C0A">
            <w:pPr>
              <w:tabs>
                <w:tab w:val="left" w:pos="-720"/>
              </w:tabs>
              <w:suppressAutoHyphens/>
              <w:spacing w:before="20" w:after="20"/>
              <w:jc w:val="center"/>
              <w:rPr>
                <w:spacing w:val="-3"/>
              </w:rPr>
            </w:pPr>
            <w:r>
              <w:rPr>
                <w:lang w:val="en-US"/>
              </w:rPr>
              <w:t>0,427</w:t>
            </w:r>
          </w:p>
        </w:tc>
      </w:tr>
      <w:tr w:rsidR="00ED0C0A" w:rsidTr="00ED0C0A">
        <w:trPr>
          <w:jc w:val="center"/>
        </w:trPr>
        <w:tc>
          <w:tcPr>
            <w:tcW w:w="2601" w:type="dxa"/>
            <w:tcBorders>
              <w:left w:val="single" w:sz="6" w:space="0" w:color="auto"/>
              <w:bottom w:val="single" w:sz="6" w:space="0" w:color="auto"/>
              <w:right w:val="nil"/>
            </w:tcBorders>
          </w:tcPr>
          <w:p w:rsidR="00ED0C0A" w:rsidRDefault="00ED0C0A" w:rsidP="00ED0C0A">
            <w:pPr>
              <w:tabs>
                <w:tab w:val="left" w:pos="-720"/>
              </w:tabs>
              <w:suppressAutoHyphens/>
              <w:spacing w:before="20" w:after="20"/>
              <w:rPr>
                <w:spacing w:val="-3"/>
              </w:rPr>
            </w:pPr>
          </w:p>
        </w:tc>
        <w:tc>
          <w:tcPr>
            <w:tcW w:w="425" w:type="dxa"/>
            <w:tcBorders>
              <w:top w:val="single" w:sz="4"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rPr>
            </w:pPr>
            <w:r>
              <w:rPr>
                <w:spacing w:val="-3"/>
              </w:rPr>
              <w:t>y</w:t>
            </w:r>
          </w:p>
        </w:tc>
        <w:tc>
          <w:tcPr>
            <w:tcW w:w="1110" w:type="dxa"/>
            <w:tcBorders>
              <w:top w:val="single" w:sz="4"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rPr>
            </w:pPr>
            <w:r>
              <w:rPr>
                <w:lang w:val="en-US"/>
              </w:rPr>
              <w:t>0,427</w:t>
            </w:r>
          </w:p>
        </w:tc>
        <w:tc>
          <w:tcPr>
            <w:tcW w:w="1111" w:type="dxa"/>
            <w:tcBorders>
              <w:top w:val="single" w:sz="4"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rPr>
            </w:pPr>
            <w:r>
              <w:rPr>
                <w:lang w:val="en-US"/>
              </w:rPr>
              <w:t>0,455</w:t>
            </w:r>
          </w:p>
        </w:tc>
        <w:tc>
          <w:tcPr>
            <w:tcW w:w="1110" w:type="dxa"/>
            <w:tcBorders>
              <w:top w:val="single" w:sz="4"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rPr>
            </w:pPr>
            <w:r>
              <w:rPr>
                <w:lang w:val="en-US"/>
              </w:rPr>
              <w:t>0,535</w:t>
            </w:r>
          </w:p>
        </w:tc>
        <w:tc>
          <w:tcPr>
            <w:tcW w:w="1111" w:type="dxa"/>
            <w:tcBorders>
              <w:top w:val="single" w:sz="4" w:space="0" w:color="auto"/>
              <w:left w:val="single" w:sz="6" w:space="0" w:color="auto"/>
              <w:bottom w:val="single" w:sz="6" w:space="0" w:color="auto"/>
              <w:right w:val="single" w:sz="6" w:space="0" w:color="auto"/>
            </w:tcBorders>
          </w:tcPr>
          <w:p w:rsidR="00ED0C0A" w:rsidRDefault="00ED0C0A" w:rsidP="00ED0C0A">
            <w:pPr>
              <w:tabs>
                <w:tab w:val="left" w:pos="-720"/>
              </w:tabs>
              <w:suppressAutoHyphens/>
              <w:spacing w:before="20" w:after="20"/>
              <w:jc w:val="center"/>
              <w:rPr>
                <w:spacing w:val="-3"/>
              </w:rPr>
            </w:pPr>
            <w:r>
              <w:rPr>
                <w:lang w:val="en-US"/>
              </w:rPr>
              <w:t>0,483</w:t>
            </w:r>
          </w:p>
        </w:tc>
      </w:tr>
      <w:tr w:rsidR="00ED0C0A" w:rsidTr="00ED0C0A">
        <w:trPr>
          <w:jc w:val="center"/>
        </w:trPr>
        <w:tc>
          <w:tcPr>
            <w:tcW w:w="2601"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rPr>
                <w:spacing w:val="-3"/>
                <w:sz w:val="24"/>
              </w:rPr>
            </w:pPr>
            <w:r>
              <w:rPr>
                <w:spacing w:val="-3"/>
              </w:rPr>
              <w:t>Oznakowanie czerwone</w:t>
            </w:r>
          </w:p>
        </w:tc>
        <w:tc>
          <w:tcPr>
            <w:tcW w:w="425"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x</w:t>
            </w:r>
          </w:p>
        </w:tc>
        <w:tc>
          <w:tcPr>
            <w:tcW w:w="1110"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0,690</w:t>
            </w:r>
          </w:p>
        </w:tc>
        <w:tc>
          <w:tcPr>
            <w:tcW w:w="1111"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0,530</w:t>
            </w:r>
          </w:p>
        </w:tc>
        <w:tc>
          <w:tcPr>
            <w:tcW w:w="1110" w:type="dxa"/>
            <w:tcBorders>
              <w:top w:val="single" w:sz="6" w:space="0" w:color="auto"/>
              <w:left w:val="single" w:sz="6" w:space="0" w:color="auto"/>
              <w:bottom w:val="nil"/>
              <w:right w:val="nil"/>
            </w:tcBorders>
          </w:tcPr>
          <w:p w:rsidR="00ED0C0A" w:rsidRDefault="00ED0C0A" w:rsidP="00ED0C0A">
            <w:pPr>
              <w:tabs>
                <w:tab w:val="left" w:pos="-720"/>
              </w:tabs>
              <w:suppressAutoHyphens/>
              <w:spacing w:before="20" w:after="20"/>
              <w:jc w:val="center"/>
              <w:rPr>
                <w:spacing w:val="-3"/>
                <w:sz w:val="24"/>
              </w:rPr>
            </w:pPr>
            <w:r>
              <w:rPr>
                <w:spacing w:val="-3"/>
              </w:rPr>
              <w:t>0,495</w:t>
            </w:r>
          </w:p>
        </w:tc>
        <w:tc>
          <w:tcPr>
            <w:tcW w:w="1111" w:type="dxa"/>
            <w:tcBorders>
              <w:top w:val="single" w:sz="6" w:space="0" w:color="auto"/>
              <w:left w:val="single" w:sz="6" w:space="0" w:color="auto"/>
              <w:bottom w:val="nil"/>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0,655</w:t>
            </w:r>
          </w:p>
        </w:tc>
      </w:tr>
      <w:tr w:rsidR="00ED0C0A" w:rsidTr="00ED0C0A">
        <w:trPr>
          <w:jc w:val="center"/>
        </w:trPr>
        <w:tc>
          <w:tcPr>
            <w:tcW w:w="2601" w:type="dxa"/>
            <w:tcBorders>
              <w:top w:val="nil"/>
              <w:left w:val="single" w:sz="6" w:space="0" w:color="auto"/>
              <w:bottom w:val="single" w:sz="4" w:space="0" w:color="auto"/>
              <w:right w:val="nil"/>
            </w:tcBorders>
          </w:tcPr>
          <w:p w:rsidR="00ED0C0A" w:rsidRDefault="00ED0C0A" w:rsidP="00ED0C0A">
            <w:pPr>
              <w:tabs>
                <w:tab w:val="left" w:pos="-720"/>
              </w:tabs>
              <w:suppressAutoHyphens/>
              <w:spacing w:before="20" w:after="20"/>
              <w:rPr>
                <w:spacing w:val="-3"/>
                <w:sz w:val="24"/>
              </w:rPr>
            </w:pPr>
          </w:p>
        </w:tc>
        <w:tc>
          <w:tcPr>
            <w:tcW w:w="425"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y</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0,310</w:t>
            </w:r>
          </w:p>
        </w:tc>
        <w:tc>
          <w:tcPr>
            <w:tcW w:w="1111"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0,300</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0,335</w:t>
            </w:r>
          </w:p>
        </w:tc>
        <w:tc>
          <w:tcPr>
            <w:tcW w:w="1111" w:type="dxa"/>
            <w:tcBorders>
              <w:top w:val="single" w:sz="6" w:space="0" w:color="auto"/>
              <w:left w:val="single" w:sz="6" w:space="0" w:color="auto"/>
              <w:bottom w:val="single" w:sz="6" w:space="0" w:color="auto"/>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0,345</w:t>
            </w:r>
          </w:p>
        </w:tc>
      </w:tr>
      <w:tr w:rsidR="00ED0C0A" w:rsidTr="00ED0C0A">
        <w:trPr>
          <w:jc w:val="center"/>
        </w:trPr>
        <w:tc>
          <w:tcPr>
            <w:tcW w:w="2601" w:type="dxa"/>
            <w:tcBorders>
              <w:top w:val="nil"/>
              <w:left w:val="single" w:sz="6" w:space="0" w:color="auto"/>
              <w:bottom w:val="nil"/>
              <w:right w:val="nil"/>
            </w:tcBorders>
          </w:tcPr>
          <w:p w:rsidR="00ED0C0A" w:rsidRDefault="00ED0C0A" w:rsidP="00ED0C0A">
            <w:pPr>
              <w:pStyle w:val="Stopka"/>
              <w:tabs>
                <w:tab w:val="clear" w:pos="4536"/>
                <w:tab w:val="clear" w:pos="9072"/>
                <w:tab w:val="left" w:pos="-720"/>
              </w:tabs>
              <w:suppressAutoHyphens/>
              <w:spacing w:before="20" w:after="20"/>
              <w:rPr>
                <w:spacing w:val="-3"/>
              </w:rPr>
            </w:pPr>
            <w:r>
              <w:rPr>
                <w:spacing w:val="-3"/>
              </w:rPr>
              <w:t>Oznakowanie niebieskie</w:t>
            </w:r>
          </w:p>
        </w:tc>
        <w:tc>
          <w:tcPr>
            <w:tcW w:w="425"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x</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0,078</w:t>
            </w:r>
          </w:p>
        </w:tc>
        <w:tc>
          <w:tcPr>
            <w:tcW w:w="1111"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0,200</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0,240</w:t>
            </w:r>
          </w:p>
        </w:tc>
        <w:tc>
          <w:tcPr>
            <w:tcW w:w="1111" w:type="dxa"/>
            <w:tcBorders>
              <w:top w:val="single" w:sz="6" w:space="0" w:color="auto"/>
              <w:left w:val="single" w:sz="6" w:space="0" w:color="auto"/>
              <w:bottom w:val="single" w:sz="6" w:space="0" w:color="auto"/>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0,137</w:t>
            </w:r>
          </w:p>
        </w:tc>
      </w:tr>
      <w:tr w:rsidR="00ED0C0A" w:rsidTr="00ED0C0A">
        <w:trPr>
          <w:jc w:val="center"/>
        </w:trPr>
        <w:tc>
          <w:tcPr>
            <w:tcW w:w="2601" w:type="dxa"/>
            <w:tcBorders>
              <w:top w:val="nil"/>
              <w:left w:val="single" w:sz="6" w:space="0" w:color="auto"/>
              <w:bottom w:val="single" w:sz="4" w:space="0" w:color="auto"/>
              <w:right w:val="nil"/>
            </w:tcBorders>
          </w:tcPr>
          <w:p w:rsidR="00ED0C0A" w:rsidRDefault="00ED0C0A" w:rsidP="00ED0C0A">
            <w:pPr>
              <w:tabs>
                <w:tab w:val="left" w:pos="-720"/>
              </w:tabs>
              <w:suppressAutoHyphens/>
              <w:spacing w:before="20" w:after="20"/>
              <w:rPr>
                <w:spacing w:val="-3"/>
                <w:sz w:val="24"/>
              </w:rPr>
            </w:pPr>
          </w:p>
        </w:tc>
        <w:tc>
          <w:tcPr>
            <w:tcW w:w="425"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y</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0,171</w:t>
            </w:r>
          </w:p>
        </w:tc>
        <w:tc>
          <w:tcPr>
            <w:tcW w:w="1111"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0,255</w:t>
            </w:r>
          </w:p>
        </w:tc>
        <w:tc>
          <w:tcPr>
            <w:tcW w:w="1110" w:type="dxa"/>
            <w:tcBorders>
              <w:top w:val="single" w:sz="6" w:space="0" w:color="auto"/>
              <w:left w:val="single" w:sz="6" w:space="0" w:color="auto"/>
              <w:bottom w:val="single" w:sz="6" w:space="0" w:color="auto"/>
              <w:right w:val="nil"/>
            </w:tcBorders>
          </w:tcPr>
          <w:p w:rsidR="00ED0C0A" w:rsidRDefault="00ED0C0A" w:rsidP="00ED0C0A">
            <w:pPr>
              <w:tabs>
                <w:tab w:val="left" w:pos="-720"/>
              </w:tabs>
              <w:suppressAutoHyphens/>
              <w:spacing w:before="20" w:after="20"/>
              <w:jc w:val="center"/>
              <w:rPr>
                <w:spacing w:val="-3"/>
                <w:sz w:val="24"/>
              </w:rPr>
            </w:pPr>
            <w:r>
              <w:rPr>
                <w:spacing w:val="-3"/>
              </w:rPr>
              <w:t>0,210</w:t>
            </w:r>
          </w:p>
        </w:tc>
        <w:tc>
          <w:tcPr>
            <w:tcW w:w="1111" w:type="dxa"/>
            <w:tcBorders>
              <w:top w:val="single" w:sz="6" w:space="0" w:color="auto"/>
              <w:left w:val="single" w:sz="6" w:space="0" w:color="auto"/>
              <w:bottom w:val="single" w:sz="6" w:space="0" w:color="auto"/>
              <w:right w:val="single" w:sz="6" w:space="0" w:color="auto"/>
            </w:tcBorders>
          </w:tcPr>
          <w:p w:rsidR="00ED0C0A" w:rsidRDefault="00ED0C0A" w:rsidP="00ED0C0A">
            <w:pPr>
              <w:tabs>
                <w:tab w:val="left" w:pos="-720"/>
              </w:tabs>
              <w:suppressAutoHyphens/>
              <w:spacing w:before="20" w:after="20"/>
              <w:jc w:val="center"/>
              <w:rPr>
                <w:spacing w:val="-3"/>
                <w:sz w:val="24"/>
              </w:rPr>
            </w:pPr>
            <w:r>
              <w:rPr>
                <w:spacing w:val="-3"/>
              </w:rPr>
              <w:t>0,038</w:t>
            </w:r>
          </w:p>
        </w:tc>
      </w:tr>
    </w:tbl>
    <w:p w:rsidR="00ED0C0A" w:rsidRDefault="00ED0C0A" w:rsidP="00ED0C0A">
      <w:pPr>
        <w:pStyle w:val="Stopka"/>
        <w:numPr>
          <w:ilvl w:val="12"/>
          <w:numId w:val="0"/>
        </w:numPr>
        <w:tabs>
          <w:tab w:val="clear" w:pos="4536"/>
          <w:tab w:val="clear" w:pos="9072"/>
        </w:tabs>
        <w:spacing w:before="120"/>
        <w:rPr>
          <w:noProof/>
        </w:rPr>
      </w:pPr>
    </w:p>
    <w:p w:rsidR="00ED0C0A" w:rsidRDefault="00ED0C0A" w:rsidP="00ED0C0A">
      <w:pPr>
        <w:pStyle w:val="Stopka"/>
        <w:numPr>
          <w:ilvl w:val="12"/>
          <w:numId w:val="0"/>
        </w:numPr>
        <w:tabs>
          <w:tab w:val="clear" w:pos="4536"/>
          <w:tab w:val="clear" w:pos="9072"/>
        </w:tabs>
        <w:spacing w:before="120"/>
        <w:rPr>
          <w:noProof/>
        </w:rPr>
      </w:pPr>
    </w:p>
    <w:p w:rsidR="00ED0C0A" w:rsidRDefault="00ED0C0A" w:rsidP="00ED0C0A">
      <w:pPr>
        <w:pStyle w:val="Stopka"/>
        <w:numPr>
          <w:ilvl w:val="12"/>
          <w:numId w:val="0"/>
        </w:numPr>
        <w:tabs>
          <w:tab w:val="clear" w:pos="4536"/>
          <w:tab w:val="clear" w:pos="9072"/>
        </w:tabs>
        <w:spacing w:before="120"/>
        <w:rPr>
          <w:noProof/>
        </w:rPr>
      </w:pPr>
      <w:r w:rsidRPr="0023357B">
        <w:rPr>
          <w:noProof/>
        </w:rPr>
        <w:lastRenderedPageBreak/>
        <w:drawing>
          <wp:inline distT="0" distB="0" distL="0" distR="0">
            <wp:extent cx="3171825" cy="2647950"/>
            <wp:effectExtent l="0" t="0" r="9525" b="0"/>
            <wp:docPr id="5" name="Obraz 5"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rys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71825" cy="2647950"/>
                    </a:xfrm>
                    <a:prstGeom prst="rect">
                      <a:avLst/>
                    </a:prstGeom>
                    <a:noFill/>
                    <a:ln>
                      <a:noFill/>
                    </a:ln>
                  </pic:spPr>
                </pic:pic>
              </a:graphicData>
            </a:graphic>
          </wp:inline>
        </w:drawing>
      </w:r>
    </w:p>
    <w:p w:rsidR="00ED0C0A" w:rsidRDefault="00ED0C0A" w:rsidP="00ED0C0A">
      <w:pPr>
        <w:numPr>
          <w:ilvl w:val="12"/>
          <w:numId w:val="0"/>
        </w:numPr>
        <w:spacing w:before="120"/>
      </w:pPr>
      <w:r>
        <w:t xml:space="preserve">Rys. 1. Współrzędne chromatyczności </w:t>
      </w:r>
      <w:proofErr w:type="spellStart"/>
      <w:r>
        <w:t>x,y</w:t>
      </w:r>
      <w:proofErr w:type="spellEnd"/>
      <w:r>
        <w:t xml:space="preserve"> dla barwy białej oznakowania</w:t>
      </w:r>
    </w:p>
    <w:p w:rsidR="00ED0C0A" w:rsidRDefault="00ED0C0A" w:rsidP="00ED0C0A">
      <w:pPr>
        <w:numPr>
          <w:ilvl w:val="12"/>
          <w:numId w:val="0"/>
        </w:numPr>
        <w:spacing w:before="120"/>
      </w:pPr>
      <w:r w:rsidRPr="0023357B">
        <w:rPr>
          <w:noProof/>
        </w:rPr>
        <w:drawing>
          <wp:inline distT="0" distB="0" distL="0" distR="0">
            <wp:extent cx="2905125" cy="2495550"/>
            <wp:effectExtent l="0" t="0" r="9525" b="0"/>
            <wp:docPr id="4" name="Obraz 4"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ys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05125" cy="2495550"/>
                    </a:xfrm>
                    <a:prstGeom prst="rect">
                      <a:avLst/>
                    </a:prstGeom>
                    <a:noFill/>
                    <a:ln>
                      <a:noFill/>
                    </a:ln>
                  </pic:spPr>
                </pic:pic>
              </a:graphicData>
            </a:graphic>
          </wp:inline>
        </w:drawing>
      </w:r>
    </w:p>
    <w:p w:rsidR="00ED0C0A" w:rsidRDefault="00ED0C0A" w:rsidP="00ED0C0A">
      <w:pPr>
        <w:numPr>
          <w:ilvl w:val="12"/>
          <w:numId w:val="0"/>
        </w:numPr>
      </w:pPr>
      <w:r>
        <w:t xml:space="preserve">Rys.2. Współrzędne chromatyczności </w:t>
      </w:r>
      <w:proofErr w:type="spellStart"/>
      <w:r>
        <w:t>x,y</w:t>
      </w:r>
      <w:proofErr w:type="spellEnd"/>
      <w:r>
        <w:t xml:space="preserve"> dla barwy żółtej oznakowania</w:t>
      </w:r>
    </w:p>
    <w:p w:rsidR="00ED0C0A" w:rsidRDefault="00ED0C0A" w:rsidP="00ED0C0A">
      <w:pPr>
        <w:numPr>
          <w:ilvl w:val="12"/>
          <w:numId w:val="0"/>
        </w:numPr>
        <w:spacing w:before="120"/>
      </w:pPr>
      <w:r w:rsidRPr="00FD1851">
        <w:rPr>
          <w:b/>
          <w:noProof/>
        </w:rPr>
        <w:lastRenderedPageBreak/>
        <w:drawing>
          <wp:inline distT="0" distB="0" distL="0" distR="0">
            <wp:extent cx="3333750" cy="36480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3750" cy="3648075"/>
                    </a:xfrm>
                    <a:prstGeom prst="rect">
                      <a:avLst/>
                    </a:prstGeom>
                    <a:noFill/>
                    <a:ln>
                      <a:noFill/>
                    </a:ln>
                  </pic:spPr>
                </pic:pic>
              </a:graphicData>
            </a:graphic>
          </wp:inline>
        </w:drawing>
      </w:r>
    </w:p>
    <w:p w:rsidR="00ED0C0A" w:rsidRDefault="00ED0C0A" w:rsidP="00ED0C0A">
      <w:pPr>
        <w:pStyle w:val="Tekstkomentarza"/>
        <w:tabs>
          <w:tab w:val="left" w:pos="-720"/>
        </w:tabs>
        <w:suppressAutoHyphens/>
        <w:spacing w:line="360" w:lineRule="auto"/>
        <w:rPr>
          <w:spacing w:val="-3"/>
        </w:rPr>
      </w:pPr>
      <w:r>
        <w:rPr>
          <w:spacing w:val="-3"/>
        </w:rPr>
        <w:t>Rys. 3. Granice barw białej, żółtej, czerwonej, niebieskiej i zielonej oznakowania</w:t>
      </w:r>
    </w:p>
    <w:p w:rsidR="00ED0C0A" w:rsidRDefault="00ED0C0A" w:rsidP="00ED0C0A">
      <w:pPr>
        <w:numPr>
          <w:ilvl w:val="12"/>
          <w:numId w:val="0"/>
        </w:numPr>
        <w:spacing w:before="120"/>
      </w:pPr>
      <w:r>
        <w:tab/>
        <w:t xml:space="preserve">Pomiar współczynnika luminancji </w:t>
      </w:r>
      <w:r>
        <w:sym w:font="Symbol" w:char="F062"/>
      </w:r>
      <w:r>
        <w:t xml:space="preserve"> może być zastąpiony pomiarem współczynnika luminancji w świetle rozproszonym </w:t>
      </w:r>
      <w:proofErr w:type="spellStart"/>
      <w:r>
        <w:t>Qd</w:t>
      </w:r>
      <w:proofErr w:type="spellEnd"/>
      <w:r>
        <w:t>, wg PN-EN 1436:2000 [4] lub wg POD-97 [9] i POD-2006 (po wydaniu) [10].</w:t>
      </w:r>
    </w:p>
    <w:p w:rsidR="00ED0C0A" w:rsidRDefault="00ED0C0A" w:rsidP="00ED0C0A">
      <w:pPr>
        <w:numPr>
          <w:ilvl w:val="12"/>
          <w:numId w:val="0"/>
        </w:numPr>
      </w:pPr>
      <w:r>
        <w:tab/>
        <w:t xml:space="preserve">Do określenia odbicia światła dziennego lub odbicia oświetlenia drogi od oznakowania stosuje się współczynnik luminancji w świetle rozproszonym </w:t>
      </w:r>
      <w:proofErr w:type="spellStart"/>
      <w:r>
        <w:t>Qd</w:t>
      </w:r>
      <w:proofErr w:type="spellEnd"/>
      <w:r>
        <w:t xml:space="preserve">. </w:t>
      </w:r>
    </w:p>
    <w:p w:rsidR="00ED0C0A" w:rsidRDefault="00ED0C0A" w:rsidP="00ED0C0A">
      <w:pPr>
        <w:numPr>
          <w:ilvl w:val="12"/>
          <w:numId w:val="0"/>
        </w:numPr>
      </w:pPr>
      <w:r>
        <w:tab/>
        <w:t xml:space="preserve">Wartość współczynnika </w:t>
      </w:r>
      <w:proofErr w:type="spellStart"/>
      <w:r>
        <w:t>Qd</w:t>
      </w:r>
      <w:proofErr w:type="spellEnd"/>
      <w:r>
        <w:t xml:space="preserve"> dla oznakowania nowego w ciągu 14 - 30 dni po wykonaniu powinna wynosić dla oznakowania świeżego, barwy:</w:t>
      </w:r>
    </w:p>
    <w:p w:rsidR="00ED0C0A" w:rsidRDefault="00ED0C0A" w:rsidP="00ED0C0A">
      <w:pPr>
        <w:numPr>
          <w:ilvl w:val="0"/>
          <w:numId w:val="1"/>
        </w:numPr>
        <w:overflowPunct w:val="0"/>
        <w:autoSpaceDE w:val="0"/>
        <w:autoSpaceDN w:val="0"/>
        <w:adjustRightInd w:val="0"/>
        <w:jc w:val="both"/>
        <w:textAlignment w:val="baseline"/>
      </w:pPr>
      <w:r>
        <w:t>białej, co najmniej 130 mcd m</w:t>
      </w:r>
      <w:r>
        <w:rPr>
          <w:vertAlign w:val="superscript"/>
        </w:rPr>
        <w:t>-2</w:t>
      </w:r>
      <w:r>
        <w:t xml:space="preserve"> lx</w:t>
      </w:r>
      <w:r>
        <w:rPr>
          <w:vertAlign w:val="superscript"/>
        </w:rPr>
        <w:t>-1</w:t>
      </w:r>
      <w:r>
        <w:t xml:space="preserve"> (nawierzchnie asfaltowe), klasa Q3,</w:t>
      </w:r>
    </w:p>
    <w:p w:rsidR="00ED0C0A" w:rsidRDefault="00ED0C0A" w:rsidP="00ED0C0A">
      <w:pPr>
        <w:numPr>
          <w:ilvl w:val="0"/>
          <w:numId w:val="1"/>
        </w:numPr>
        <w:overflowPunct w:val="0"/>
        <w:autoSpaceDE w:val="0"/>
        <w:autoSpaceDN w:val="0"/>
        <w:adjustRightInd w:val="0"/>
        <w:jc w:val="both"/>
        <w:textAlignment w:val="baseline"/>
      </w:pPr>
      <w:r>
        <w:t>białej, co najmniej 160 mcd m</w:t>
      </w:r>
      <w:r>
        <w:rPr>
          <w:vertAlign w:val="superscript"/>
        </w:rPr>
        <w:t>-2</w:t>
      </w:r>
      <w:r>
        <w:t xml:space="preserve"> lx</w:t>
      </w:r>
      <w:r>
        <w:rPr>
          <w:vertAlign w:val="superscript"/>
        </w:rPr>
        <w:t>-1</w:t>
      </w:r>
      <w:r>
        <w:t xml:space="preserve"> (nawierzchnie betonowe), klasa Q4,</w:t>
      </w:r>
    </w:p>
    <w:p w:rsidR="00ED0C0A" w:rsidRDefault="00ED0C0A" w:rsidP="00ED0C0A">
      <w:pPr>
        <w:numPr>
          <w:ilvl w:val="0"/>
          <w:numId w:val="1"/>
        </w:numPr>
        <w:overflowPunct w:val="0"/>
        <w:autoSpaceDE w:val="0"/>
        <w:autoSpaceDN w:val="0"/>
        <w:adjustRightInd w:val="0"/>
        <w:jc w:val="both"/>
        <w:textAlignment w:val="baseline"/>
      </w:pPr>
      <w:r>
        <w:t>żółtej, co najmniej 100 mcd m</w:t>
      </w:r>
      <w:r>
        <w:rPr>
          <w:vertAlign w:val="superscript"/>
        </w:rPr>
        <w:t>-2</w:t>
      </w:r>
      <w:r>
        <w:t xml:space="preserve"> lx</w:t>
      </w:r>
      <w:r>
        <w:rPr>
          <w:vertAlign w:val="superscript"/>
        </w:rPr>
        <w:t>-1</w:t>
      </w:r>
      <w:r>
        <w:t>), klasa Q2,</w:t>
      </w:r>
    </w:p>
    <w:p w:rsidR="00ED0C0A" w:rsidRDefault="00ED0C0A" w:rsidP="00ED0C0A">
      <w:pPr>
        <w:numPr>
          <w:ilvl w:val="12"/>
          <w:numId w:val="0"/>
        </w:numPr>
      </w:pPr>
      <w:r>
        <w:tab/>
        <w:t xml:space="preserve">Wartość współczynnika </w:t>
      </w:r>
      <w:proofErr w:type="spellStart"/>
      <w:r>
        <w:t>Qd</w:t>
      </w:r>
      <w:proofErr w:type="spellEnd"/>
      <w:r>
        <w:t xml:space="preserve"> powinna wynosić dla oznakowania eksploatowanego po 30 dniu od wykonania, w ciągu całego okresu użytkowania,  barwy:</w:t>
      </w:r>
    </w:p>
    <w:p w:rsidR="00ED0C0A" w:rsidRDefault="00ED0C0A" w:rsidP="00ED0C0A">
      <w:pPr>
        <w:numPr>
          <w:ilvl w:val="0"/>
          <w:numId w:val="1"/>
        </w:numPr>
        <w:overflowPunct w:val="0"/>
        <w:autoSpaceDE w:val="0"/>
        <w:autoSpaceDN w:val="0"/>
        <w:adjustRightInd w:val="0"/>
        <w:jc w:val="both"/>
        <w:textAlignment w:val="baseline"/>
      </w:pPr>
      <w:r>
        <w:t>białej, co najmniej 100 mcd m</w:t>
      </w:r>
      <w:r>
        <w:rPr>
          <w:vertAlign w:val="superscript"/>
        </w:rPr>
        <w:t>-2</w:t>
      </w:r>
      <w:r>
        <w:t xml:space="preserve"> lx</w:t>
      </w:r>
      <w:r>
        <w:rPr>
          <w:vertAlign w:val="superscript"/>
        </w:rPr>
        <w:t>-1</w:t>
      </w:r>
      <w:r>
        <w:t>(nawierzchnie asfaltowe), klasa Q2,</w:t>
      </w:r>
    </w:p>
    <w:p w:rsidR="00ED0C0A" w:rsidRDefault="00ED0C0A" w:rsidP="00ED0C0A">
      <w:pPr>
        <w:numPr>
          <w:ilvl w:val="0"/>
          <w:numId w:val="1"/>
        </w:numPr>
        <w:overflowPunct w:val="0"/>
        <w:autoSpaceDE w:val="0"/>
        <w:autoSpaceDN w:val="0"/>
        <w:adjustRightInd w:val="0"/>
        <w:jc w:val="both"/>
        <w:textAlignment w:val="baseline"/>
      </w:pPr>
      <w:r>
        <w:t>białej, co najmniej 130 mcd m</w:t>
      </w:r>
      <w:r>
        <w:rPr>
          <w:vertAlign w:val="superscript"/>
        </w:rPr>
        <w:t>-2</w:t>
      </w:r>
      <w:r>
        <w:t xml:space="preserve"> lx</w:t>
      </w:r>
      <w:r>
        <w:rPr>
          <w:vertAlign w:val="superscript"/>
        </w:rPr>
        <w:t>-1</w:t>
      </w:r>
      <w:r>
        <w:t>(nawierzchnie betonowe), klasa Q3,</w:t>
      </w:r>
    </w:p>
    <w:p w:rsidR="00ED0C0A" w:rsidRDefault="00ED0C0A" w:rsidP="00ED0C0A">
      <w:pPr>
        <w:numPr>
          <w:ilvl w:val="0"/>
          <w:numId w:val="1"/>
        </w:numPr>
        <w:overflowPunct w:val="0"/>
        <w:autoSpaceDE w:val="0"/>
        <w:autoSpaceDN w:val="0"/>
        <w:adjustRightInd w:val="0"/>
        <w:jc w:val="both"/>
        <w:textAlignment w:val="baseline"/>
      </w:pPr>
      <w:r>
        <w:t>żółtej, co najmniej 80 mcd m</w:t>
      </w:r>
      <w:r>
        <w:rPr>
          <w:vertAlign w:val="superscript"/>
        </w:rPr>
        <w:t>-2</w:t>
      </w:r>
      <w:r>
        <w:t xml:space="preserve"> lx</w:t>
      </w:r>
      <w:r>
        <w:rPr>
          <w:vertAlign w:val="superscript"/>
        </w:rPr>
        <w:t>-1</w:t>
      </w:r>
      <w:r>
        <w:t>, klasa Q1.</w:t>
      </w:r>
    </w:p>
    <w:p w:rsidR="00ED0C0A" w:rsidRDefault="00ED0C0A" w:rsidP="00ED0C0A">
      <w:pPr>
        <w:keepNext/>
        <w:numPr>
          <w:ilvl w:val="12"/>
          <w:numId w:val="0"/>
        </w:numPr>
        <w:spacing w:before="120" w:after="120"/>
      </w:pPr>
      <w:r>
        <w:t xml:space="preserve"> 6.3.1.3. Widzialność w nocy</w:t>
      </w:r>
    </w:p>
    <w:p w:rsidR="00ED0C0A" w:rsidRDefault="00ED0C0A" w:rsidP="00ED0C0A">
      <w:pPr>
        <w:numPr>
          <w:ilvl w:val="12"/>
          <w:numId w:val="0"/>
        </w:numPr>
      </w:pPr>
      <w:r>
        <w:tab/>
        <w:t>Za miarę widzialności w nocy przyjęto powierzchniowy współczynnik odblasku R</w:t>
      </w:r>
      <w:r>
        <w:rPr>
          <w:vertAlign w:val="subscript"/>
        </w:rPr>
        <w:t>L</w:t>
      </w:r>
      <w:r>
        <w:t>, określany według PN-EN 1436:2000 [4] z uwzględnieniem podziału na klasy PN-EN 1436:2000/A1:2005 [4a].</w:t>
      </w:r>
    </w:p>
    <w:p w:rsidR="00ED0C0A" w:rsidRDefault="00ED0C0A" w:rsidP="00ED0C0A">
      <w:pPr>
        <w:numPr>
          <w:ilvl w:val="12"/>
          <w:numId w:val="0"/>
        </w:numPr>
      </w:pPr>
      <w:r>
        <w:tab/>
        <w:t>Wartość współczynnika R</w:t>
      </w:r>
      <w:r>
        <w:rPr>
          <w:vertAlign w:val="subscript"/>
        </w:rPr>
        <w:t>L</w:t>
      </w:r>
      <w:r>
        <w:t xml:space="preserve"> powinna wynosić dla oznakowania nowego (w stanie suchym) w ciągu 14 - 30 dni po wykonaniu, barwy:</w:t>
      </w:r>
    </w:p>
    <w:p w:rsidR="00ED0C0A" w:rsidRDefault="00ED0C0A" w:rsidP="00ED0C0A">
      <w:pPr>
        <w:numPr>
          <w:ilvl w:val="0"/>
          <w:numId w:val="1"/>
        </w:numPr>
        <w:overflowPunct w:val="0"/>
        <w:autoSpaceDE w:val="0"/>
        <w:autoSpaceDN w:val="0"/>
        <w:adjustRightInd w:val="0"/>
        <w:jc w:val="both"/>
        <w:textAlignment w:val="baseline"/>
      </w:pPr>
      <w:r>
        <w:t xml:space="preserve">białej, na autostradach, drogach ekspresowych oraz na drogach o prędkości </w:t>
      </w:r>
      <w:r>
        <w:sym w:font="Symbol" w:char="F0B3"/>
      </w:r>
      <w:r>
        <w:t xml:space="preserve"> </w:t>
      </w:r>
      <w:smartTag w:uri="urn:schemas-microsoft-com:office:smarttags" w:element="metricconverter">
        <w:smartTagPr>
          <w:attr w:name="ProductID" w:val="100 km/h"/>
        </w:smartTagPr>
        <w:r>
          <w:t>100 km/h</w:t>
        </w:r>
      </w:smartTag>
      <w:r>
        <w:t xml:space="preserve"> lub o natężeniu ruchu &gt; 2 500 pojazdów rzeczywistych na dobę na pas, co najmniej 250 mcd m</w:t>
      </w:r>
      <w:r>
        <w:rPr>
          <w:vertAlign w:val="superscript"/>
        </w:rPr>
        <w:t>-2</w:t>
      </w:r>
      <w:r>
        <w:t xml:space="preserve"> lx</w:t>
      </w:r>
      <w:r>
        <w:rPr>
          <w:vertAlign w:val="superscript"/>
        </w:rPr>
        <w:t>-1</w:t>
      </w:r>
      <w:r>
        <w:t>, klasa R4/5,</w:t>
      </w:r>
    </w:p>
    <w:p w:rsidR="00ED0C0A" w:rsidRDefault="00ED0C0A" w:rsidP="00ED0C0A">
      <w:pPr>
        <w:numPr>
          <w:ilvl w:val="0"/>
          <w:numId w:val="1"/>
        </w:numPr>
        <w:overflowPunct w:val="0"/>
        <w:autoSpaceDE w:val="0"/>
        <w:autoSpaceDN w:val="0"/>
        <w:adjustRightInd w:val="0"/>
        <w:jc w:val="both"/>
        <w:textAlignment w:val="baseline"/>
      </w:pPr>
      <w:r>
        <w:t>białej, na pozostałych drogach, co najmniej 200 mcd m</w:t>
      </w:r>
      <w:r>
        <w:rPr>
          <w:vertAlign w:val="superscript"/>
        </w:rPr>
        <w:t>-2</w:t>
      </w:r>
      <w:r>
        <w:t xml:space="preserve"> lx</w:t>
      </w:r>
      <w:r>
        <w:rPr>
          <w:vertAlign w:val="superscript"/>
        </w:rPr>
        <w:t>-1</w:t>
      </w:r>
      <w:r>
        <w:t>, klasa R4,</w:t>
      </w:r>
    </w:p>
    <w:p w:rsidR="00ED0C0A" w:rsidRDefault="00ED0C0A" w:rsidP="00ED0C0A">
      <w:pPr>
        <w:numPr>
          <w:ilvl w:val="0"/>
          <w:numId w:val="1"/>
        </w:numPr>
        <w:overflowPunct w:val="0"/>
        <w:autoSpaceDE w:val="0"/>
        <w:autoSpaceDN w:val="0"/>
        <w:adjustRightInd w:val="0"/>
        <w:jc w:val="both"/>
        <w:textAlignment w:val="baseline"/>
      </w:pPr>
      <w:r>
        <w:t>żółtej tymczasowej, co najmniej 150 mcd m</w:t>
      </w:r>
      <w:r>
        <w:rPr>
          <w:vertAlign w:val="superscript"/>
        </w:rPr>
        <w:t>-2</w:t>
      </w:r>
      <w:r>
        <w:t xml:space="preserve"> lx</w:t>
      </w:r>
      <w:r>
        <w:rPr>
          <w:vertAlign w:val="superscript"/>
        </w:rPr>
        <w:t>-1</w:t>
      </w:r>
      <w:r>
        <w:t>, klasa R3,</w:t>
      </w:r>
    </w:p>
    <w:p w:rsidR="00ED0C0A" w:rsidRDefault="00ED0C0A" w:rsidP="00ED0C0A">
      <w:pPr>
        <w:numPr>
          <w:ilvl w:val="12"/>
          <w:numId w:val="0"/>
        </w:numPr>
      </w:pPr>
      <w:r>
        <w:tab/>
        <w:t>Wartość współczynnika R</w:t>
      </w:r>
      <w:r>
        <w:rPr>
          <w:vertAlign w:val="subscript"/>
        </w:rPr>
        <w:t>L</w:t>
      </w:r>
      <w:r>
        <w:t xml:space="preserve"> powinna wynosić dla oznakowania eksploatowanego w ciągu od 2 do 6 miesięcy po wykonaniu,  barwy:</w:t>
      </w:r>
    </w:p>
    <w:p w:rsidR="00ED0C0A" w:rsidRDefault="00ED0C0A" w:rsidP="00ED0C0A">
      <w:pPr>
        <w:numPr>
          <w:ilvl w:val="0"/>
          <w:numId w:val="1"/>
        </w:numPr>
        <w:overflowPunct w:val="0"/>
        <w:autoSpaceDE w:val="0"/>
        <w:autoSpaceDN w:val="0"/>
        <w:adjustRightInd w:val="0"/>
        <w:jc w:val="both"/>
        <w:textAlignment w:val="baseline"/>
      </w:pPr>
      <w:r>
        <w:t xml:space="preserve">białej, na autostradach, drogach ekspresowych oraz na drogach o prędkości </w:t>
      </w:r>
      <w:r>
        <w:sym w:font="Symbol" w:char="F0B3"/>
      </w:r>
      <w:r>
        <w:t xml:space="preserve"> </w:t>
      </w:r>
      <w:smartTag w:uri="urn:schemas-microsoft-com:office:smarttags" w:element="metricconverter">
        <w:smartTagPr>
          <w:attr w:name="ProductID" w:val="100 km/h"/>
        </w:smartTagPr>
        <w:r>
          <w:t>100 km/h</w:t>
        </w:r>
      </w:smartTag>
      <w:r>
        <w:t xml:space="preserve"> lub o natężeniu ruchu &gt; 2 500 pojazdów rzeczywistych na dobę na pas, co najmniej 200 mcd m</w:t>
      </w:r>
      <w:r>
        <w:rPr>
          <w:vertAlign w:val="superscript"/>
        </w:rPr>
        <w:t>-2</w:t>
      </w:r>
      <w:r>
        <w:t xml:space="preserve"> lx</w:t>
      </w:r>
      <w:r>
        <w:rPr>
          <w:vertAlign w:val="superscript"/>
        </w:rPr>
        <w:t>-1</w:t>
      </w:r>
      <w:r>
        <w:t>, klasa R4,</w:t>
      </w:r>
    </w:p>
    <w:p w:rsidR="00ED0C0A" w:rsidRDefault="00ED0C0A" w:rsidP="00ED0C0A">
      <w:pPr>
        <w:numPr>
          <w:ilvl w:val="0"/>
          <w:numId w:val="1"/>
        </w:numPr>
        <w:overflowPunct w:val="0"/>
        <w:autoSpaceDE w:val="0"/>
        <w:autoSpaceDN w:val="0"/>
        <w:adjustRightInd w:val="0"/>
        <w:jc w:val="both"/>
        <w:textAlignment w:val="baseline"/>
      </w:pPr>
      <w:r>
        <w:t>białej, na pozostałych drogach, co najmniej 150 mcd m</w:t>
      </w:r>
      <w:r>
        <w:rPr>
          <w:vertAlign w:val="superscript"/>
        </w:rPr>
        <w:t>-2</w:t>
      </w:r>
      <w:r>
        <w:t xml:space="preserve"> lx</w:t>
      </w:r>
      <w:r>
        <w:rPr>
          <w:vertAlign w:val="superscript"/>
        </w:rPr>
        <w:t>-1</w:t>
      </w:r>
      <w:r>
        <w:t>, klasa R3</w:t>
      </w:r>
    </w:p>
    <w:p w:rsidR="00ED0C0A" w:rsidRDefault="00ED0C0A" w:rsidP="00ED0C0A">
      <w:pPr>
        <w:numPr>
          <w:ilvl w:val="0"/>
          <w:numId w:val="1"/>
        </w:numPr>
        <w:overflowPunct w:val="0"/>
        <w:autoSpaceDE w:val="0"/>
        <w:autoSpaceDN w:val="0"/>
        <w:adjustRightInd w:val="0"/>
        <w:jc w:val="both"/>
        <w:textAlignment w:val="baseline"/>
      </w:pPr>
      <w:r>
        <w:t>żółtej tymczasowej, co najmniej 100 mcd m</w:t>
      </w:r>
      <w:r>
        <w:rPr>
          <w:vertAlign w:val="superscript"/>
        </w:rPr>
        <w:t>-2</w:t>
      </w:r>
      <w:r>
        <w:t xml:space="preserve"> lx</w:t>
      </w:r>
      <w:r>
        <w:rPr>
          <w:vertAlign w:val="superscript"/>
        </w:rPr>
        <w:t>-1</w:t>
      </w:r>
      <w:r>
        <w:t>, klasa R2.</w:t>
      </w:r>
    </w:p>
    <w:p w:rsidR="00ED0C0A" w:rsidRDefault="00ED0C0A" w:rsidP="00ED0C0A">
      <w:pPr>
        <w:numPr>
          <w:ilvl w:val="12"/>
          <w:numId w:val="0"/>
        </w:numPr>
      </w:pPr>
      <w:r>
        <w:tab/>
        <w:t>Wartość współczynnika R</w:t>
      </w:r>
      <w:r>
        <w:rPr>
          <w:vertAlign w:val="subscript"/>
        </w:rPr>
        <w:t>L</w:t>
      </w:r>
      <w:r>
        <w:t xml:space="preserve"> powinna wynosić dla oznakowania eksploatowanego od 7 miesiąca po wykonaniu,  barwy:</w:t>
      </w:r>
    </w:p>
    <w:p w:rsidR="00ED0C0A" w:rsidRDefault="00ED0C0A" w:rsidP="00ED0C0A">
      <w:pPr>
        <w:numPr>
          <w:ilvl w:val="0"/>
          <w:numId w:val="1"/>
        </w:numPr>
        <w:overflowPunct w:val="0"/>
        <w:autoSpaceDE w:val="0"/>
        <w:autoSpaceDN w:val="0"/>
        <w:adjustRightInd w:val="0"/>
        <w:jc w:val="both"/>
        <w:textAlignment w:val="baseline"/>
      </w:pPr>
      <w:r>
        <w:lastRenderedPageBreak/>
        <w:t xml:space="preserve">białej, na autostradach, drogach ekspresowych oraz na drogach o prędkości </w:t>
      </w:r>
      <w:r>
        <w:sym w:font="Symbol" w:char="F0B3"/>
      </w:r>
      <w:r>
        <w:t xml:space="preserve"> </w:t>
      </w:r>
      <w:smartTag w:uri="urn:schemas-microsoft-com:office:smarttags" w:element="metricconverter">
        <w:smartTagPr>
          <w:attr w:name="ProductID" w:val="100 km/h"/>
        </w:smartTagPr>
        <w:r>
          <w:t>100 km/h</w:t>
        </w:r>
      </w:smartTag>
      <w:r>
        <w:t xml:space="preserve"> lub o natężeniu ruchu &gt; 2 500 pojazdów rzeczywistych na dobę na pas, co najmniej 150 mcd m</w:t>
      </w:r>
      <w:r>
        <w:rPr>
          <w:vertAlign w:val="superscript"/>
        </w:rPr>
        <w:t>-2</w:t>
      </w:r>
      <w:r>
        <w:t xml:space="preserve"> lx</w:t>
      </w:r>
      <w:r>
        <w:rPr>
          <w:vertAlign w:val="superscript"/>
        </w:rPr>
        <w:t>-1</w:t>
      </w:r>
      <w:r>
        <w:t>, klasa R3,</w:t>
      </w:r>
    </w:p>
    <w:p w:rsidR="00ED0C0A" w:rsidRDefault="00ED0C0A" w:rsidP="00ED0C0A">
      <w:pPr>
        <w:numPr>
          <w:ilvl w:val="0"/>
          <w:numId w:val="1"/>
        </w:numPr>
        <w:overflowPunct w:val="0"/>
        <w:autoSpaceDE w:val="0"/>
        <w:autoSpaceDN w:val="0"/>
        <w:adjustRightInd w:val="0"/>
        <w:jc w:val="both"/>
        <w:textAlignment w:val="baseline"/>
      </w:pPr>
      <w:r>
        <w:t>białej, na pozostałych drogach, co najmniej 100 mcd m</w:t>
      </w:r>
      <w:r>
        <w:rPr>
          <w:vertAlign w:val="superscript"/>
        </w:rPr>
        <w:t>-2</w:t>
      </w:r>
      <w:r>
        <w:t xml:space="preserve"> lx</w:t>
      </w:r>
      <w:r>
        <w:rPr>
          <w:vertAlign w:val="superscript"/>
        </w:rPr>
        <w:t>-1</w:t>
      </w:r>
      <w:r>
        <w:t xml:space="preserve"> , klasa R2,</w:t>
      </w:r>
    </w:p>
    <w:p w:rsidR="00ED0C0A" w:rsidRDefault="00ED0C0A" w:rsidP="00ED0C0A">
      <w:pPr>
        <w:numPr>
          <w:ilvl w:val="0"/>
          <w:numId w:val="1"/>
        </w:numPr>
        <w:overflowPunct w:val="0"/>
        <w:autoSpaceDE w:val="0"/>
        <w:autoSpaceDN w:val="0"/>
        <w:adjustRightInd w:val="0"/>
        <w:jc w:val="both"/>
        <w:textAlignment w:val="baseline"/>
      </w:pPr>
      <w:r>
        <w:t>żółtej tymczasowej, co najmniej 100 mcd m</w:t>
      </w:r>
      <w:r>
        <w:rPr>
          <w:vertAlign w:val="superscript"/>
        </w:rPr>
        <w:t>-2</w:t>
      </w:r>
      <w:r>
        <w:t xml:space="preserve"> lx</w:t>
      </w:r>
      <w:r>
        <w:rPr>
          <w:vertAlign w:val="superscript"/>
        </w:rPr>
        <w:t>-1</w:t>
      </w:r>
      <w:r>
        <w:t>, klasa R2.</w:t>
      </w:r>
    </w:p>
    <w:p w:rsidR="00ED0C0A" w:rsidRDefault="00ED0C0A" w:rsidP="00ED0C0A">
      <w:pPr>
        <w:ind w:firstLine="709"/>
      </w:pPr>
      <w:r>
        <w:t>Na nawierzchniach o grubej makroteksturze, takich jak: powierzchniowe utrwalanie oraz na nawierzchniach niejednorodnych można wyjątkowo, tylko na drogach określonych w tablicy 5, dopuścić wartość współczynnika odblasku R</w:t>
      </w:r>
      <w:r>
        <w:rPr>
          <w:vertAlign w:val="subscript"/>
        </w:rPr>
        <w:t>L</w:t>
      </w:r>
      <w:r>
        <w:t xml:space="preserve"> = 70 mcd m</w:t>
      </w:r>
      <w:r>
        <w:rPr>
          <w:vertAlign w:val="superscript"/>
        </w:rPr>
        <w:t>-2</w:t>
      </w:r>
      <w:r>
        <w:t xml:space="preserve"> lx</w:t>
      </w:r>
      <w:r>
        <w:rPr>
          <w:vertAlign w:val="superscript"/>
        </w:rPr>
        <w:t>-1</w:t>
      </w:r>
      <w:r>
        <w:t>, klasa R1 dla oznakowania cienkowarstwowego eksploatowanego od 6 miesiąca po wykonaniu.</w:t>
      </w:r>
    </w:p>
    <w:p w:rsidR="00ED0C0A" w:rsidRDefault="00ED0C0A" w:rsidP="00ED0C0A">
      <w:pPr>
        <w:ind w:firstLine="709"/>
      </w:pPr>
      <w:r>
        <w:t>Na nawierzchniach nowych lub odnowionych z warstwą ścieralną z SMA zaleca się stosować materiały grubowarstwowe.</w:t>
      </w:r>
    </w:p>
    <w:p w:rsidR="00ED0C0A" w:rsidRDefault="00ED0C0A" w:rsidP="00ED0C0A">
      <w:pPr>
        <w:numPr>
          <w:ilvl w:val="12"/>
          <w:numId w:val="0"/>
        </w:numPr>
        <w:ind w:firstLine="709"/>
      </w:pPr>
      <w:r>
        <w:t>W szczególnie uzasadnionych przypadkach możliwe jest ustalenie w SST wyższych klas wymagań wg PN-EN 1436:2000/A1:2005 [4a].</w:t>
      </w:r>
    </w:p>
    <w:p w:rsidR="00ED0C0A" w:rsidRDefault="00ED0C0A" w:rsidP="00ED0C0A">
      <w:pPr>
        <w:numPr>
          <w:ilvl w:val="12"/>
          <w:numId w:val="0"/>
        </w:numPr>
      </w:pPr>
      <w:r>
        <w:tab/>
        <w:t>Wartość współczynnika R</w:t>
      </w:r>
      <w:r>
        <w:rPr>
          <w:vertAlign w:val="subscript"/>
        </w:rPr>
        <w:t>L</w:t>
      </w:r>
      <w:r>
        <w:t xml:space="preserve"> powinna wynosić dla oznakowania profilowanego, nowego (w stanie wilgotnym) i eksploatowanego w okresie gwarancji wg PN-EN 1436:2000 [4] zmierzona od 14 do 30 dni po wykonaniu, barwy:</w:t>
      </w:r>
    </w:p>
    <w:p w:rsidR="00ED0C0A" w:rsidRDefault="00ED0C0A" w:rsidP="00ED0C0A">
      <w:pPr>
        <w:numPr>
          <w:ilvl w:val="0"/>
          <w:numId w:val="1"/>
        </w:numPr>
        <w:overflowPunct w:val="0"/>
        <w:autoSpaceDE w:val="0"/>
        <w:autoSpaceDN w:val="0"/>
        <w:adjustRightInd w:val="0"/>
        <w:jc w:val="both"/>
        <w:textAlignment w:val="baseline"/>
      </w:pPr>
      <w:r>
        <w:t>białej, co najmniej 50 mcd m</w:t>
      </w:r>
      <w:r>
        <w:rPr>
          <w:vertAlign w:val="superscript"/>
        </w:rPr>
        <w:t>-2</w:t>
      </w:r>
      <w:r>
        <w:t xml:space="preserve"> lx</w:t>
      </w:r>
      <w:r>
        <w:rPr>
          <w:vertAlign w:val="superscript"/>
        </w:rPr>
        <w:t>-1</w:t>
      </w:r>
      <w:r>
        <w:t xml:space="preserve">, klasa </w:t>
      </w:r>
      <w:r>
        <w:rPr>
          <w:spacing w:val="-3"/>
        </w:rPr>
        <w:t>RW3</w:t>
      </w:r>
      <w:r>
        <w:t>,</w:t>
      </w:r>
    </w:p>
    <w:p w:rsidR="00ED0C0A" w:rsidRDefault="00ED0C0A" w:rsidP="00ED0C0A">
      <w:pPr>
        <w:numPr>
          <w:ilvl w:val="0"/>
          <w:numId w:val="1"/>
        </w:numPr>
        <w:overflowPunct w:val="0"/>
        <w:autoSpaceDE w:val="0"/>
        <w:autoSpaceDN w:val="0"/>
        <w:adjustRightInd w:val="0"/>
        <w:jc w:val="both"/>
        <w:textAlignment w:val="baseline"/>
      </w:pPr>
      <w:r>
        <w:t>w okresie eksploatacji co najmniej 35 mcd m</w:t>
      </w:r>
      <w:r>
        <w:rPr>
          <w:vertAlign w:val="superscript"/>
        </w:rPr>
        <w:t>-2</w:t>
      </w:r>
      <w:r>
        <w:t xml:space="preserve"> lx</w:t>
      </w:r>
      <w:r>
        <w:rPr>
          <w:vertAlign w:val="superscript"/>
        </w:rPr>
        <w:t>-1</w:t>
      </w:r>
      <w:r>
        <w:t xml:space="preserve">, klasa </w:t>
      </w:r>
      <w:r>
        <w:rPr>
          <w:spacing w:val="-3"/>
        </w:rPr>
        <w:t>RW2.</w:t>
      </w:r>
    </w:p>
    <w:p w:rsidR="00ED0C0A" w:rsidRDefault="00ED0C0A" w:rsidP="00ED0C0A">
      <w:pPr>
        <w:numPr>
          <w:ilvl w:val="12"/>
          <w:numId w:val="0"/>
        </w:numPr>
      </w:pPr>
      <w:r>
        <w:tab/>
        <w:t xml:space="preserve">Powyższe wymaganie dotyczy jedynie </w:t>
      </w:r>
      <w:proofErr w:type="spellStart"/>
      <w:r>
        <w:t>oznakowań</w:t>
      </w:r>
      <w:proofErr w:type="spellEnd"/>
      <w:r>
        <w:t xml:space="preserve"> profilowanych, takich jak oznakowanie strukturalne wykonywane masami termoplastycznymi, masami chemoutwardzalnymi i taśmami w postaci np. poprzecznych </w:t>
      </w:r>
      <w:proofErr w:type="spellStart"/>
      <w:r>
        <w:t>wygarbień</w:t>
      </w:r>
      <w:proofErr w:type="spellEnd"/>
      <w:r>
        <w:t xml:space="preserve"> (baretek), drop-on-</w:t>
      </w:r>
      <w:proofErr w:type="spellStart"/>
      <w:r>
        <w:t>line</w:t>
      </w:r>
      <w:proofErr w:type="spellEnd"/>
      <w:r>
        <w:t>, itp.</w:t>
      </w:r>
    </w:p>
    <w:p w:rsidR="00ED0C0A" w:rsidRDefault="00ED0C0A" w:rsidP="00ED0C0A">
      <w:pPr>
        <w:numPr>
          <w:ilvl w:val="12"/>
          <w:numId w:val="0"/>
        </w:numPr>
      </w:pPr>
      <w:r>
        <w:tab/>
        <w:t xml:space="preserve">Wykonywanie pomiarów na oznakowaniu ciągłym z naniesionymi </w:t>
      </w:r>
      <w:proofErr w:type="spellStart"/>
      <w:r>
        <w:t>wygarbieniami</w:t>
      </w:r>
      <w:proofErr w:type="spellEnd"/>
      <w:r>
        <w:t xml:space="preserve"> może być wykonywane tylko metoda dynamiczną. Pomiar aparatami ręcznymi jest albo niemożliwy albo obciążony dużym błędem.</w:t>
      </w:r>
    </w:p>
    <w:p w:rsidR="00ED0C0A" w:rsidRDefault="00ED0C0A" w:rsidP="00ED0C0A">
      <w:pPr>
        <w:numPr>
          <w:ilvl w:val="12"/>
          <w:numId w:val="0"/>
        </w:numPr>
      </w:pPr>
      <w:r>
        <w:tab/>
        <w:t xml:space="preserve">Wykonywanie pomiarów odblaskowości na pozostałych typach oznakowania strukturalnego, z uwagi na jego niecałkowite i niejednorodne pokrycie powierzchni oznakowania, jest obarczone większym błędem niż na </w:t>
      </w:r>
      <w:proofErr w:type="spellStart"/>
      <w:r>
        <w:t>oznakowaniach</w:t>
      </w:r>
      <w:proofErr w:type="spellEnd"/>
      <w:r>
        <w:t xml:space="preserve"> pełnych. Dlatego podczas odbioru czy kontroli, należy przyjąć jako dopuszczalne wartości współczynnika odblasku o 20 % niższe od przyjętych w SST.</w:t>
      </w:r>
    </w:p>
    <w:p w:rsidR="00ED0C0A" w:rsidRDefault="00ED0C0A" w:rsidP="00ED0C0A">
      <w:pPr>
        <w:pStyle w:val="Stopka"/>
        <w:numPr>
          <w:ilvl w:val="12"/>
          <w:numId w:val="0"/>
        </w:numPr>
        <w:tabs>
          <w:tab w:val="clear" w:pos="4536"/>
          <w:tab w:val="clear" w:pos="9072"/>
        </w:tabs>
        <w:spacing w:before="120"/>
      </w:pPr>
      <w:r>
        <w:t>6.3.1.4. Szorstkość oznakowania</w:t>
      </w:r>
    </w:p>
    <w:p w:rsidR="00ED0C0A" w:rsidRDefault="00ED0C0A" w:rsidP="00ED0C0A">
      <w:pPr>
        <w:numPr>
          <w:ilvl w:val="12"/>
          <w:numId w:val="0"/>
        </w:numPr>
        <w:spacing w:before="120"/>
      </w:pPr>
      <w:r>
        <w:tab/>
        <w:t>Miarą szorstkości oznakowania jest wartość wskaźnika szorstkości SRT (</w:t>
      </w:r>
      <w:proofErr w:type="spellStart"/>
      <w:r>
        <w:t>Skid</w:t>
      </w:r>
      <w:proofErr w:type="spellEnd"/>
      <w:r>
        <w:t xml:space="preserve"> </w:t>
      </w:r>
      <w:proofErr w:type="spellStart"/>
      <w:r>
        <w:t>Resistance</w:t>
      </w:r>
      <w:proofErr w:type="spellEnd"/>
      <w:r>
        <w:t xml:space="preserve"> Tester) mierzona wahadłem angielskim, wg PN-EN 1436:2000 [4] lub POD-97 [9] i POD-2006 (po wydaniu) [10]. Wartość SRT symuluje warunki, w których pojazd wyposażony w typowe opony hamuje z blokadą kół przy prędkości </w:t>
      </w:r>
      <w:smartTag w:uri="urn:schemas-microsoft-com:office:smarttags" w:element="metricconverter">
        <w:smartTagPr>
          <w:attr w:name="ProductID" w:val="50 km/h"/>
        </w:smartTagPr>
        <w:r>
          <w:t>50 km/h</w:t>
        </w:r>
      </w:smartTag>
      <w:r>
        <w:t xml:space="preserve"> na mokrej nawierzchni.</w:t>
      </w:r>
    </w:p>
    <w:p w:rsidR="00ED0C0A" w:rsidRDefault="00ED0C0A" w:rsidP="00ED0C0A">
      <w:pPr>
        <w:numPr>
          <w:ilvl w:val="12"/>
          <w:numId w:val="0"/>
        </w:numPr>
      </w:pPr>
      <w:r>
        <w:tab/>
        <w:t>Wymaga się, aby wartość wskaźnika szorstkości SRT wynosiła na oznakowaniu:</w:t>
      </w:r>
    </w:p>
    <w:p w:rsidR="00ED0C0A" w:rsidRDefault="00ED0C0A" w:rsidP="00ED0C0A">
      <w:pPr>
        <w:numPr>
          <w:ilvl w:val="0"/>
          <w:numId w:val="1"/>
        </w:numPr>
        <w:overflowPunct w:val="0"/>
        <w:autoSpaceDE w:val="0"/>
        <w:autoSpaceDN w:val="0"/>
        <w:adjustRightInd w:val="0"/>
        <w:jc w:val="both"/>
        <w:textAlignment w:val="baseline"/>
      </w:pPr>
      <w:r>
        <w:t>w ciągu całego okresu użytkowania, co najmniej 45 jednostek SRT (klasa S1).</w:t>
      </w:r>
    </w:p>
    <w:p w:rsidR="00ED0C0A" w:rsidRDefault="00ED0C0A" w:rsidP="00ED0C0A">
      <w:pPr>
        <w:numPr>
          <w:ilvl w:val="12"/>
          <w:numId w:val="0"/>
        </w:numPr>
      </w:pPr>
      <w:r>
        <w:tab/>
        <w:t>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rsidR="00ED0C0A" w:rsidRDefault="00ED0C0A" w:rsidP="00ED0C0A">
      <w:pPr>
        <w:numPr>
          <w:ilvl w:val="12"/>
          <w:numId w:val="0"/>
        </w:numPr>
      </w:pPr>
      <w:r>
        <w:tab/>
        <w:t>Szorstkość oznakowania, na którym nie zastosowano kruszywa przeciwpoślizgowego, zazwyczaj wzrasta w okresie eksploatacji oznakowania, dlatego nie należy wymagać wyższej jego wartości na starcie, a niższej w okresie gwarancji.</w:t>
      </w:r>
    </w:p>
    <w:p w:rsidR="00ED0C0A" w:rsidRDefault="00ED0C0A" w:rsidP="00ED0C0A">
      <w:pPr>
        <w:numPr>
          <w:ilvl w:val="12"/>
          <w:numId w:val="0"/>
        </w:numPr>
      </w:pPr>
      <w:r>
        <w:tab/>
        <w:t xml:space="preserve">Wykonywanie pomiarów wskaźnika szorstkości SRT dotyczy </w:t>
      </w:r>
      <w:proofErr w:type="spellStart"/>
      <w:r>
        <w:t>oznakowań</w:t>
      </w:r>
      <w:proofErr w:type="spellEnd"/>
      <w:r>
        <w:t xml:space="preserve"> jednolitych, płaskich, wykonanych farbami, masami termoplastycznymi, masami chemoutwardzalnymi i taśmami. Pomiar na oznakowaniu strukturalnym jest, jeśli możliwy, to nie miarodajny. W przypadku oznakowania z </w:t>
      </w:r>
      <w:proofErr w:type="spellStart"/>
      <w:r>
        <w:t>wygarbieniami</w:t>
      </w:r>
      <w:proofErr w:type="spellEnd"/>
      <w:r>
        <w:t xml:space="preserve"> i punktowymi elementami odblaskowymi pomiar nie jest możliwy.</w:t>
      </w:r>
    </w:p>
    <w:p w:rsidR="00ED0C0A" w:rsidRDefault="00ED0C0A" w:rsidP="00ED0C0A">
      <w:pPr>
        <w:numPr>
          <w:ilvl w:val="12"/>
          <w:numId w:val="0"/>
        </w:numPr>
        <w:spacing w:before="120"/>
        <w:rPr>
          <w:i/>
        </w:rPr>
      </w:pPr>
      <w:r>
        <w:rPr>
          <w:i/>
        </w:rPr>
        <w:t>UWAGA: Wskaźnik szorstkości SRT w normach powierzchniowych został nazwany PTV (</w:t>
      </w:r>
      <w:proofErr w:type="spellStart"/>
      <w:r>
        <w:rPr>
          <w:i/>
        </w:rPr>
        <w:t>Polishing</w:t>
      </w:r>
      <w:proofErr w:type="spellEnd"/>
      <w:r>
        <w:rPr>
          <w:i/>
        </w:rPr>
        <w:t xml:space="preserve"> Test Value) za PN-EN 13 036-4:2004(U)[6a]. Metoda pomiaru i sprzęt do jego wykonania są identyczne z przyjętymi w PN-EN 1436:2000[4] dla </w:t>
      </w:r>
      <w:proofErr w:type="spellStart"/>
      <w:r>
        <w:rPr>
          <w:i/>
        </w:rPr>
        <w:t>oznakowań</w:t>
      </w:r>
      <w:proofErr w:type="spellEnd"/>
      <w:r>
        <w:rPr>
          <w:i/>
        </w:rPr>
        <w:t xml:space="preserve"> poziomych.</w:t>
      </w:r>
    </w:p>
    <w:p w:rsidR="00ED0C0A" w:rsidRDefault="00ED0C0A" w:rsidP="00ED0C0A">
      <w:pPr>
        <w:numPr>
          <w:ilvl w:val="12"/>
          <w:numId w:val="0"/>
        </w:numPr>
        <w:spacing w:before="120" w:after="120"/>
      </w:pPr>
      <w:r>
        <w:t>6.3.1.5. Trwałość oznakowania</w:t>
      </w:r>
    </w:p>
    <w:p w:rsidR="00ED0C0A" w:rsidRDefault="00ED0C0A" w:rsidP="00ED0C0A">
      <w:pPr>
        <w:numPr>
          <w:ilvl w:val="12"/>
          <w:numId w:val="0"/>
        </w:numPr>
      </w:pPr>
      <w:r>
        <w:tab/>
        <w:t>Trwałość oznakowania cienkowarstwowego oceniana jako stopień zużycia w 10-stopniowej skali LCPC określonej w POD-97 [9] lub POD-2006 (po wydaniu) [10] powinna wynosić po 12-miesięcznym okresie eksploatacji oznakowania: co najmniej 6.</w:t>
      </w:r>
    </w:p>
    <w:p w:rsidR="00ED0C0A" w:rsidRDefault="00ED0C0A" w:rsidP="00ED0C0A">
      <w:pPr>
        <w:ind w:firstLine="709"/>
      </w:pPr>
      <w:r>
        <w:t>Taka metoda oceny znajduje szczególnie zastosowanie do oceny przydatności materiałów do poziomego oznakowania dróg.</w:t>
      </w:r>
    </w:p>
    <w:p w:rsidR="00ED0C0A" w:rsidRDefault="00ED0C0A" w:rsidP="00ED0C0A">
      <w:r>
        <w:lastRenderedPageBreak/>
        <w:tab/>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rsidR="00ED0C0A" w:rsidRDefault="00ED0C0A" w:rsidP="00ED0C0A">
      <w:r>
        <w:tab/>
        <w:t>W celach kontrolnych trwałość jest oceniana pośrednio przez sprawdzenie spełniania wymagań widoczności w dzień, w nocy i szorstkości.</w:t>
      </w:r>
    </w:p>
    <w:p w:rsidR="00ED0C0A" w:rsidRDefault="00ED0C0A" w:rsidP="00ED0C0A">
      <w:pPr>
        <w:keepNext/>
        <w:spacing w:before="120"/>
      </w:pPr>
      <w:r>
        <w:t>6.3.1.6. Czas schnięcia oznakowania (względnie czas do przejezdności oznakowania)</w:t>
      </w:r>
    </w:p>
    <w:p w:rsidR="00ED0C0A" w:rsidRDefault="00ED0C0A" w:rsidP="00ED0C0A">
      <w:pPr>
        <w:spacing w:before="120"/>
      </w:pPr>
      <w:r>
        <w:tab/>
        <w:t>Za czas schnięcia oznakowania przyjmuje się czas upływający między wykonaniem oznakowania a jego oddaniem do ruchu.</w:t>
      </w:r>
    </w:p>
    <w:p w:rsidR="00ED0C0A" w:rsidRDefault="00ED0C0A" w:rsidP="00ED0C0A">
      <w:r>
        <w:tab/>
        <w:t xml:space="preserve">Czas schnięcia oznakowania nie powinien przekraczać czasu gwarantowanego przez producenta, z tym że nie może przekraczać 2 godzin w przypadku </w:t>
      </w:r>
      <w:proofErr w:type="spellStart"/>
      <w:r>
        <w:t>wymalowań</w:t>
      </w:r>
      <w:proofErr w:type="spellEnd"/>
      <w:r>
        <w:t xml:space="preserve"> nocnych i 1 godziny w przypadku </w:t>
      </w:r>
      <w:proofErr w:type="spellStart"/>
      <w:r>
        <w:t>wymalowań</w:t>
      </w:r>
      <w:proofErr w:type="spellEnd"/>
      <w:r>
        <w:t xml:space="preserve"> dziennych. Metoda oznaczenia czasu schnięcia znajduje się w POD-97 [9] lub POD-2006 (po wydaniu) [10].</w:t>
      </w:r>
    </w:p>
    <w:p w:rsidR="00ED0C0A" w:rsidRDefault="00ED0C0A" w:rsidP="00ED0C0A">
      <w:pPr>
        <w:spacing w:before="120"/>
      </w:pPr>
      <w:r>
        <w:t>6.3.1.7. Grubość oznakowania</w:t>
      </w:r>
    </w:p>
    <w:p w:rsidR="00ED0C0A" w:rsidRDefault="00ED0C0A" w:rsidP="00ED0C0A">
      <w:pPr>
        <w:spacing w:before="120"/>
      </w:pPr>
      <w:r>
        <w:tab/>
        <w:t>Grubość oznakowania, tj. podwyższenie ponad górną powierzchnię nawierzchni, powinna wynosić dla:</w:t>
      </w:r>
    </w:p>
    <w:p w:rsidR="00ED0C0A" w:rsidRDefault="00ED0C0A" w:rsidP="00A46F82">
      <w:pPr>
        <w:numPr>
          <w:ilvl w:val="0"/>
          <w:numId w:val="196"/>
        </w:numPr>
        <w:overflowPunct w:val="0"/>
        <w:autoSpaceDE w:val="0"/>
        <w:autoSpaceDN w:val="0"/>
        <w:adjustRightInd w:val="0"/>
        <w:jc w:val="both"/>
        <w:textAlignment w:val="baseline"/>
      </w:pPr>
      <w:r>
        <w:t xml:space="preserve">oznakowania cienkowarstwowego (grubość na mokro bez kulek szklanych), co najwyżej </w:t>
      </w:r>
      <w:smartTag w:uri="urn:schemas-microsoft-com:office:smarttags" w:element="metricconverter">
        <w:smartTagPr>
          <w:attr w:name="ProductID" w:val="0,89 mm"/>
        </w:smartTagPr>
        <w:r>
          <w:t>0,89 mm</w:t>
        </w:r>
      </w:smartTag>
      <w:r>
        <w:t>,</w:t>
      </w:r>
    </w:p>
    <w:p w:rsidR="00ED0C0A" w:rsidRDefault="00ED0C0A" w:rsidP="00A46F82">
      <w:pPr>
        <w:numPr>
          <w:ilvl w:val="0"/>
          <w:numId w:val="196"/>
        </w:numPr>
        <w:overflowPunct w:val="0"/>
        <w:autoSpaceDE w:val="0"/>
        <w:autoSpaceDN w:val="0"/>
        <w:adjustRightInd w:val="0"/>
        <w:jc w:val="both"/>
        <w:textAlignment w:val="baseline"/>
      </w:pPr>
      <w:r>
        <w:t xml:space="preserve">oznakowania grubowarstwowego, co najmniej </w:t>
      </w:r>
      <w:smartTag w:uri="urn:schemas-microsoft-com:office:smarttags" w:element="metricconverter">
        <w:smartTagPr>
          <w:attr w:name="ProductID" w:val="0,90 mm"/>
        </w:smartTagPr>
        <w:r>
          <w:t>0,90 mm</w:t>
        </w:r>
      </w:smartTag>
      <w:r>
        <w:t xml:space="preserve"> i co najwyżej </w:t>
      </w:r>
      <w:smartTag w:uri="urn:schemas-microsoft-com:office:smarttags" w:element="metricconverter">
        <w:smartTagPr>
          <w:attr w:name="ProductID" w:val="5 mm"/>
        </w:smartTagPr>
        <w:r>
          <w:t>5 mm</w:t>
        </w:r>
      </w:smartTag>
      <w:r>
        <w:t>,</w:t>
      </w:r>
    </w:p>
    <w:p w:rsidR="00ED0C0A" w:rsidRDefault="00ED0C0A" w:rsidP="00A46F82">
      <w:pPr>
        <w:numPr>
          <w:ilvl w:val="0"/>
          <w:numId w:val="196"/>
        </w:numPr>
        <w:overflowPunct w:val="0"/>
        <w:autoSpaceDE w:val="0"/>
        <w:autoSpaceDN w:val="0"/>
        <w:adjustRightInd w:val="0"/>
        <w:jc w:val="both"/>
        <w:textAlignment w:val="baseline"/>
      </w:pPr>
      <w:r>
        <w:t xml:space="preserve">punktowych elementów odblaskowych umieszczanych na części jezdnej drogi, co najwyżej </w:t>
      </w:r>
      <w:smartTag w:uri="urn:schemas-microsoft-com:office:smarttags" w:element="metricconverter">
        <w:smartTagPr>
          <w:attr w:name="ProductID" w:val="15 mm"/>
        </w:smartTagPr>
        <w:r>
          <w:t>15 mm</w:t>
        </w:r>
      </w:smartTag>
      <w:r>
        <w:t xml:space="preserve">, a w uzasadnionych przypadkach ustalonych w dokumentacji projektowej, co najwyżej </w:t>
      </w:r>
      <w:smartTag w:uri="urn:schemas-microsoft-com:office:smarttags" w:element="metricconverter">
        <w:smartTagPr>
          <w:attr w:name="ProductID" w:val="25 mm"/>
        </w:smartTagPr>
        <w:r>
          <w:t>25 mm</w:t>
        </w:r>
      </w:smartTag>
      <w:r>
        <w:t>.</w:t>
      </w:r>
    </w:p>
    <w:p w:rsidR="00ED0C0A" w:rsidRDefault="00ED0C0A" w:rsidP="00ED0C0A">
      <w:r>
        <w:tab/>
        <w:t>Wymagania te nie obowiązują, jeśli nawierzchnia pod znakowaniem jest wyfrezowana.</w:t>
      </w:r>
    </w:p>
    <w:p w:rsidR="00ED0C0A" w:rsidRDefault="00ED0C0A" w:rsidP="00ED0C0A">
      <w:pPr>
        <w:ind w:firstLine="709"/>
      </w:pPr>
      <w:r>
        <w:t>Kontrola grubości oznakowania jest istotna w przypadku, gdy Wykonawca nie udziela gwarancji lub gdy nie są wykonywane pomiary kontrolne za pomocą aparatury lub poprzez ocenę wizualną.</w:t>
      </w:r>
    </w:p>
    <w:p w:rsidR="00ED0C0A" w:rsidRDefault="00ED0C0A" w:rsidP="00ED0C0A">
      <w:pPr>
        <w:tabs>
          <w:tab w:val="left" w:pos="567"/>
        </w:tabs>
        <w:spacing w:before="120"/>
        <w:ind w:left="567" w:hanging="567"/>
      </w:pPr>
      <w:r>
        <w:rPr>
          <w:b/>
        </w:rPr>
        <w:t>6.3.2.</w:t>
      </w:r>
      <w:r>
        <w:rPr>
          <w:b/>
        </w:rPr>
        <w:tab/>
      </w:r>
      <w:r>
        <w:t>Badania wykonania znakowania poziomego z materiału cienkowarstwowego lub grubowarstwowego</w:t>
      </w:r>
    </w:p>
    <w:p w:rsidR="00ED0C0A" w:rsidRDefault="00ED0C0A" w:rsidP="00ED0C0A">
      <w:pPr>
        <w:spacing w:before="120"/>
      </w:pPr>
      <w:r>
        <w:tab/>
        <w:t>Wykonawca wykonując znakowanie poziome z materiału cienko- lub grubowarstwowego przeprowadza przed rozpoczęciem każdej pracy oraz w czasie jej wykonywania, co najmniej raz dziennie, lub zgodnie z ustaleniem SST, następujące badania:</w:t>
      </w:r>
    </w:p>
    <w:p w:rsidR="00ED0C0A" w:rsidRDefault="00ED0C0A" w:rsidP="00ED0C0A">
      <w:r>
        <w:t>a) przed rozpoczęciem pracy:</w:t>
      </w:r>
    </w:p>
    <w:p w:rsidR="00ED0C0A" w:rsidRDefault="00ED0C0A" w:rsidP="00ED0C0A">
      <w:pPr>
        <w:numPr>
          <w:ilvl w:val="0"/>
          <w:numId w:val="1"/>
        </w:numPr>
        <w:overflowPunct w:val="0"/>
        <w:autoSpaceDE w:val="0"/>
        <w:autoSpaceDN w:val="0"/>
        <w:adjustRightInd w:val="0"/>
        <w:ind w:left="567"/>
        <w:jc w:val="both"/>
        <w:textAlignment w:val="baseline"/>
      </w:pPr>
      <w:r>
        <w:t>sprawdzenie oznakowania opakowań,</w:t>
      </w:r>
    </w:p>
    <w:p w:rsidR="00ED0C0A" w:rsidRDefault="00ED0C0A" w:rsidP="00ED0C0A">
      <w:pPr>
        <w:numPr>
          <w:ilvl w:val="0"/>
          <w:numId w:val="1"/>
        </w:numPr>
        <w:overflowPunct w:val="0"/>
        <w:autoSpaceDE w:val="0"/>
        <w:autoSpaceDN w:val="0"/>
        <w:adjustRightInd w:val="0"/>
        <w:ind w:left="567"/>
        <w:jc w:val="both"/>
        <w:textAlignment w:val="baseline"/>
      </w:pPr>
      <w:r>
        <w:t>wizualną ocenę stanu  materiału, w zakresie jego jednorodności i widocznych wad,</w:t>
      </w:r>
    </w:p>
    <w:p w:rsidR="00ED0C0A" w:rsidRDefault="00ED0C0A" w:rsidP="00ED0C0A">
      <w:pPr>
        <w:numPr>
          <w:ilvl w:val="0"/>
          <w:numId w:val="1"/>
        </w:numPr>
        <w:overflowPunct w:val="0"/>
        <w:autoSpaceDE w:val="0"/>
        <w:autoSpaceDN w:val="0"/>
        <w:adjustRightInd w:val="0"/>
        <w:ind w:left="567"/>
        <w:jc w:val="both"/>
        <w:textAlignment w:val="baseline"/>
      </w:pPr>
      <w:r>
        <w:t>pomiar wilgotności względnej powietrza,</w:t>
      </w:r>
    </w:p>
    <w:p w:rsidR="00ED0C0A" w:rsidRDefault="00ED0C0A" w:rsidP="00ED0C0A">
      <w:pPr>
        <w:numPr>
          <w:ilvl w:val="0"/>
          <w:numId w:val="1"/>
        </w:numPr>
        <w:overflowPunct w:val="0"/>
        <w:autoSpaceDE w:val="0"/>
        <w:autoSpaceDN w:val="0"/>
        <w:adjustRightInd w:val="0"/>
        <w:ind w:left="567"/>
        <w:jc w:val="both"/>
        <w:textAlignment w:val="baseline"/>
      </w:pPr>
      <w:r>
        <w:t>pomiar temperatury powietrza i nawierzchni,</w:t>
      </w:r>
    </w:p>
    <w:p w:rsidR="00ED0C0A" w:rsidRDefault="00ED0C0A" w:rsidP="00ED0C0A">
      <w:pPr>
        <w:numPr>
          <w:ilvl w:val="0"/>
          <w:numId w:val="1"/>
        </w:numPr>
        <w:overflowPunct w:val="0"/>
        <w:autoSpaceDE w:val="0"/>
        <w:autoSpaceDN w:val="0"/>
        <w:adjustRightInd w:val="0"/>
        <w:ind w:left="567"/>
        <w:jc w:val="both"/>
        <w:textAlignment w:val="baseline"/>
      </w:pPr>
      <w:r>
        <w:t>badanie lepkości farby, wg POD-97 [9] lub POD-2006 (po wydaniu) [10],</w:t>
      </w:r>
    </w:p>
    <w:p w:rsidR="00ED0C0A" w:rsidRDefault="00ED0C0A" w:rsidP="00ED0C0A">
      <w:pPr>
        <w:numPr>
          <w:ilvl w:val="12"/>
          <w:numId w:val="0"/>
        </w:numPr>
      </w:pPr>
      <w:r>
        <w:t>b) w czasie wykonywania pracy:</w:t>
      </w:r>
    </w:p>
    <w:p w:rsidR="00ED0C0A" w:rsidRDefault="00ED0C0A" w:rsidP="00ED0C0A">
      <w:pPr>
        <w:numPr>
          <w:ilvl w:val="0"/>
          <w:numId w:val="1"/>
        </w:numPr>
        <w:overflowPunct w:val="0"/>
        <w:autoSpaceDE w:val="0"/>
        <w:autoSpaceDN w:val="0"/>
        <w:adjustRightInd w:val="0"/>
        <w:ind w:left="567"/>
        <w:jc w:val="both"/>
        <w:textAlignment w:val="baseline"/>
      </w:pPr>
      <w:r>
        <w:t>pomiar grubości warstwy oznakowania,</w:t>
      </w:r>
    </w:p>
    <w:p w:rsidR="00ED0C0A" w:rsidRDefault="00ED0C0A" w:rsidP="00ED0C0A">
      <w:pPr>
        <w:numPr>
          <w:ilvl w:val="0"/>
          <w:numId w:val="1"/>
        </w:numPr>
        <w:overflowPunct w:val="0"/>
        <w:autoSpaceDE w:val="0"/>
        <w:autoSpaceDN w:val="0"/>
        <w:adjustRightInd w:val="0"/>
        <w:ind w:left="567"/>
        <w:jc w:val="both"/>
        <w:textAlignment w:val="baseline"/>
      </w:pPr>
      <w:r>
        <w:t>pomiar czasu schnięcia, wg POD-97 [9] lub POD-2006 (po wydaniu) [10],</w:t>
      </w:r>
    </w:p>
    <w:p w:rsidR="00ED0C0A" w:rsidRDefault="00ED0C0A" w:rsidP="00ED0C0A">
      <w:pPr>
        <w:numPr>
          <w:ilvl w:val="0"/>
          <w:numId w:val="1"/>
        </w:numPr>
        <w:overflowPunct w:val="0"/>
        <w:autoSpaceDE w:val="0"/>
        <w:autoSpaceDN w:val="0"/>
        <w:adjustRightInd w:val="0"/>
        <w:ind w:left="567"/>
        <w:jc w:val="both"/>
        <w:textAlignment w:val="baseline"/>
      </w:pPr>
      <w:r>
        <w:t>wizualną ocenę równomierności rozłożenia kulek szklanych podczas objazdu w nocy,</w:t>
      </w:r>
    </w:p>
    <w:p w:rsidR="00ED0C0A" w:rsidRDefault="00ED0C0A" w:rsidP="00ED0C0A">
      <w:pPr>
        <w:numPr>
          <w:ilvl w:val="0"/>
          <w:numId w:val="1"/>
        </w:numPr>
        <w:overflowPunct w:val="0"/>
        <w:autoSpaceDE w:val="0"/>
        <w:autoSpaceDN w:val="0"/>
        <w:adjustRightInd w:val="0"/>
        <w:ind w:left="567"/>
        <w:jc w:val="both"/>
        <w:textAlignment w:val="baseline"/>
      </w:pPr>
      <w:r>
        <w:t>pomiar poziomych wymiarów oznakowania, na zgodność z dokumentacją projektową i załącznikiem nr 2 do rozporządzenia Ministra Infrastruktury [7],</w:t>
      </w:r>
    </w:p>
    <w:p w:rsidR="00ED0C0A" w:rsidRDefault="00ED0C0A" w:rsidP="00ED0C0A">
      <w:pPr>
        <w:numPr>
          <w:ilvl w:val="0"/>
          <w:numId w:val="1"/>
        </w:numPr>
        <w:overflowPunct w:val="0"/>
        <w:autoSpaceDE w:val="0"/>
        <w:autoSpaceDN w:val="0"/>
        <w:adjustRightInd w:val="0"/>
        <w:ind w:left="567"/>
        <w:jc w:val="both"/>
        <w:textAlignment w:val="baseline"/>
      </w:pPr>
      <w:r>
        <w:t>wizualną ocenę równomierności skropienia (rozłożenia materiału) na całej szerokości linii,</w:t>
      </w:r>
    </w:p>
    <w:p w:rsidR="00ED0C0A" w:rsidRDefault="00ED0C0A" w:rsidP="00ED0C0A">
      <w:pPr>
        <w:numPr>
          <w:ilvl w:val="0"/>
          <w:numId w:val="1"/>
        </w:numPr>
        <w:overflowPunct w:val="0"/>
        <w:autoSpaceDE w:val="0"/>
        <w:autoSpaceDN w:val="0"/>
        <w:adjustRightInd w:val="0"/>
        <w:ind w:left="567"/>
        <w:jc w:val="both"/>
        <w:textAlignment w:val="baseline"/>
      </w:pPr>
      <w:r>
        <w:t>oznaczenia czasu przejezdności, wg POD-97 [9] lub POD-2006 (po wydaniu) [10].</w:t>
      </w:r>
    </w:p>
    <w:p w:rsidR="00ED0C0A" w:rsidRDefault="00ED0C0A" w:rsidP="00ED0C0A">
      <w:pPr>
        <w:numPr>
          <w:ilvl w:val="12"/>
          <w:numId w:val="0"/>
        </w:numPr>
      </w:pPr>
      <w:r>
        <w:tab/>
        <w:t xml:space="preserve">Protokół z przeprowadzonych badań wraz z jedną próbką, jednoznacznie oznakowaną, na blasze (300 x 250 x </w:t>
      </w:r>
      <w:smartTag w:uri="urn:schemas-microsoft-com:office:smarttags" w:element="metricconverter">
        <w:smartTagPr>
          <w:attr w:name="ProductID" w:val="1,5 mm"/>
        </w:smartTagPr>
        <w:r>
          <w:t>1,5 mm</w:t>
        </w:r>
      </w:smartTag>
      <w:r>
        <w:t>) Wykonawca powinien przechować do czasu upływu okresu gwarancji.</w:t>
      </w:r>
    </w:p>
    <w:p w:rsidR="00ED0C0A" w:rsidRDefault="00ED0C0A" w:rsidP="00ED0C0A">
      <w:pPr>
        <w:numPr>
          <w:ilvl w:val="12"/>
          <w:numId w:val="0"/>
        </w:numPr>
      </w:pPr>
      <w:r>
        <w:tab/>
        <w:t>Do odbioru i w przypadku wątpliwości dotyczących wykonania oznakowania poziomego, Inżynier może zlecić wykonanie badań:</w:t>
      </w:r>
    </w:p>
    <w:p w:rsidR="00ED0C0A" w:rsidRDefault="00ED0C0A" w:rsidP="00ED0C0A">
      <w:pPr>
        <w:numPr>
          <w:ilvl w:val="0"/>
          <w:numId w:val="1"/>
        </w:numPr>
        <w:overflowPunct w:val="0"/>
        <w:autoSpaceDE w:val="0"/>
        <w:autoSpaceDN w:val="0"/>
        <w:adjustRightInd w:val="0"/>
        <w:jc w:val="both"/>
        <w:textAlignment w:val="baseline"/>
      </w:pPr>
      <w:r>
        <w:t>widzialności w nocy,</w:t>
      </w:r>
    </w:p>
    <w:p w:rsidR="00ED0C0A" w:rsidRDefault="00ED0C0A" w:rsidP="00ED0C0A">
      <w:pPr>
        <w:numPr>
          <w:ilvl w:val="0"/>
          <w:numId w:val="1"/>
        </w:numPr>
        <w:overflowPunct w:val="0"/>
        <w:autoSpaceDE w:val="0"/>
        <w:autoSpaceDN w:val="0"/>
        <w:adjustRightInd w:val="0"/>
        <w:jc w:val="both"/>
        <w:textAlignment w:val="baseline"/>
      </w:pPr>
      <w:r>
        <w:t>widzialności w dzień,</w:t>
      </w:r>
    </w:p>
    <w:p w:rsidR="00ED0C0A" w:rsidRDefault="00ED0C0A" w:rsidP="00ED0C0A">
      <w:pPr>
        <w:numPr>
          <w:ilvl w:val="0"/>
          <w:numId w:val="1"/>
        </w:numPr>
        <w:overflowPunct w:val="0"/>
        <w:autoSpaceDE w:val="0"/>
        <w:autoSpaceDN w:val="0"/>
        <w:adjustRightInd w:val="0"/>
        <w:jc w:val="both"/>
        <w:textAlignment w:val="baseline"/>
      </w:pPr>
      <w:r>
        <w:t>szorstkości,</w:t>
      </w:r>
    </w:p>
    <w:p w:rsidR="00ED0C0A" w:rsidRDefault="00ED0C0A" w:rsidP="00ED0C0A">
      <w:pPr>
        <w:numPr>
          <w:ilvl w:val="12"/>
          <w:numId w:val="0"/>
        </w:numPr>
      </w:pPr>
      <w:r>
        <w:t>odpowiadających wymaganiom podanym w punkcie 6.3.1 i wykonanych według metod określonych w Warunkach technicznych POD-97 [9] lub POD-2006 (po wydaniu) [10].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rsidR="00ED0C0A" w:rsidRDefault="00ED0C0A" w:rsidP="00ED0C0A">
      <w:pPr>
        <w:numPr>
          <w:ilvl w:val="12"/>
          <w:numId w:val="0"/>
        </w:numPr>
      </w:pPr>
      <w:r>
        <w:tab/>
        <w:t xml:space="preserve">W przypadku konieczności wykonywania pomiarów na otwartych do ruchu odcinkach dróg o dopuszczalnej prędkości </w:t>
      </w:r>
      <w:r>
        <w:sym w:font="Symbol" w:char="F0B3"/>
      </w:r>
      <w:r>
        <w:t xml:space="preserve"> </w:t>
      </w:r>
      <w:smartTag w:uri="urn:schemas-microsoft-com:office:smarttags" w:element="metricconverter">
        <w:smartTagPr>
          <w:attr w:name="ProductID" w:val="100 km/h"/>
        </w:smartTagPr>
        <w:r>
          <w:t>100 km/h</w:t>
        </w:r>
      </w:smartTag>
      <w:r>
        <w:t xml:space="preserve"> należy ograniczyć je do linii krawędziowych zewnętrznych w przypadku wykonywania pomiarów aparatami ręcznymi, ze względu na bezpieczeństwo wykonujących pomiary.</w:t>
      </w:r>
    </w:p>
    <w:p w:rsidR="00ED0C0A" w:rsidRDefault="00ED0C0A" w:rsidP="00ED0C0A">
      <w:pPr>
        <w:numPr>
          <w:ilvl w:val="12"/>
          <w:numId w:val="0"/>
        </w:numPr>
      </w:pPr>
      <w:r>
        <w:tab/>
        <w:t xml:space="preserve">Pomiary współczynnika odblasku na liniach segregacyjnych i krawędziowych wewnętrznych, na otwartych do ruchu odcinkach dróg o dopuszczalnej prędkości </w:t>
      </w:r>
      <w:r>
        <w:sym w:font="Symbol" w:char="F0B3"/>
      </w:r>
      <w:r>
        <w:t xml:space="preserve"> </w:t>
      </w:r>
      <w:smartTag w:uri="urn:schemas-microsoft-com:office:smarttags" w:element="metricconverter">
        <w:smartTagPr>
          <w:attr w:name="ProductID" w:val="100 km/h"/>
        </w:smartTagPr>
        <w:r>
          <w:t>100 km/h</w:t>
        </w:r>
      </w:smartTag>
      <w:r>
        <w:t xml:space="preserve"> , a także na liniach podłużnych </w:t>
      </w:r>
      <w:proofErr w:type="spellStart"/>
      <w:r>
        <w:lastRenderedPageBreak/>
        <w:t>oznakowań</w:t>
      </w:r>
      <w:proofErr w:type="spellEnd"/>
      <w:r>
        <w:t xml:space="preserve"> z </w:t>
      </w:r>
      <w:proofErr w:type="spellStart"/>
      <w:r>
        <w:t>wygarbieniami</w:t>
      </w:r>
      <w:proofErr w:type="spellEnd"/>
      <w:r>
        <w:t>, należy wykonywać przy użyciu mobilnego reflektometru zainstalowanego na samochodzie i wykonującego pomiary w ruchu.</w:t>
      </w:r>
    </w:p>
    <w:p w:rsidR="00ED0C0A" w:rsidRDefault="00ED0C0A" w:rsidP="00ED0C0A">
      <w:pPr>
        <w:numPr>
          <w:ilvl w:val="12"/>
          <w:numId w:val="0"/>
        </w:numPr>
      </w:pPr>
      <w:r>
        <w:tab/>
        <w:t xml:space="preserve">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w:t>
      </w:r>
      <w:smartTag w:uri="urn:schemas-microsoft-com:office:smarttags" w:element="metricconverter">
        <w:smartTagPr>
          <w:attr w:name="ProductID" w:val="1 m"/>
        </w:smartTagPr>
        <w:r>
          <w:t>1 m</w:t>
        </w:r>
      </w:smartTag>
      <w:r>
        <w:t>.</w:t>
      </w:r>
    </w:p>
    <w:p w:rsidR="00ED0C0A" w:rsidRDefault="00ED0C0A" w:rsidP="00ED0C0A">
      <w:pPr>
        <w:pStyle w:val="Tekstpodstawowywcity2"/>
        <w:spacing w:before="120"/>
        <w:jc w:val="both"/>
        <w:rPr>
          <w:b/>
        </w:rPr>
      </w:pPr>
      <w:r>
        <w:rPr>
          <w:b/>
        </w:rPr>
        <w:t>Tablica 2. Częstotliwość pomiarów współczynników odblaskowości i luminancji aparatami ręcznymi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1995"/>
        <w:gridCol w:w="2126"/>
        <w:gridCol w:w="1559"/>
      </w:tblGrid>
      <w:tr w:rsidR="00ED0C0A" w:rsidTr="00ED0C0A">
        <w:tc>
          <w:tcPr>
            <w:tcW w:w="567" w:type="dxa"/>
            <w:tcBorders>
              <w:bottom w:val="double" w:sz="4" w:space="0" w:color="auto"/>
            </w:tcBorders>
            <w:vAlign w:val="center"/>
          </w:tcPr>
          <w:p w:rsidR="00ED0C0A" w:rsidRDefault="00ED0C0A" w:rsidP="00ED0C0A">
            <w:pPr>
              <w:numPr>
                <w:ilvl w:val="12"/>
                <w:numId w:val="0"/>
              </w:numPr>
              <w:spacing w:before="20" w:after="20"/>
              <w:jc w:val="center"/>
              <w:rPr>
                <w:bCs/>
              </w:rPr>
            </w:pPr>
            <w:r>
              <w:rPr>
                <w:bCs/>
              </w:rPr>
              <w:t>Lp.</w:t>
            </w:r>
          </w:p>
        </w:tc>
        <w:tc>
          <w:tcPr>
            <w:tcW w:w="1995" w:type="dxa"/>
            <w:tcBorders>
              <w:bottom w:val="double" w:sz="4" w:space="0" w:color="auto"/>
            </w:tcBorders>
            <w:vAlign w:val="center"/>
          </w:tcPr>
          <w:p w:rsidR="00ED0C0A" w:rsidRDefault="00ED0C0A" w:rsidP="00ED0C0A">
            <w:pPr>
              <w:numPr>
                <w:ilvl w:val="12"/>
                <w:numId w:val="0"/>
              </w:numPr>
              <w:spacing w:before="20" w:after="20"/>
              <w:jc w:val="center"/>
              <w:rPr>
                <w:bCs/>
              </w:rPr>
            </w:pPr>
            <w:r>
              <w:rPr>
                <w:bCs/>
              </w:rPr>
              <w:t>Długość odcinka, km</w:t>
            </w:r>
          </w:p>
        </w:tc>
        <w:tc>
          <w:tcPr>
            <w:tcW w:w="2126" w:type="dxa"/>
            <w:tcBorders>
              <w:bottom w:val="double" w:sz="4" w:space="0" w:color="auto"/>
            </w:tcBorders>
            <w:vAlign w:val="center"/>
          </w:tcPr>
          <w:p w:rsidR="00ED0C0A" w:rsidRDefault="00ED0C0A" w:rsidP="00ED0C0A">
            <w:pPr>
              <w:numPr>
                <w:ilvl w:val="12"/>
                <w:numId w:val="0"/>
              </w:numPr>
              <w:spacing w:before="20" w:after="20"/>
              <w:jc w:val="center"/>
              <w:rPr>
                <w:bCs/>
              </w:rPr>
            </w:pPr>
            <w:r>
              <w:rPr>
                <w:bCs/>
              </w:rPr>
              <w:t>Częstotliwość pomiarów, co najmniej</w:t>
            </w:r>
          </w:p>
        </w:tc>
        <w:tc>
          <w:tcPr>
            <w:tcW w:w="1559" w:type="dxa"/>
            <w:tcBorders>
              <w:bottom w:val="double" w:sz="4" w:space="0" w:color="auto"/>
            </w:tcBorders>
            <w:vAlign w:val="center"/>
          </w:tcPr>
          <w:p w:rsidR="00ED0C0A" w:rsidRDefault="00ED0C0A" w:rsidP="00ED0C0A">
            <w:pPr>
              <w:numPr>
                <w:ilvl w:val="12"/>
                <w:numId w:val="0"/>
              </w:numPr>
              <w:spacing w:before="20" w:after="20"/>
              <w:jc w:val="center"/>
              <w:rPr>
                <w:bCs/>
              </w:rPr>
            </w:pPr>
            <w:r>
              <w:rPr>
                <w:bCs/>
              </w:rPr>
              <w:t>Minimalna ilość pomiarów</w:t>
            </w:r>
          </w:p>
        </w:tc>
      </w:tr>
      <w:tr w:rsidR="00ED0C0A" w:rsidTr="00ED0C0A">
        <w:tc>
          <w:tcPr>
            <w:tcW w:w="567" w:type="dxa"/>
            <w:tcBorders>
              <w:top w:val="double" w:sz="4" w:space="0" w:color="auto"/>
            </w:tcBorders>
          </w:tcPr>
          <w:p w:rsidR="00ED0C0A" w:rsidRDefault="00ED0C0A" w:rsidP="00ED0C0A">
            <w:pPr>
              <w:spacing w:before="20" w:after="20"/>
              <w:ind w:left="57"/>
              <w:jc w:val="center"/>
            </w:pPr>
            <w:r>
              <w:t>1</w:t>
            </w:r>
          </w:p>
        </w:tc>
        <w:tc>
          <w:tcPr>
            <w:tcW w:w="1995" w:type="dxa"/>
            <w:tcBorders>
              <w:top w:val="double" w:sz="4" w:space="0" w:color="auto"/>
            </w:tcBorders>
          </w:tcPr>
          <w:p w:rsidR="00ED0C0A" w:rsidRDefault="00ED0C0A" w:rsidP="00ED0C0A">
            <w:pPr>
              <w:numPr>
                <w:ilvl w:val="12"/>
                <w:numId w:val="0"/>
              </w:numPr>
              <w:spacing w:before="20" w:after="20"/>
            </w:pPr>
            <w:r>
              <w:t>od 0 do 3</w:t>
            </w:r>
          </w:p>
        </w:tc>
        <w:tc>
          <w:tcPr>
            <w:tcW w:w="2126" w:type="dxa"/>
            <w:tcBorders>
              <w:top w:val="double" w:sz="4" w:space="0" w:color="auto"/>
            </w:tcBorders>
          </w:tcPr>
          <w:p w:rsidR="00ED0C0A" w:rsidRDefault="00ED0C0A" w:rsidP="00ED0C0A">
            <w:pPr>
              <w:numPr>
                <w:ilvl w:val="12"/>
                <w:numId w:val="0"/>
              </w:numPr>
              <w:spacing w:before="20" w:after="20"/>
              <w:jc w:val="center"/>
            </w:pPr>
            <w:r>
              <w:t xml:space="preserve">od 0,1 do </w:t>
            </w:r>
            <w:smartTag w:uri="urn:schemas-microsoft-com:office:smarttags" w:element="metricconverter">
              <w:smartTagPr>
                <w:attr w:name="ProductID" w:val="0,5 km"/>
              </w:smartTagPr>
              <w:r>
                <w:t>0,5 km</w:t>
              </w:r>
            </w:smartTag>
          </w:p>
        </w:tc>
        <w:tc>
          <w:tcPr>
            <w:tcW w:w="1559" w:type="dxa"/>
            <w:tcBorders>
              <w:top w:val="double" w:sz="4" w:space="0" w:color="auto"/>
            </w:tcBorders>
          </w:tcPr>
          <w:p w:rsidR="00ED0C0A" w:rsidRDefault="00ED0C0A" w:rsidP="00ED0C0A">
            <w:pPr>
              <w:numPr>
                <w:ilvl w:val="12"/>
                <w:numId w:val="0"/>
              </w:numPr>
              <w:spacing w:before="20" w:after="20"/>
              <w:jc w:val="center"/>
            </w:pPr>
            <w:r>
              <w:t>3-6</w:t>
            </w:r>
          </w:p>
        </w:tc>
      </w:tr>
      <w:tr w:rsidR="00ED0C0A" w:rsidTr="00ED0C0A">
        <w:tc>
          <w:tcPr>
            <w:tcW w:w="567" w:type="dxa"/>
          </w:tcPr>
          <w:p w:rsidR="00ED0C0A" w:rsidRDefault="00ED0C0A" w:rsidP="00ED0C0A">
            <w:pPr>
              <w:spacing w:before="20" w:after="20"/>
              <w:ind w:left="57"/>
              <w:jc w:val="center"/>
            </w:pPr>
            <w:r>
              <w:t>2</w:t>
            </w:r>
          </w:p>
        </w:tc>
        <w:tc>
          <w:tcPr>
            <w:tcW w:w="1995" w:type="dxa"/>
          </w:tcPr>
          <w:p w:rsidR="00ED0C0A" w:rsidRDefault="00ED0C0A" w:rsidP="00ED0C0A">
            <w:pPr>
              <w:numPr>
                <w:ilvl w:val="12"/>
                <w:numId w:val="0"/>
              </w:numPr>
              <w:spacing w:before="20" w:after="20"/>
            </w:pPr>
            <w:r>
              <w:t>od 3 do 10</w:t>
            </w:r>
          </w:p>
        </w:tc>
        <w:tc>
          <w:tcPr>
            <w:tcW w:w="2126" w:type="dxa"/>
          </w:tcPr>
          <w:p w:rsidR="00ED0C0A" w:rsidRDefault="00ED0C0A" w:rsidP="00ED0C0A">
            <w:pPr>
              <w:numPr>
                <w:ilvl w:val="12"/>
                <w:numId w:val="0"/>
              </w:numPr>
              <w:spacing w:before="20" w:after="20"/>
              <w:jc w:val="center"/>
            </w:pPr>
            <w:r>
              <w:t xml:space="preserve">co </w:t>
            </w:r>
            <w:smartTag w:uri="urn:schemas-microsoft-com:office:smarttags" w:element="metricconverter">
              <w:smartTagPr>
                <w:attr w:name="ProductID" w:val="1 km"/>
              </w:smartTagPr>
              <w:r>
                <w:t>1 km</w:t>
              </w:r>
            </w:smartTag>
          </w:p>
        </w:tc>
        <w:tc>
          <w:tcPr>
            <w:tcW w:w="1559" w:type="dxa"/>
          </w:tcPr>
          <w:p w:rsidR="00ED0C0A" w:rsidRDefault="00ED0C0A" w:rsidP="00ED0C0A">
            <w:pPr>
              <w:numPr>
                <w:ilvl w:val="12"/>
                <w:numId w:val="0"/>
              </w:numPr>
              <w:spacing w:before="20" w:after="20"/>
              <w:jc w:val="center"/>
            </w:pPr>
            <w:r>
              <w:t>11</w:t>
            </w:r>
          </w:p>
        </w:tc>
      </w:tr>
      <w:tr w:rsidR="00ED0C0A" w:rsidTr="00ED0C0A">
        <w:tc>
          <w:tcPr>
            <w:tcW w:w="567" w:type="dxa"/>
          </w:tcPr>
          <w:p w:rsidR="00ED0C0A" w:rsidRDefault="00ED0C0A" w:rsidP="00ED0C0A">
            <w:pPr>
              <w:spacing w:before="20" w:after="20"/>
              <w:ind w:left="57"/>
              <w:jc w:val="center"/>
            </w:pPr>
            <w:r>
              <w:t>3</w:t>
            </w:r>
          </w:p>
        </w:tc>
        <w:tc>
          <w:tcPr>
            <w:tcW w:w="1995" w:type="dxa"/>
          </w:tcPr>
          <w:p w:rsidR="00ED0C0A" w:rsidRDefault="00ED0C0A" w:rsidP="00ED0C0A">
            <w:pPr>
              <w:numPr>
                <w:ilvl w:val="12"/>
                <w:numId w:val="0"/>
              </w:numPr>
              <w:spacing w:before="20" w:after="20"/>
            </w:pPr>
            <w:r>
              <w:t xml:space="preserve">od 10 do 20 </w:t>
            </w:r>
          </w:p>
        </w:tc>
        <w:tc>
          <w:tcPr>
            <w:tcW w:w="2126" w:type="dxa"/>
          </w:tcPr>
          <w:p w:rsidR="00ED0C0A" w:rsidRDefault="00ED0C0A" w:rsidP="00ED0C0A">
            <w:pPr>
              <w:numPr>
                <w:ilvl w:val="12"/>
                <w:numId w:val="0"/>
              </w:numPr>
              <w:spacing w:before="20" w:after="20"/>
              <w:jc w:val="center"/>
            </w:pPr>
            <w:r>
              <w:t xml:space="preserve">co </w:t>
            </w:r>
            <w:smartTag w:uri="urn:schemas-microsoft-com:office:smarttags" w:element="metricconverter">
              <w:smartTagPr>
                <w:attr w:name="ProductID" w:val="2 km"/>
              </w:smartTagPr>
              <w:r>
                <w:t>2 km</w:t>
              </w:r>
            </w:smartTag>
          </w:p>
        </w:tc>
        <w:tc>
          <w:tcPr>
            <w:tcW w:w="1559" w:type="dxa"/>
          </w:tcPr>
          <w:p w:rsidR="00ED0C0A" w:rsidRDefault="00ED0C0A" w:rsidP="00ED0C0A">
            <w:pPr>
              <w:numPr>
                <w:ilvl w:val="12"/>
                <w:numId w:val="0"/>
              </w:numPr>
              <w:spacing w:before="20" w:after="20"/>
              <w:jc w:val="center"/>
            </w:pPr>
            <w:r>
              <w:t>11</w:t>
            </w:r>
          </w:p>
        </w:tc>
      </w:tr>
      <w:tr w:rsidR="00ED0C0A" w:rsidTr="00ED0C0A">
        <w:tc>
          <w:tcPr>
            <w:tcW w:w="567" w:type="dxa"/>
          </w:tcPr>
          <w:p w:rsidR="00ED0C0A" w:rsidRDefault="00ED0C0A" w:rsidP="00ED0C0A">
            <w:pPr>
              <w:spacing w:before="20" w:after="20"/>
              <w:ind w:left="57"/>
              <w:jc w:val="center"/>
            </w:pPr>
            <w:r>
              <w:t>4</w:t>
            </w:r>
          </w:p>
        </w:tc>
        <w:tc>
          <w:tcPr>
            <w:tcW w:w="1995" w:type="dxa"/>
          </w:tcPr>
          <w:p w:rsidR="00ED0C0A" w:rsidRDefault="00ED0C0A" w:rsidP="00ED0C0A">
            <w:pPr>
              <w:numPr>
                <w:ilvl w:val="12"/>
                <w:numId w:val="0"/>
              </w:numPr>
              <w:spacing w:before="20" w:after="20"/>
            </w:pPr>
            <w:r>
              <w:t xml:space="preserve">od 20 do 30    </w:t>
            </w:r>
          </w:p>
        </w:tc>
        <w:tc>
          <w:tcPr>
            <w:tcW w:w="2126" w:type="dxa"/>
          </w:tcPr>
          <w:p w:rsidR="00ED0C0A" w:rsidRDefault="00ED0C0A" w:rsidP="00ED0C0A">
            <w:pPr>
              <w:numPr>
                <w:ilvl w:val="12"/>
                <w:numId w:val="0"/>
              </w:numPr>
              <w:spacing w:before="20" w:after="20"/>
              <w:jc w:val="center"/>
            </w:pPr>
            <w:r>
              <w:t xml:space="preserve">co </w:t>
            </w:r>
            <w:smartTag w:uri="urn:schemas-microsoft-com:office:smarttags" w:element="metricconverter">
              <w:smartTagPr>
                <w:attr w:name="ProductID" w:val="3 km"/>
              </w:smartTagPr>
              <w:r>
                <w:t>3 km</w:t>
              </w:r>
            </w:smartTag>
          </w:p>
        </w:tc>
        <w:tc>
          <w:tcPr>
            <w:tcW w:w="1559" w:type="dxa"/>
          </w:tcPr>
          <w:p w:rsidR="00ED0C0A" w:rsidRDefault="00ED0C0A" w:rsidP="00ED0C0A">
            <w:pPr>
              <w:numPr>
                <w:ilvl w:val="12"/>
                <w:numId w:val="0"/>
              </w:numPr>
              <w:spacing w:before="20" w:after="20"/>
              <w:jc w:val="center"/>
            </w:pPr>
            <w:r>
              <w:t>11</w:t>
            </w:r>
          </w:p>
        </w:tc>
      </w:tr>
      <w:tr w:rsidR="00ED0C0A" w:rsidTr="00ED0C0A">
        <w:tc>
          <w:tcPr>
            <w:tcW w:w="567" w:type="dxa"/>
          </w:tcPr>
          <w:p w:rsidR="00ED0C0A" w:rsidRDefault="00ED0C0A" w:rsidP="00ED0C0A">
            <w:pPr>
              <w:spacing w:before="20" w:after="20"/>
              <w:ind w:left="57"/>
              <w:jc w:val="center"/>
            </w:pPr>
            <w:r>
              <w:t>5</w:t>
            </w:r>
          </w:p>
        </w:tc>
        <w:tc>
          <w:tcPr>
            <w:tcW w:w="1995" w:type="dxa"/>
          </w:tcPr>
          <w:p w:rsidR="00ED0C0A" w:rsidRDefault="00ED0C0A" w:rsidP="00ED0C0A">
            <w:pPr>
              <w:numPr>
                <w:ilvl w:val="12"/>
                <w:numId w:val="0"/>
              </w:numPr>
              <w:spacing w:before="20" w:after="20"/>
            </w:pPr>
            <w:r>
              <w:t>powyżej 30</w:t>
            </w:r>
          </w:p>
        </w:tc>
        <w:tc>
          <w:tcPr>
            <w:tcW w:w="2126" w:type="dxa"/>
          </w:tcPr>
          <w:p w:rsidR="00ED0C0A" w:rsidRDefault="00ED0C0A" w:rsidP="00ED0C0A">
            <w:pPr>
              <w:numPr>
                <w:ilvl w:val="12"/>
                <w:numId w:val="0"/>
              </w:numPr>
              <w:spacing w:before="20" w:after="20"/>
              <w:jc w:val="center"/>
            </w:pPr>
            <w:r>
              <w:t xml:space="preserve">co </w:t>
            </w:r>
            <w:smartTag w:uri="urn:schemas-microsoft-com:office:smarttags" w:element="metricconverter">
              <w:smartTagPr>
                <w:attr w:name="ProductID" w:val="4 km"/>
              </w:smartTagPr>
              <w:r>
                <w:t>4 km</w:t>
              </w:r>
            </w:smartTag>
          </w:p>
        </w:tc>
        <w:tc>
          <w:tcPr>
            <w:tcW w:w="1559" w:type="dxa"/>
          </w:tcPr>
          <w:p w:rsidR="00ED0C0A" w:rsidRDefault="00ED0C0A" w:rsidP="00ED0C0A">
            <w:pPr>
              <w:numPr>
                <w:ilvl w:val="12"/>
                <w:numId w:val="0"/>
              </w:numPr>
              <w:spacing w:before="20" w:after="20"/>
              <w:jc w:val="center"/>
            </w:pPr>
            <w:r>
              <w:t>&gt; 11</w:t>
            </w:r>
          </w:p>
        </w:tc>
      </w:tr>
    </w:tbl>
    <w:p w:rsidR="00ED0C0A" w:rsidRDefault="00ED0C0A" w:rsidP="00ED0C0A">
      <w:pPr>
        <w:numPr>
          <w:ilvl w:val="12"/>
          <w:numId w:val="0"/>
        </w:numPr>
        <w:spacing w:before="120"/>
        <w:ind w:firstLine="709"/>
      </w:pPr>
      <w:r>
        <w:t>Wartość wskaźnika szorstkości zaleca się oznaczyć w 2 – 4 punktach oznakowania odcinka.</w:t>
      </w:r>
    </w:p>
    <w:p w:rsidR="00ED0C0A" w:rsidRDefault="00ED0C0A" w:rsidP="00ED0C0A">
      <w:pPr>
        <w:numPr>
          <w:ilvl w:val="12"/>
          <w:numId w:val="0"/>
        </w:numPr>
        <w:spacing w:before="120"/>
        <w:ind w:left="709" w:hanging="709"/>
      </w:pPr>
      <w:r>
        <w:rPr>
          <w:b/>
        </w:rPr>
        <w:t xml:space="preserve">6.3.3. </w:t>
      </w:r>
      <w:r>
        <w:t>Badania wykonania oznakowania poziomego z zastosowaniem punktowych elementów odblaskowych</w:t>
      </w:r>
    </w:p>
    <w:p w:rsidR="00ED0C0A" w:rsidRDefault="00ED0C0A" w:rsidP="00ED0C0A">
      <w:pPr>
        <w:numPr>
          <w:ilvl w:val="12"/>
          <w:numId w:val="0"/>
        </w:numPr>
        <w:spacing w:before="120"/>
      </w:pPr>
      <w:r>
        <w:tab/>
        <w:t>Wykonawca wykonując oznakowanie z prefabrykowanych elementów odblaskowych przeprowadza, co najmniej raz dziennie lub zgodnie z ustaleniem SST, następujące badania:</w:t>
      </w:r>
    </w:p>
    <w:p w:rsidR="00ED0C0A" w:rsidRDefault="00ED0C0A" w:rsidP="00ED0C0A">
      <w:pPr>
        <w:numPr>
          <w:ilvl w:val="0"/>
          <w:numId w:val="1"/>
        </w:numPr>
        <w:overflowPunct w:val="0"/>
        <w:autoSpaceDE w:val="0"/>
        <w:autoSpaceDN w:val="0"/>
        <w:adjustRightInd w:val="0"/>
        <w:jc w:val="both"/>
        <w:textAlignment w:val="baseline"/>
      </w:pPr>
      <w:r>
        <w:t>sprawdzenie oznakowania opakowań,</w:t>
      </w:r>
    </w:p>
    <w:p w:rsidR="00ED0C0A" w:rsidRDefault="00ED0C0A" w:rsidP="00ED0C0A">
      <w:pPr>
        <w:numPr>
          <w:ilvl w:val="0"/>
          <w:numId w:val="1"/>
        </w:numPr>
        <w:overflowPunct w:val="0"/>
        <w:autoSpaceDE w:val="0"/>
        <w:autoSpaceDN w:val="0"/>
        <w:adjustRightInd w:val="0"/>
        <w:jc w:val="both"/>
        <w:textAlignment w:val="baseline"/>
      </w:pPr>
      <w:r>
        <w:t>sprawdzenie rodzaju stosowanego kleju lub innych elementów mocujących, zgodnie z zaleceniami SST,</w:t>
      </w:r>
    </w:p>
    <w:p w:rsidR="00ED0C0A" w:rsidRDefault="00ED0C0A" w:rsidP="00ED0C0A">
      <w:pPr>
        <w:numPr>
          <w:ilvl w:val="0"/>
          <w:numId w:val="1"/>
        </w:numPr>
        <w:overflowPunct w:val="0"/>
        <w:autoSpaceDE w:val="0"/>
        <w:autoSpaceDN w:val="0"/>
        <w:adjustRightInd w:val="0"/>
        <w:jc w:val="both"/>
        <w:textAlignment w:val="baseline"/>
      </w:pPr>
      <w:r>
        <w:t>wizualną ocenę stanu elementów, w zakresie ich kompletności i braku wad,</w:t>
      </w:r>
    </w:p>
    <w:p w:rsidR="00ED0C0A" w:rsidRDefault="00ED0C0A" w:rsidP="00ED0C0A">
      <w:pPr>
        <w:numPr>
          <w:ilvl w:val="0"/>
          <w:numId w:val="1"/>
        </w:numPr>
        <w:overflowPunct w:val="0"/>
        <w:autoSpaceDE w:val="0"/>
        <w:autoSpaceDN w:val="0"/>
        <w:adjustRightInd w:val="0"/>
        <w:jc w:val="both"/>
        <w:textAlignment w:val="baseline"/>
      </w:pPr>
      <w:r>
        <w:t>temperatury powietrza i nawierzchni,</w:t>
      </w:r>
    </w:p>
    <w:p w:rsidR="00ED0C0A" w:rsidRDefault="00ED0C0A" w:rsidP="00ED0C0A">
      <w:pPr>
        <w:numPr>
          <w:ilvl w:val="0"/>
          <w:numId w:val="1"/>
        </w:numPr>
        <w:overflowPunct w:val="0"/>
        <w:autoSpaceDE w:val="0"/>
        <w:autoSpaceDN w:val="0"/>
        <w:adjustRightInd w:val="0"/>
        <w:jc w:val="both"/>
        <w:textAlignment w:val="baseline"/>
      </w:pPr>
      <w:r>
        <w:t>pomiaru czasu oddania do ruchu,</w:t>
      </w:r>
    </w:p>
    <w:p w:rsidR="00ED0C0A" w:rsidRDefault="00ED0C0A" w:rsidP="00ED0C0A">
      <w:pPr>
        <w:numPr>
          <w:ilvl w:val="0"/>
          <w:numId w:val="1"/>
        </w:numPr>
        <w:overflowPunct w:val="0"/>
        <w:autoSpaceDE w:val="0"/>
        <w:autoSpaceDN w:val="0"/>
        <w:adjustRightInd w:val="0"/>
        <w:jc w:val="both"/>
        <w:textAlignment w:val="baseline"/>
      </w:pPr>
      <w:r>
        <w:t>wizualną ocenę liniowości i kierunkowości przyklejenia elementów,</w:t>
      </w:r>
    </w:p>
    <w:p w:rsidR="00ED0C0A" w:rsidRDefault="00ED0C0A" w:rsidP="00ED0C0A">
      <w:pPr>
        <w:numPr>
          <w:ilvl w:val="0"/>
          <w:numId w:val="1"/>
        </w:numPr>
        <w:overflowPunct w:val="0"/>
        <w:autoSpaceDE w:val="0"/>
        <w:autoSpaceDN w:val="0"/>
        <w:adjustRightInd w:val="0"/>
        <w:jc w:val="both"/>
        <w:textAlignment w:val="baseline"/>
      </w:pPr>
      <w:r>
        <w:t>równomierności przyklejenia elementów na całej długości linii,</w:t>
      </w:r>
    </w:p>
    <w:p w:rsidR="00ED0C0A" w:rsidRDefault="00ED0C0A" w:rsidP="00ED0C0A">
      <w:pPr>
        <w:numPr>
          <w:ilvl w:val="0"/>
          <w:numId w:val="1"/>
        </w:numPr>
        <w:overflowPunct w:val="0"/>
        <w:autoSpaceDE w:val="0"/>
        <w:autoSpaceDN w:val="0"/>
        <w:adjustRightInd w:val="0"/>
        <w:jc w:val="both"/>
        <w:textAlignment w:val="baseline"/>
      </w:pPr>
      <w:r>
        <w:t>zgodności wykonania oznakowania z dokumentacja projektową i załącznikiem nr 2 do rozporządzenia Ministra Infrastruktury z 3 lipca 2003 r. [7].</w:t>
      </w:r>
    </w:p>
    <w:p w:rsidR="00ED0C0A" w:rsidRDefault="00ED0C0A" w:rsidP="00ED0C0A">
      <w:pPr>
        <w:ind w:firstLine="709"/>
      </w:pPr>
      <w:r>
        <w:t>Protokół z przeprowadzonych badań wraz z próbkami przyklejonych elementów, w liczbie określonej w SST, Wykonawca przechowuje do czasu upływu okresu gwarancji.</w:t>
      </w:r>
    </w:p>
    <w:p w:rsidR="00ED0C0A" w:rsidRDefault="00ED0C0A" w:rsidP="00ED0C0A">
      <w:pPr>
        <w:numPr>
          <w:ilvl w:val="12"/>
          <w:numId w:val="0"/>
        </w:numPr>
      </w:pPr>
      <w:r>
        <w:tab/>
        <w:t>W przypadku wątpliwości dotyczących wykonania oznakowania poziomego Inżynier może zlecić wykonanie badań widzialności w nocy, na próbkach zdjętych z nawierzchni i dostarczonych do laboratorium, na zgodność z wymaganiami podanymi            w SST lub aprobacie technicznej, wykonanych według metod określonych w                  PN-EN 1463-1 [5] lub w Warunkach technicznych POD-97 [9] lub POD-2006 (po wydaniu) [10]. Jeśli wyniki tych badań wykażą wadliwość wykonanego oznakowania to koszt badań ponosi Wykonawca, w przypadku przeciwnym - Zamawiający.</w:t>
      </w:r>
    </w:p>
    <w:p w:rsidR="00ED0C0A" w:rsidRDefault="00ED0C0A" w:rsidP="00ED0C0A">
      <w:pPr>
        <w:spacing w:before="120" w:after="120"/>
      </w:pPr>
      <w:r>
        <w:rPr>
          <w:b/>
        </w:rPr>
        <w:t xml:space="preserve">6.3.4. </w:t>
      </w:r>
      <w:r>
        <w:t xml:space="preserve">Zbiorcze zestawienie wymagań dla materiałów i </w:t>
      </w:r>
      <w:proofErr w:type="spellStart"/>
      <w:r>
        <w:t>oznakowań</w:t>
      </w:r>
      <w:proofErr w:type="spellEnd"/>
    </w:p>
    <w:p w:rsidR="00ED0C0A" w:rsidRDefault="00ED0C0A" w:rsidP="00ED0C0A">
      <w:r>
        <w:tab/>
        <w:t xml:space="preserve">W tablicy 3 podano zbiorcze zestawienie dla materiałów. W tablicy 4 podano zbiorcze zestawienie dla </w:t>
      </w:r>
      <w:proofErr w:type="spellStart"/>
      <w:r>
        <w:t>oznakowań</w:t>
      </w:r>
      <w:proofErr w:type="spellEnd"/>
      <w:r>
        <w:t xml:space="preserve"> na autostradach, drogach ekspresowych oraz na drogach o prędkości </w:t>
      </w:r>
      <w:r>
        <w:sym w:font="Symbol" w:char="F0B3"/>
      </w:r>
      <w:r>
        <w:t xml:space="preserve"> </w:t>
      </w:r>
      <w:smartTag w:uri="urn:schemas-microsoft-com:office:smarttags" w:element="metricconverter">
        <w:smartTagPr>
          <w:attr w:name="ProductID" w:val="100 km/h"/>
        </w:smartTagPr>
        <w:r>
          <w:t>100 km/h</w:t>
        </w:r>
      </w:smartTag>
      <w:r>
        <w:t xml:space="preserve"> lub o natężeniu ruchu &gt; 2 500 pojazdów rzeczywistych na dobę na pas. W tablicy 5 podano zbiorcze zestawienie dla </w:t>
      </w:r>
      <w:proofErr w:type="spellStart"/>
      <w:r>
        <w:t>oznakowań</w:t>
      </w:r>
      <w:proofErr w:type="spellEnd"/>
      <w:r>
        <w:t xml:space="preserve"> na pozostałych drogach.</w:t>
      </w:r>
    </w:p>
    <w:p w:rsidR="00ED0C0A" w:rsidRDefault="00ED0C0A" w:rsidP="00ED0C0A">
      <w:pPr>
        <w:pStyle w:val="Nagwek4"/>
        <w:spacing w:before="120" w:after="120"/>
        <w:rPr>
          <w:b w:val="0"/>
        </w:rPr>
      </w:pPr>
    </w:p>
    <w:p w:rsidR="00ED0C0A" w:rsidRDefault="00ED0C0A" w:rsidP="00ED0C0A">
      <w:pPr>
        <w:pStyle w:val="Nagwek4"/>
        <w:spacing w:before="120" w:after="120"/>
        <w:rPr>
          <w:b w:val="0"/>
        </w:rPr>
      </w:pPr>
      <w:r>
        <w:t>Tablica 3.   Zbiorcze zestawienie wymagań dla materiałów</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685"/>
        <w:gridCol w:w="1134"/>
        <w:gridCol w:w="2196"/>
      </w:tblGrid>
      <w:tr w:rsidR="00ED0C0A" w:rsidTr="00ED0C0A">
        <w:trPr>
          <w:tblHeader/>
        </w:trPr>
        <w:tc>
          <w:tcPr>
            <w:tcW w:w="496" w:type="dxa"/>
            <w:tcBorders>
              <w:bottom w:val="double" w:sz="4" w:space="0" w:color="auto"/>
            </w:tcBorders>
          </w:tcPr>
          <w:p w:rsidR="00ED0C0A" w:rsidRDefault="00ED0C0A" w:rsidP="00ED0C0A">
            <w:pPr>
              <w:spacing w:before="120"/>
              <w:jc w:val="center"/>
              <w:rPr>
                <w:bCs/>
              </w:rPr>
            </w:pPr>
            <w:r>
              <w:rPr>
                <w:bCs/>
              </w:rPr>
              <w:t>Lp.</w:t>
            </w:r>
          </w:p>
        </w:tc>
        <w:tc>
          <w:tcPr>
            <w:tcW w:w="3685" w:type="dxa"/>
            <w:tcBorders>
              <w:bottom w:val="double" w:sz="4" w:space="0" w:color="auto"/>
            </w:tcBorders>
          </w:tcPr>
          <w:p w:rsidR="00ED0C0A" w:rsidRDefault="00ED0C0A" w:rsidP="00ED0C0A">
            <w:pPr>
              <w:spacing w:before="120"/>
              <w:jc w:val="center"/>
              <w:rPr>
                <w:bCs/>
              </w:rPr>
            </w:pPr>
            <w:r>
              <w:rPr>
                <w:bCs/>
              </w:rPr>
              <w:t>Właściwość</w:t>
            </w:r>
          </w:p>
        </w:tc>
        <w:tc>
          <w:tcPr>
            <w:tcW w:w="1134" w:type="dxa"/>
            <w:tcBorders>
              <w:bottom w:val="double" w:sz="4" w:space="0" w:color="auto"/>
            </w:tcBorders>
          </w:tcPr>
          <w:p w:rsidR="00ED0C0A" w:rsidRDefault="00ED0C0A" w:rsidP="00ED0C0A">
            <w:pPr>
              <w:spacing w:before="120" w:after="120"/>
              <w:rPr>
                <w:bCs/>
              </w:rPr>
            </w:pPr>
            <w:r>
              <w:rPr>
                <w:bCs/>
              </w:rPr>
              <w:t>Jednostka</w:t>
            </w:r>
          </w:p>
        </w:tc>
        <w:tc>
          <w:tcPr>
            <w:tcW w:w="2196" w:type="dxa"/>
            <w:tcBorders>
              <w:bottom w:val="double" w:sz="4" w:space="0" w:color="auto"/>
            </w:tcBorders>
          </w:tcPr>
          <w:p w:rsidR="00ED0C0A" w:rsidRDefault="00ED0C0A" w:rsidP="00ED0C0A">
            <w:pPr>
              <w:spacing w:before="120" w:after="120"/>
              <w:jc w:val="center"/>
              <w:rPr>
                <w:bCs/>
              </w:rPr>
            </w:pPr>
            <w:r>
              <w:rPr>
                <w:bCs/>
              </w:rPr>
              <w:t>Wymagania</w:t>
            </w:r>
          </w:p>
        </w:tc>
      </w:tr>
      <w:tr w:rsidR="00ED0C0A" w:rsidTr="00ED0C0A">
        <w:tc>
          <w:tcPr>
            <w:tcW w:w="496" w:type="dxa"/>
            <w:tcBorders>
              <w:top w:val="double" w:sz="4" w:space="0" w:color="auto"/>
            </w:tcBorders>
          </w:tcPr>
          <w:p w:rsidR="00ED0C0A" w:rsidRDefault="00ED0C0A" w:rsidP="00A46F82">
            <w:pPr>
              <w:numPr>
                <w:ilvl w:val="0"/>
                <w:numId w:val="197"/>
              </w:numPr>
              <w:tabs>
                <w:tab w:val="left" w:pos="417"/>
              </w:tabs>
              <w:overflowPunct w:val="0"/>
              <w:autoSpaceDE w:val="0"/>
              <w:autoSpaceDN w:val="0"/>
              <w:adjustRightInd w:val="0"/>
              <w:ind w:left="57"/>
              <w:jc w:val="center"/>
              <w:textAlignment w:val="baseline"/>
            </w:pPr>
          </w:p>
        </w:tc>
        <w:tc>
          <w:tcPr>
            <w:tcW w:w="3685" w:type="dxa"/>
            <w:tcBorders>
              <w:top w:val="double" w:sz="4" w:space="0" w:color="auto"/>
            </w:tcBorders>
          </w:tcPr>
          <w:p w:rsidR="00ED0C0A" w:rsidRDefault="00ED0C0A" w:rsidP="00ED0C0A">
            <w:pPr>
              <w:numPr>
                <w:ilvl w:val="12"/>
                <w:numId w:val="0"/>
              </w:numPr>
            </w:pPr>
            <w:r>
              <w:t>Zawartość składników lotnych w materiałach do znakowania</w:t>
            </w:r>
          </w:p>
          <w:p w:rsidR="00ED0C0A" w:rsidRDefault="00ED0C0A" w:rsidP="00A46F82">
            <w:pPr>
              <w:numPr>
                <w:ilvl w:val="0"/>
                <w:numId w:val="201"/>
              </w:numPr>
              <w:overflowPunct w:val="0"/>
              <w:autoSpaceDE w:val="0"/>
              <w:autoSpaceDN w:val="0"/>
              <w:adjustRightInd w:val="0"/>
              <w:jc w:val="both"/>
              <w:textAlignment w:val="baseline"/>
            </w:pPr>
            <w:r>
              <w:t>rozpuszczalników organicznych</w:t>
            </w:r>
          </w:p>
          <w:p w:rsidR="00ED0C0A" w:rsidRDefault="00ED0C0A" w:rsidP="00A46F82">
            <w:pPr>
              <w:numPr>
                <w:ilvl w:val="0"/>
                <w:numId w:val="201"/>
              </w:numPr>
              <w:overflowPunct w:val="0"/>
              <w:autoSpaceDE w:val="0"/>
              <w:autoSpaceDN w:val="0"/>
              <w:adjustRightInd w:val="0"/>
              <w:jc w:val="both"/>
              <w:textAlignment w:val="baseline"/>
            </w:pPr>
            <w:r>
              <w:t>rozpuszczalników aromatycznych</w:t>
            </w:r>
          </w:p>
          <w:p w:rsidR="00ED0C0A" w:rsidRDefault="00ED0C0A" w:rsidP="00A46F82">
            <w:pPr>
              <w:numPr>
                <w:ilvl w:val="0"/>
                <w:numId w:val="201"/>
              </w:numPr>
              <w:overflowPunct w:val="0"/>
              <w:autoSpaceDE w:val="0"/>
              <w:autoSpaceDN w:val="0"/>
              <w:adjustRightInd w:val="0"/>
              <w:textAlignment w:val="baseline"/>
            </w:pPr>
            <w:r>
              <w:t>benzenu i rozpuszczalników chlorowanych</w:t>
            </w:r>
          </w:p>
        </w:tc>
        <w:tc>
          <w:tcPr>
            <w:tcW w:w="1134"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 (m/m)</w:t>
            </w:r>
          </w:p>
          <w:p w:rsidR="00ED0C0A" w:rsidRDefault="00ED0C0A" w:rsidP="00ED0C0A">
            <w:pPr>
              <w:numPr>
                <w:ilvl w:val="12"/>
                <w:numId w:val="0"/>
              </w:numPr>
              <w:jc w:val="center"/>
            </w:pPr>
            <w:r>
              <w:t>% (m/m)</w:t>
            </w:r>
          </w:p>
          <w:p w:rsidR="00ED0C0A" w:rsidRDefault="00ED0C0A" w:rsidP="00ED0C0A">
            <w:pPr>
              <w:numPr>
                <w:ilvl w:val="12"/>
                <w:numId w:val="0"/>
              </w:numPr>
              <w:jc w:val="center"/>
            </w:pPr>
          </w:p>
          <w:p w:rsidR="00ED0C0A" w:rsidRDefault="00ED0C0A" w:rsidP="00ED0C0A">
            <w:pPr>
              <w:numPr>
                <w:ilvl w:val="12"/>
                <w:numId w:val="0"/>
              </w:numPr>
              <w:jc w:val="center"/>
            </w:pPr>
            <w:r>
              <w:t>% (m/m)</w:t>
            </w:r>
          </w:p>
        </w:tc>
        <w:tc>
          <w:tcPr>
            <w:tcW w:w="2196"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sym w:font="Symbol" w:char="F0A3"/>
            </w:r>
            <w:r>
              <w:t xml:space="preserve"> 25</w:t>
            </w:r>
          </w:p>
          <w:p w:rsidR="00ED0C0A" w:rsidRDefault="00ED0C0A" w:rsidP="00ED0C0A">
            <w:pPr>
              <w:numPr>
                <w:ilvl w:val="12"/>
                <w:numId w:val="0"/>
              </w:numPr>
              <w:jc w:val="center"/>
            </w:pPr>
            <w:r>
              <w:sym w:font="Symbol" w:char="F0A3"/>
            </w:r>
            <w:r>
              <w:t xml:space="preserve"> 8</w:t>
            </w:r>
          </w:p>
          <w:p w:rsidR="00ED0C0A" w:rsidRDefault="00ED0C0A" w:rsidP="00ED0C0A">
            <w:pPr>
              <w:numPr>
                <w:ilvl w:val="12"/>
                <w:numId w:val="0"/>
              </w:numPr>
              <w:jc w:val="center"/>
            </w:pPr>
          </w:p>
          <w:p w:rsidR="00ED0C0A" w:rsidRDefault="00ED0C0A" w:rsidP="00ED0C0A">
            <w:pPr>
              <w:numPr>
                <w:ilvl w:val="12"/>
                <w:numId w:val="0"/>
              </w:numPr>
              <w:jc w:val="center"/>
            </w:pPr>
            <w:r>
              <w:t>0</w:t>
            </w:r>
          </w:p>
        </w:tc>
      </w:tr>
      <w:tr w:rsidR="00ED0C0A" w:rsidTr="00ED0C0A">
        <w:tc>
          <w:tcPr>
            <w:tcW w:w="496" w:type="dxa"/>
          </w:tcPr>
          <w:p w:rsidR="00ED0C0A" w:rsidRDefault="00ED0C0A" w:rsidP="00A46F82">
            <w:pPr>
              <w:numPr>
                <w:ilvl w:val="0"/>
                <w:numId w:val="197"/>
              </w:numPr>
              <w:overflowPunct w:val="0"/>
              <w:autoSpaceDE w:val="0"/>
              <w:autoSpaceDN w:val="0"/>
              <w:adjustRightInd w:val="0"/>
              <w:spacing w:after="120"/>
              <w:jc w:val="both"/>
              <w:textAlignment w:val="baseline"/>
            </w:pPr>
          </w:p>
        </w:tc>
        <w:tc>
          <w:tcPr>
            <w:tcW w:w="3685" w:type="dxa"/>
          </w:tcPr>
          <w:p w:rsidR="00ED0C0A" w:rsidRDefault="00ED0C0A" w:rsidP="00ED0C0A">
            <w:r>
              <w:t xml:space="preserve">Właściwości kulek szklanych </w:t>
            </w:r>
          </w:p>
          <w:p w:rsidR="00ED0C0A" w:rsidRDefault="00ED0C0A" w:rsidP="00A46F82">
            <w:pPr>
              <w:pStyle w:val="Tekstprzypisudolnego"/>
              <w:numPr>
                <w:ilvl w:val="0"/>
                <w:numId w:val="202"/>
              </w:numPr>
            </w:pPr>
            <w:r>
              <w:t>współczynnik załamania światła</w:t>
            </w:r>
          </w:p>
          <w:p w:rsidR="00ED0C0A" w:rsidRDefault="00ED0C0A" w:rsidP="00A46F82">
            <w:pPr>
              <w:numPr>
                <w:ilvl w:val="0"/>
                <w:numId w:val="202"/>
              </w:numPr>
              <w:overflowPunct w:val="0"/>
              <w:autoSpaceDE w:val="0"/>
              <w:autoSpaceDN w:val="0"/>
              <w:adjustRightInd w:val="0"/>
              <w:jc w:val="both"/>
              <w:textAlignment w:val="baseline"/>
            </w:pPr>
            <w:r>
              <w:t>zawartość kulek z defektami</w:t>
            </w:r>
          </w:p>
        </w:tc>
        <w:tc>
          <w:tcPr>
            <w:tcW w:w="1134" w:type="dxa"/>
          </w:tcPr>
          <w:p w:rsidR="00ED0C0A" w:rsidRDefault="00ED0C0A" w:rsidP="00ED0C0A">
            <w:pPr>
              <w:jc w:val="center"/>
            </w:pPr>
          </w:p>
          <w:p w:rsidR="00ED0C0A" w:rsidRDefault="00ED0C0A" w:rsidP="00ED0C0A">
            <w:pPr>
              <w:jc w:val="center"/>
            </w:pPr>
            <w:r>
              <w:t>-</w:t>
            </w:r>
          </w:p>
          <w:p w:rsidR="00ED0C0A" w:rsidRDefault="00ED0C0A" w:rsidP="00ED0C0A">
            <w:pPr>
              <w:jc w:val="center"/>
            </w:pPr>
            <w:r>
              <w:t>%</w:t>
            </w:r>
          </w:p>
        </w:tc>
        <w:tc>
          <w:tcPr>
            <w:tcW w:w="2196" w:type="dxa"/>
          </w:tcPr>
          <w:p w:rsidR="00ED0C0A" w:rsidRDefault="00ED0C0A" w:rsidP="00ED0C0A">
            <w:pPr>
              <w:jc w:val="center"/>
            </w:pPr>
          </w:p>
          <w:p w:rsidR="00ED0C0A" w:rsidRDefault="00ED0C0A" w:rsidP="00ED0C0A">
            <w:pPr>
              <w:jc w:val="center"/>
            </w:pPr>
            <w:r>
              <w:sym w:font="Symbol" w:char="F0B3"/>
            </w:r>
            <w:r>
              <w:t xml:space="preserve"> 1,5</w:t>
            </w:r>
          </w:p>
          <w:p w:rsidR="00ED0C0A" w:rsidRDefault="00ED0C0A" w:rsidP="00ED0C0A">
            <w:pPr>
              <w:jc w:val="center"/>
            </w:pPr>
            <w:r>
              <w:t>20</w:t>
            </w:r>
          </w:p>
        </w:tc>
      </w:tr>
      <w:tr w:rsidR="00ED0C0A" w:rsidTr="00ED0C0A">
        <w:tc>
          <w:tcPr>
            <w:tcW w:w="496" w:type="dxa"/>
          </w:tcPr>
          <w:p w:rsidR="00ED0C0A" w:rsidRDefault="00ED0C0A" w:rsidP="00A46F82">
            <w:pPr>
              <w:pStyle w:val="Stopka"/>
              <w:numPr>
                <w:ilvl w:val="0"/>
                <w:numId w:val="197"/>
              </w:numPr>
              <w:tabs>
                <w:tab w:val="clear" w:pos="4536"/>
                <w:tab w:val="clear" w:pos="9072"/>
              </w:tabs>
              <w:overflowPunct w:val="0"/>
              <w:autoSpaceDE w:val="0"/>
              <w:autoSpaceDN w:val="0"/>
              <w:adjustRightInd w:val="0"/>
              <w:spacing w:after="120"/>
              <w:jc w:val="both"/>
              <w:textAlignment w:val="baseline"/>
            </w:pPr>
          </w:p>
        </w:tc>
        <w:tc>
          <w:tcPr>
            <w:tcW w:w="3685" w:type="dxa"/>
          </w:tcPr>
          <w:p w:rsidR="00ED0C0A" w:rsidRDefault="00ED0C0A" w:rsidP="00ED0C0A">
            <w:r>
              <w:t>Okres stałości właściwości materiałów do znakowania przy składowaniu</w:t>
            </w:r>
          </w:p>
        </w:tc>
        <w:tc>
          <w:tcPr>
            <w:tcW w:w="1134" w:type="dxa"/>
          </w:tcPr>
          <w:p w:rsidR="00ED0C0A" w:rsidRDefault="00ED0C0A" w:rsidP="00ED0C0A">
            <w:pPr>
              <w:spacing w:before="120"/>
              <w:jc w:val="center"/>
            </w:pPr>
            <w:r>
              <w:t>miesiące</w:t>
            </w:r>
          </w:p>
        </w:tc>
        <w:tc>
          <w:tcPr>
            <w:tcW w:w="2196" w:type="dxa"/>
          </w:tcPr>
          <w:p w:rsidR="00ED0C0A" w:rsidRDefault="00ED0C0A" w:rsidP="00ED0C0A">
            <w:pPr>
              <w:spacing w:before="120"/>
              <w:jc w:val="center"/>
            </w:pPr>
            <w:r>
              <w:sym w:font="Symbol" w:char="F0B3"/>
            </w:r>
            <w:r>
              <w:t xml:space="preserve"> 6</w:t>
            </w:r>
          </w:p>
        </w:tc>
      </w:tr>
    </w:tbl>
    <w:p w:rsidR="00ED0C0A" w:rsidRDefault="00ED0C0A" w:rsidP="00ED0C0A">
      <w:pPr>
        <w:spacing w:before="120" w:after="120"/>
      </w:pPr>
    </w:p>
    <w:p w:rsidR="00ED0C0A" w:rsidRDefault="00ED0C0A" w:rsidP="00ED0C0A">
      <w:pPr>
        <w:tabs>
          <w:tab w:val="left" w:pos="851"/>
        </w:tabs>
        <w:spacing w:before="120" w:after="120"/>
        <w:ind w:left="851" w:hanging="851"/>
      </w:pPr>
      <w:r>
        <w:t>Tablica 4.</w:t>
      </w:r>
      <w:r>
        <w:tab/>
        <w:t xml:space="preserve">Zbiorcze zestawienie wymagań dla </w:t>
      </w:r>
      <w:proofErr w:type="spellStart"/>
      <w:r>
        <w:t>oznakowań</w:t>
      </w:r>
      <w:proofErr w:type="spellEnd"/>
      <w:r>
        <w:t xml:space="preserve"> na autostradach, drogach ekspresowych oraz na drogach o prędkości </w:t>
      </w:r>
      <w:r>
        <w:sym w:font="Symbol" w:char="F0B3"/>
      </w:r>
      <w:r>
        <w:t xml:space="preserve"> </w:t>
      </w:r>
      <w:smartTag w:uri="urn:schemas-microsoft-com:office:smarttags" w:element="metricconverter">
        <w:smartTagPr>
          <w:attr w:name="ProductID" w:val="100 km/h"/>
        </w:smartTagPr>
        <w:r>
          <w:t>100 km/h</w:t>
        </w:r>
      </w:smartTag>
      <w:r>
        <w:t xml:space="preserve"> lub o natężeniu ruchu &gt; 2 500 pojazdów rzeczywistych na dobę na pas</w:t>
      </w:r>
    </w:p>
    <w:tbl>
      <w:tblPr>
        <w:tblW w:w="7515" w:type="dxa"/>
        <w:tblBorders>
          <w:top w:val="doub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85"/>
        <w:gridCol w:w="1134"/>
        <w:gridCol w:w="1276"/>
        <w:gridCol w:w="924"/>
      </w:tblGrid>
      <w:tr w:rsidR="00ED0C0A" w:rsidTr="00ED0C0A">
        <w:trPr>
          <w:cantSplit/>
          <w:tblHeader/>
        </w:trPr>
        <w:tc>
          <w:tcPr>
            <w:tcW w:w="496" w:type="dxa"/>
            <w:tcBorders>
              <w:top w:val="single" w:sz="4" w:space="0" w:color="auto"/>
              <w:bottom w:val="double" w:sz="4" w:space="0" w:color="auto"/>
            </w:tcBorders>
          </w:tcPr>
          <w:p w:rsidR="00ED0C0A" w:rsidRDefault="00ED0C0A" w:rsidP="00ED0C0A">
            <w:pPr>
              <w:spacing w:before="120" w:after="120"/>
              <w:jc w:val="center"/>
              <w:rPr>
                <w:bCs/>
              </w:rPr>
            </w:pPr>
            <w:r>
              <w:rPr>
                <w:bCs/>
              </w:rPr>
              <w:t>Lp.</w:t>
            </w:r>
          </w:p>
        </w:tc>
        <w:tc>
          <w:tcPr>
            <w:tcW w:w="3685" w:type="dxa"/>
            <w:tcBorders>
              <w:top w:val="single" w:sz="4" w:space="0" w:color="auto"/>
              <w:bottom w:val="double" w:sz="4" w:space="0" w:color="auto"/>
            </w:tcBorders>
          </w:tcPr>
          <w:p w:rsidR="00ED0C0A" w:rsidRDefault="00ED0C0A" w:rsidP="00ED0C0A">
            <w:pPr>
              <w:spacing w:before="120" w:after="120"/>
              <w:jc w:val="center"/>
              <w:rPr>
                <w:bCs/>
              </w:rPr>
            </w:pPr>
            <w:r>
              <w:rPr>
                <w:bCs/>
              </w:rPr>
              <w:t>Właściwość</w:t>
            </w:r>
          </w:p>
        </w:tc>
        <w:tc>
          <w:tcPr>
            <w:tcW w:w="1134" w:type="dxa"/>
            <w:tcBorders>
              <w:top w:val="single" w:sz="4" w:space="0" w:color="auto"/>
              <w:bottom w:val="double" w:sz="4" w:space="0" w:color="auto"/>
            </w:tcBorders>
          </w:tcPr>
          <w:p w:rsidR="00ED0C0A" w:rsidRDefault="00ED0C0A" w:rsidP="00ED0C0A">
            <w:pPr>
              <w:spacing w:before="120" w:after="120"/>
              <w:jc w:val="center"/>
              <w:rPr>
                <w:bCs/>
              </w:rPr>
            </w:pPr>
            <w:r>
              <w:rPr>
                <w:bCs/>
              </w:rPr>
              <w:t xml:space="preserve">Jednostka </w:t>
            </w:r>
          </w:p>
        </w:tc>
        <w:tc>
          <w:tcPr>
            <w:tcW w:w="1276" w:type="dxa"/>
            <w:tcBorders>
              <w:top w:val="single" w:sz="4" w:space="0" w:color="auto"/>
              <w:bottom w:val="double" w:sz="4" w:space="0" w:color="auto"/>
            </w:tcBorders>
          </w:tcPr>
          <w:p w:rsidR="00ED0C0A" w:rsidRDefault="00ED0C0A" w:rsidP="00ED0C0A">
            <w:pPr>
              <w:spacing w:before="120" w:after="120"/>
              <w:jc w:val="center"/>
              <w:rPr>
                <w:bCs/>
              </w:rPr>
            </w:pPr>
            <w:r>
              <w:rPr>
                <w:bCs/>
              </w:rPr>
              <w:t>Wymagania</w:t>
            </w:r>
          </w:p>
        </w:tc>
        <w:tc>
          <w:tcPr>
            <w:tcW w:w="924" w:type="dxa"/>
            <w:tcBorders>
              <w:top w:val="single" w:sz="4" w:space="0" w:color="auto"/>
              <w:bottom w:val="double" w:sz="4" w:space="0" w:color="auto"/>
            </w:tcBorders>
          </w:tcPr>
          <w:p w:rsidR="00ED0C0A" w:rsidRDefault="00ED0C0A" w:rsidP="00ED0C0A">
            <w:pPr>
              <w:spacing w:before="120" w:after="120"/>
              <w:jc w:val="center"/>
              <w:rPr>
                <w:bCs/>
              </w:rPr>
            </w:pPr>
            <w:r>
              <w:rPr>
                <w:bCs/>
              </w:rPr>
              <w:t>Klasa</w:t>
            </w:r>
          </w:p>
        </w:tc>
      </w:tr>
      <w:tr w:rsidR="00ED0C0A" w:rsidTr="00ED0C0A">
        <w:trPr>
          <w:cantSplit/>
        </w:trPr>
        <w:tc>
          <w:tcPr>
            <w:tcW w:w="496" w:type="dxa"/>
            <w:tcBorders>
              <w:top w:val="double" w:sz="4" w:space="0" w:color="auto"/>
            </w:tcBorders>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Borders>
              <w:top w:val="double" w:sz="4" w:space="0" w:color="auto"/>
            </w:tcBorders>
          </w:tcPr>
          <w:p w:rsidR="00ED0C0A" w:rsidRDefault="00ED0C0A" w:rsidP="00ED0C0A">
            <w:pPr>
              <w:numPr>
                <w:ilvl w:val="12"/>
                <w:numId w:val="0"/>
              </w:numPr>
            </w:pPr>
            <w:r>
              <w:t>Współczynnik odblasku R</w:t>
            </w:r>
            <w:r>
              <w:rPr>
                <w:vertAlign w:val="subscript"/>
              </w:rPr>
              <w:t>L</w:t>
            </w:r>
            <w:r>
              <w:t xml:space="preserve"> dla oznako-</w:t>
            </w:r>
            <w:proofErr w:type="spellStart"/>
            <w:r>
              <w:t>wania</w:t>
            </w:r>
            <w:proofErr w:type="spellEnd"/>
            <w:r>
              <w:t xml:space="preserve"> nowego (w ciągu 14 - 30 dni po wykonaniu) w stanie suchym barwy:    </w:t>
            </w:r>
          </w:p>
          <w:p w:rsidR="00ED0C0A" w:rsidRDefault="00ED0C0A" w:rsidP="00A46F82">
            <w:pPr>
              <w:numPr>
                <w:ilvl w:val="1"/>
                <w:numId w:val="200"/>
              </w:numPr>
              <w:overflowPunct w:val="0"/>
              <w:autoSpaceDE w:val="0"/>
              <w:autoSpaceDN w:val="0"/>
              <w:adjustRightInd w:val="0"/>
              <w:ind w:left="355"/>
              <w:jc w:val="both"/>
              <w:textAlignment w:val="baseline"/>
            </w:pPr>
            <w:r>
              <w:t>białej</w:t>
            </w:r>
          </w:p>
          <w:p w:rsidR="00ED0C0A" w:rsidRDefault="00ED0C0A" w:rsidP="00A46F82">
            <w:pPr>
              <w:numPr>
                <w:ilvl w:val="1"/>
                <w:numId w:val="200"/>
              </w:numPr>
              <w:overflowPunct w:val="0"/>
              <w:autoSpaceDE w:val="0"/>
              <w:autoSpaceDN w:val="0"/>
              <w:adjustRightInd w:val="0"/>
              <w:ind w:left="355"/>
              <w:jc w:val="both"/>
              <w:textAlignment w:val="baseline"/>
            </w:pPr>
            <w:r>
              <w:t>żółtej tymczasowej</w:t>
            </w:r>
          </w:p>
        </w:tc>
        <w:tc>
          <w:tcPr>
            <w:tcW w:w="1134"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250</w:t>
            </w:r>
          </w:p>
          <w:p w:rsidR="00ED0C0A" w:rsidRDefault="00ED0C0A" w:rsidP="00ED0C0A">
            <w:pPr>
              <w:numPr>
                <w:ilvl w:val="12"/>
                <w:numId w:val="0"/>
              </w:numPr>
              <w:jc w:val="center"/>
            </w:pPr>
            <w:r>
              <w:sym w:font="Symbol" w:char="F0B3"/>
            </w:r>
            <w:r>
              <w:t xml:space="preserve"> 150</w:t>
            </w:r>
          </w:p>
        </w:tc>
        <w:tc>
          <w:tcPr>
            <w:tcW w:w="924"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R4/5</w:t>
            </w:r>
          </w:p>
          <w:p w:rsidR="00ED0C0A" w:rsidRDefault="00ED0C0A" w:rsidP="00ED0C0A">
            <w:pPr>
              <w:numPr>
                <w:ilvl w:val="12"/>
                <w:numId w:val="0"/>
              </w:numPr>
              <w:jc w:val="center"/>
            </w:pPr>
            <w:r>
              <w:t>R3</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r>
              <w:t>Współczynnik odblasku R</w:t>
            </w:r>
            <w:r>
              <w:rPr>
                <w:vertAlign w:val="subscript"/>
              </w:rPr>
              <w:t>L</w:t>
            </w:r>
            <w:r>
              <w:t xml:space="preserve"> dla oznako-</w:t>
            </w:r>
            <w:proofErr w:type="spellStart"/>
            <w:r>
              <w:t>wania</w:t>
            </w:r>
            <w:proofErr w:type="spellEnd"/>
            <w:r>
              <w:t xml:space="preserve"> suchego w okresie od 1 do 6 miesięcy po wykonaniu, barwy: </w:t>
            </w:r>
          </w:p>
          <w:p w:rsidR="00ED0C0A" w:rsidRDefault="00ED0C0A" w:rsidP="00A46F82">
            <w:pPr>
              <w:numPr>
                <w:ilvl w:val="0"/>
                <w:numId w:val="203"/>
              </w:numPr>
              <w:overflowPunct w:val="0"/>
              <w:autoSpaceDE w:val="0"/>
              <w:autoSpaceDN w:val="0"/>
              <w:adjustRightInd w:val="0"/>
              <w:ind w:left="355"/>
              <w:jc w:val="both"/>
              <w:textAlignment w:val="baseline"/>
            </w:pPr>
            <w:r>
              <w:t>białej</w:t>
            </w:r>
          </w:p>
          <w:p w:rsidR="00ED0C0A" w:rsidRDefault="00ED0C0A" w:rsidP="00A46F82">
            <w:pPr>
              <w:numPr>
                <w:ilvl w:val="0"/>
                <w:numId w:val="203"/>
              </w:numPr>
              <w:overflowPunct w:val="0"/>
              <w:autoSpaceDE w:val="0"/>
              <w:autoSpaceDN w:val="0"/>
              <w:adjustRightInd w:val="0"/>
              <w:ind w:left="355"/>
              <w:jc w:val="both"/>
              <w:textAlignment w:val="baseline"/>
            </w:pPr>
            <w:r>
              <w:t>żółtej</w:t>
            </w:r>
          </w:p>
        </w:tc>
        <w:tc>
          <w:tcPr>
            <w:tcW w:w="1134" w:type="dxa"/>
          </w:tcPr>
          <w:p w:rsidR="00ED0C0A" w:rsidRDefault="00ED0C0A" w:rsidP="00ED0C0A">
            <w:pPr>
              <w:jc w:val="center"/>
            </w:pPr>
          </w:p>
          <w:p w:rsidR="00ED0C0A" w:rsidRDefault="00ED0C0A" w:rsidP="00ED0C0A">
            <w:pPr>
              <w:jc w:val="center"/>
            </w:pPr>
          </w:p>
          <w:p w:rsidR="00ED0C0A" w:rsidRDefault="00ED0C0A" w:rsidP="00ED0C0A">
            <w:pPr>
              <w:jc w:val="center"/>
            </w:pPr>
          </w:p>
          <w:p w:rsidR="00ED0C0A" w:rsidRDefault="00ED0C0A" w:rsidP="00ED0C0A">
            <w:pPr>
              <w:jc w:val="center"/>
              <w:rPr>
                <w:vertAlign w:val="superscript"/>
              </w:rPr>
            </w:pPr>
            <w:r>
              <w:t>mcd m</w:t>
            </w:r>
            <w:r>
              <w:rPr>
                <w:vertAlign w:val="superscript"/>
              </w:rPr>
              <w:t>-2</w:t>
            </w:r>
            <w:r>
              <w:t xml:space="preserve"> lx</w:t>
            </w:r>
            <w:r>
              <w:rPr>
                <w:vertAlign w:val="superscript"/>
              </w:rPr>
              <w:t>-1</w:t>
            </w:r>
          </w:p>
          <w:p w:rsidR="00ED0C0A" w:rsidRDefault="00ED0C0A" w:rsidP="00ED0C0A">
            <w:pPr>
              <w:jc w:val="center"/>
            </w:pPr>
            <w:r>
              <w:t>mcd m</w:t>
            </w:r>
            <w:r>
              <w:rPr>
                <w:vertAlign w:val="superscript"/>
              </w:rPr>
              <w:t>-2</w:t>
            </w:r>
            <w:r>
              <w:t xml:space="preserve"> lx</w:t>
            </w:r>
            <w:r>
              <w:rPr>
                <w:vertAlign w:val="superscript"/>
              </w:rPr>
              <w:t>-1</w:t>
            </w:r>
          </w:p>
        </w:tc>
        <w:tc>
          <w:tcPr>
            <w:tcW w:w="1276" w:type="dxa"/>
          </w:tcPr>
          <w:p w:rsidR="00ED0C0A" w:rsidRDefault="00ED0C0A" w:rsidP="00ED0C0A">
            <w:pPr>
              <w:jc w:val="center"/>
            </w:pPr>
          </w:p>
          <w:p w:rsidR="00ED0C0A" w:rsidRDefault="00ED0C0A" w:rsidP="00ED0C0A">
            <w:pPr>
              <w:jc w:val="center"/>
            </w:pPr>
          </w:p>
          <w:p w:rsidR="00ED0C0A" w:rsidRDefault="00ED0C0A" w:rsidP="00ED0C0A">
            <w:pPr>
              <w:jc w:val="center"/>
            </w:pPr>
          </w:p>
          <w:p w:rsidR="00ED0C0A" w:rsidRDefault="00ED0C0A" w:rsidP="00ED0C0A">
            <w:pPr>
              <w:jc w:val="center"/>
            </w:pPr>
            <w:r>
              <w:sym w:font="Symbol" w:char="F0B3"/>
            </w:r>
            <w:r>
              <w:t xml:space="preserve"> 200</w:t>
            </w:r>
          </w:p>
          <w:p w:rsidR="00ED0C0A" w:rsidRDefault="00ED0C0A" w:rsidP="00ED0C0A">
            <w:pPr>
              <w:jc w:val="center"/>
            </w:pPr>
            <w:r>
              <w:sym w:font="Symbol" w:char="F0B3"/>
            </w:r>
            <w:r>
              <w:t xml:space="preserve"> 100</w:t>
            </w:r>
          </w:p>
        </w:tc>
        <w:tc>
          <w:tcPr>
            <w:tcW w:w="924" w:type="dxa"/>
          </w:tcPr>
          <w:p w:rsidR="00ED0C0A" w:rsidRDefault="00ED0C0A" w:rsidP="00ED0C0A">
            <w:pPr>
              <w:jc w:val="center"/>
            </w:pPr>
          </w:p>
          <w:p w:rsidR="00ED0C0A" w:rsidRDefault="00ED0C0A" w:rsidP="00ED0C0A">
            <w:pPr>
              <w:jc w:val="center"/>
            </w:pPr>
          </w:p>
          <w:p w:rsidR="00ED0C0A" w:rsidRDefault="00ED0C0A" w:rsidP="00ED0C0A">
            <w:pPr>
              <w:jc w:val="center"/>
            </w:pPr>
          </w:p>
          <w:p w:rsidR="00ED0C0A" w:rsidRDefault="00ED0C0A" w:rsidP="00ED0C0A">
            <w:pPr>
              <w:jc w:val="center"/>
            </w:pPr>
            <w:r>
              <w:t>R4</w:t>
            </w:r>
          </w:p>
          <w:p w:rsidR="00ED0C0A" w:rsidRDefault="00ED0C0A" w:rsidP="00ED0C0A">
            <w:pPr>
              <w:jc w:val="center"/>
            </w:pPr>
            <w:r>
              <w:t>R2</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pPr>
              <w:numPr>
                <w:ilvl w:val="12"/>
                <w:numId w:val="0"/>
              </w:numPr>
            </w:pPr>
            <w:r>
              <w:t>Współczynnik odblasku R</w:t>
            </w:r>
            <w:r>
              <w:rPr>
                <w:vertAlign w:val="subscript"/>
              </w:rPr>
              <w:t>L</w:t>
            </w:r>
            <w:r>
              <w:t xml:space="preserve"> dla oznako-</w:t>
            </w:r>
            <w:proofErr w:type="spellStart"/>
            <w:r>
              <w:t>wania</w:t>
            </w:r>
            <w:proofErr w:type="spellEnd"/>
            <w:r>
              <w:t xml:space="preserve"> suchego od 7 miesiąca po wykonaniu barwy białej</w:t>
            </w:r>
          </w:p>
        </w:tc>
        <w:tc>
          <w:tcPr>
            <w:tcW w:w="1134" w:type="dxa"/>
            <w:vAlign w:val="center"/>
          </w:tcPr>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vAlign w:val="center"/>
          </w:tcPr>
          <w:p w:rsidR="00ED0C0A" w:rsidRDefault="00ED0C0A" w:rsidP="00ED0C0A">
            <w:pPr>
              <w:numPr>
                <w:ilvl w:val="12"/>
                <w:numId w:val="0"/>
              </w:numPr>
              <w:jc w:val="center"/>
            </w:pPr>
            <w:r>
              <w:sym w:font="Symbol" w:char="F0B3"/>
            </w:r>
            <w:r>
              <w:t xml:space="preserve"> 150</w:t>
            </w:r>
          </w:p>
        </w:tc>
        <w:tc>
          <w:tcPr>
            <w:tcW w:w="924" w:type="dxa"/>
            <w:vAlign w:val="center"/>
          </w:tcPr>
          <w:p w:rsidR="00ED0C0A" w:rsidRDefault="00ED0C0A" w:rsidP="00ED0C0A">
            <w:pPr>
              <w:numPr>
                <w:ilvl w:val="12"/>
                <w:numId w:val="0"/>
              </w:numPr>
              <w:jc w:val="center"/>
            </w:pPr>
            <w:r>
              <w:t>R3</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pPr>
              <w:numPr>
                <w:ilvl w:val="12"/>
                <w:numId w:val="0"/>
              </w:numPr>
            </w:pPr>
            <w:r>
              <w:t>Współczynnik odblasku R</w:t>
            </w:r>
            <w:r>
              <w:rPr>
                <w:vertAlign w:val="subscript"/>
              </w:rPr>
              <w:t>L</w:t>
            </w:r>
            <w:r>
              <w:t xml:space="preserve"> dla grubowarstwowego strukturalnego oznako-</w:t>
            </w:r>
            <w:proofErr w:type="spellStart"/>
            <w:r>
              <w:t>wania</w:t>
            </w:r>
            <w:proofErr w:type="spellEnd"/>
            <w:r>
              <w:t xml:space="preserve"> wilgotnego od 14 do 30 dnia po wykonaniu, barwy białej</w:t>
            </w:r>
          </w:p>
        </w:tc>
        <w:tc>
          <w:tcPr>
            <w:tcW w:w="1134" w:type="dxa"/>
            <w:vAlign w:val="center"/>
          </w:tcPr>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vAlign w:val="center"/>
          </w:tcPr>
          <w:p w:rsidR="00ED0C0A" w:rsidRDefault="00ED0C0A" w:rsidP="00ED0C0A">
            <w:pPr>
              <w:numPr>
                <w:ilvl w:val="12"/>
                <w:numId w:val="0"/>
              </w:numPr>
              <w:jc w:val="center"/>
            </w:pPr>
            <w:r>
              <w:sym w:font="Symbol" w:char="F0B3"/>
            </w:r>
            <w:r>
              <w:t xml:space="preserve"> 50</w:t>
            </w:r>
          </w:p>
        </w:tc>
        <w:tc>
          <w:tcPr>
            <w:tcW w:w="924" w:type="dxa"/>
            <w:vAlign w:val="center"/>
          </w:tcPr>
          <w:p w:rsidR="00ED0C0A" w:rsidRDefault="00ED0C0A" w:rsidP="00ED0C0A">
            <w:pPr>
              <w:numPr>
                <w:ilvl w:val="12"/>
                <w:numId w:val="0"/>
              </w:numPr>
              <w:jc w:val="center"/>
            </w:pPr>
            <w:r>
              <w:t>RW3</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pPr>
              <w:numPr>
                <w:ilvl w:val="12"/>
                <w:numId w:val="0"/>
              </w:numPr>
            </w:pPr>
            <w:r>
              <w:t>Współczynnik odblasku R</w:t>
            </w:r>
            <w:r>
              <w:rPr>
                <w:vertAlign w:val="subscript"/>
              </w:rPr>
              <w:t>L</w:t>
            </w:r>
            <w:r>
              <w:t xml:space="preserve"> dla grubowarstwowego strukturalnego oznako-</w:t>
            </w:r>
            <w:proofErr w:type="spellStart"/>
            <w:r>
              <w:t>wania</w:t>
            </w:r>
            <w:proofErr w:type="spellEnd"/>
            <w:r>
              <w:t xml:space="preserve"> wilgotnego po 30 dniu od wykonania, barwy białej</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35</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r>
              <w:t>RW2</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pPr>
              <w:numPr>
                <w:ilvl w:val="12"/>
                <w:numId w:val="0"/>
              </w:numPr>
            </w:pPr>
            <w:r>
              <w:t xml:space="preserve">Współczynnik luminancji </w:t>
            </w:r>
            <w:r>
              <w:sym w:font="Symbol" w:char="F062"/>
            </w:r>
            <w:r>
              <w:t xml:space="preserve"> dla </w:t>
            </w:r>
            <w:proofErr w:type="spellStart"/>
            <w:r>
              <w:t>oznakowa-nia</w:t>
            </w:r>
            <w:proofErr w:type="spellEnd"/>
            <w:r>
              <w:t xml:space="preserve"> nowego (od 14 do 30 dnia po wykonaniu)  barwy:</w:t>
            </w:r>
          </w:p>
          <w:p w:rsidR="00ED0C0A" w:rsidRDefault="00ED0C0A" w:rsidP="00A46F82">
            <w:pPr>
              <w:numPr>
                <w:ilvl w:val="0"/>
                <w:numId w:val="204"/>
              </w:numPr>
              <w:overflowPunct w:val="0"/>
              <w:autoSpaceDE w:val="0"/>
              <w:autoSpaceDN w:val="0"/>
              <w:adjustRightInd w:val="0"/>
              <w:jc w:val="both"/>
              <w:textAlignment w:val="baseline"/>
            </w:pPr>
            <w:r>
              <w:t>białej na nawierzchni asfaltowej</w:t>
            </w:r>
          </w:p>
          <w:p w:rsidR="00ED0C0A" w:rsidRDefault="00ED0C0A" w:rsidP="00A46F82">
            <w:pPr>
              <w:numPr>
                <w:ilvl w:val="0"/>
                <w:numId w:val="204"/>
              </w:numPr>
              <w:overflowPunct w:val="0"/>
              <w:autoSpaceDE w:val="0"/>
              <w:autoSpaceDN w:val="0"/>
              <w:adjustRightInd w:val="0"/>
              <w:jc w:val="both"/>
              <w:textAlignment w:val="baseline"/>
            </w:pPr>
            <w:r>
              <w:t>białej na nawierzchni betonowej</w:t>
            </w:r>
          </w:p>
          <w:p w:rsidR="00ED0C0A" w:rsidRDefault="00ED0C0A" w:rsidP="00A46F82">
            <w:pPr>
              <w:numPr>
                <w:ilvl w:val="0"/>
                <w:numId w:val="204"/>
              </w:numPr>
              <w:overflowPunct w:val="0"/>
              <w:autoSpaceDE w:val="0"/>
              <w:autoSpaceDN w:val="0"/>
              <w:adjustRightInd w:val="0"/>
              <w:jc w:val="both"/>
              <w:textAlignment w:val="baseline"/>
            </w:pPr>
            <w:r>
              <w:t xml:space="preserve">żółtej </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w:t>
            </w:r>
          </w:p>
          <w:p w:rsidR="00ED0C0A" w:rsidRDefault="00ED0C0A" w:rsidP="00ED0C0A">
            <w:pPr>
              <w:numPr>
                <w:ilvl w:val="12"/>
                <w:numId w:val="0"/>
              </w:numPr>
              <w:jc w:val="center"/>
            </w:pPr>
            <w:r>
              <w:t>-</w:t>
            </w:r>
          </w:p>
          <w:p w:rsidR="00ED0C0A" w:rsidRDefault="00ED0C0A" w:rsidP="00ED0C0A">
            <w:pPr>
              <w:numPr>
                <w:ilvl w:val="12"/>
                <w:numId w:val="0"/>
              </w:numPr>
              <w:jc w:val="center"/>
            </w:pPr>
            <w:r>
              <w:t>-</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0,40</w:t>
            </w:r>
          </w:p>
          <w:p w:rsidR="00ED0C0A" w:rsidRDefault="00ED0C0A" w:rsidP="00ED0C0A">
            <w:pPr>
              <w:numPr>
                <w:ilvl w:val="12"/>
                <w:numId w:val="0"/>
              </w:numPr>
              <w:jc w:val="center"/>
            </w:pPr>
            <w:r>
              <w:sym w:font="Symbol" w:char="F0B3"/>
            </w:r>
            <w:r>
              <w:t xml:space="preserve"> 0,50</w:t>
            </w:r>
          </w:p>
          <w:p w:rsidR="00ED0C0A" w:rsidRDefault="00ED0C0A" w:rsidP="00ED0C0A">
            <w:pPr>
              <w:numPr>
                <w:ilvl w:val="12"/>
                <w:numId w:val="0"/>
              </w:numPr>
              <w:jc w:val="center"/>
            </w:pPr>
            <w:r>
              <w:sym w:font="Symbol" w:char="F0B3"/>
            </w:r>
            <w:r>
              <w:t xml:space="preserve"> 0,30</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B3</w:t>
            </w:r>
          </w:p>
          <w:p w:rsidR="00ED0C0A" w:rsidRDefault="00ED0C0A" w:rsidP="00ED0C0A">
            <w:pPr>
              <w:numPr>
                <w:ilvl w:val="12"/>
                <w:numId w:val="0"/>
              </w:numPr>
              <w:jc w:val="center"/>
            </w:pPr>
            <w:r>
              <w:t>B4</w:t>
            </w:r>
          </w:p>
          <w:p w:rsidR="00ED0C0A" w:rsidRDefault="00ED0C0A" w:rsidP="00ED0C0A">
            <w:pPr>
              <w:numPr>
                <w:ilvl w:val="12"/>
                <w:numId w:val="0"/>
              </w:numPr>
              <w:jc w:val="center"/>
            </w:pPr>
            <w:r>
              <w:t>B2</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pPr>
              <w:numPr>
                <w:ilvl w:val="12"/>
                <w:numId w:val="0"/>
              </w:numPr>
            </w:pPr>
            <w:r>
              <w:t xml:space="preserve">Współczynnik luminancji </w:t>
            </w:r>
            <w:r>
              <w:sym w:font="Symbol" w:char="F062"/>
            </w:r>
            <w:r>
              <w:t xml:space="preserve"> dla </w:t>
            </w:r>
            <w:proofErr w:type="spellStart"/>
            <w:r>
              <w:t>oznakowa-nia</w:t>
            </w:r>
            <w:proofErr w:type="spellEnd"/>
            <w:r>
              <w:t xml:space="preserve"> eksploatowanego (po 30 dniu od wykonania) barwy:</w:t>
            </w:r>
          </w:p>
          <w:p w:rsidR="00ED0C0A" w:rsidRDefault="00ED0C0A" w:rsidP="00ED0C0A">
            <w:pPr>
              <w:numPr>
                <w:ilvl w:val="12"/>
                <w:numId w:val="0"/>
              </w:numPr>
            </w:pPr>
            <w:r>
              <w:t>- białej na nawierzchni asfaltowej</w:t>
            </w:r>
          </w:p>
          <w:p w:rsidR="00ED0C0A" w:rsidRDefault="00ED0C0A" w:rsidP="00ED0C0A">
            <w:pPr>
              <w:numPr>
                <w:ilvl w:val="12"/>
                <w:numId w:val="0"/>
              </w:numPr>
            </w:pPr>
            <w:r>
              <w:t>- białej na nawierzchni betonowej</w:t>
            </w:r>
          </w:p>
          <w:p w:rsidR="00ED0C0A" w:rsidRDefault="00ED0C0A" w:rsidP="00ED0C0A">
            <w:pPr>
              <w:pStyle w:val="Stopka"/>
              <w:numPr>
                <w:ilvl w:val="12"/>
                <w:numId w:val="0"/>
              </w:numPr>
              <w:tabs>
                <w:tab w:val="clear" w:pos="4536"/>
                <w:tab w:val="clear" w:pos="9072"/>
              </w:tabs>
            </w:pPr>
            <w:r>
              <w:t xml:space="preserve">- żółtej </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w:t>
            </w:r>
          </w:p>
          <w:p w:rsidR="00ED0C0A" w:rsidRDefault="00ED0C0A" w:rsidP="00ED0C0A">
            <w:pPr>
              <w:numPr>
                <w:ilvl w:val="12"/>
                <w:numId w:val="0"/>
              </w:numPr>
              <w:jc w:val="center"/>
            </w:pPr>
            <w:r>
              <w:t>-</w:t>
            </w:r>
          </w:p>
          <w:p w:rsidR="00ED0C0A" w:rsidRDefault="00ED0C0A" w:rsidP="00ED0C0A">
            <w:pPr>
              <w:numPr>
                <w:ilvl w:val="12"/>
                <w:numId w:val="0"/>
              </w:numPr>
              <w:jc w:val="center"/>
            </w:pPr>
            <w:r>
              <w:t>-</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pPr>
          </w:p>
          <w:p w:rsidR="00ED0C0A" w:rsidRDefault="00ED0C0A" w:rsidP="00ED0C0A">
            <w:pPr>
              <w:numPr>
                <w:ilvl w:val="12"/>
                <w:numId w:val="0"/>
              </w:numPr>
              <w:jc w:val="center"/>
            </w:pPr>
            <w:r>
              <w:sym w:font="Symbol" w:char="F0B3"/>
            </w:r>
            <w:r>
              <w:t xml:space="preserve"> 0,30</w:t>
            </w:r>
          </w:p>
          <w:p w:rsidR="00ED0C0A" w:rsidRDefault="00ED0C0A" w:rsidP="00ED0C0A">
            <w:pPr>
              <w:numPr>
                <w:ilvl w:val="12"/>
                <w:numId w:val="0"/>
              </w:numPr>
              <w:jc w:val="center"/>
            </w:pPr>
            <w:r>
              <w:sym w:font="Symbol" w:char="F0B3"/>
            </w:r>
            <w:r>
              <w:t xml:space="preserve"> 0,40</w:t>
            </w:r>
          </w:p>
          <w:p w:rsidR="00ED0C0A" w:rsidRDefault="00ED0C0A" w:rsidP="00ED0C0A">
            <w:pPr>
              <w:numPr>
                <w:ilvl w:val="12"/>
                <w:numId w:val="0"/>
              </w:numPr>
              <w:jc w:val="center"/>
            </w:pPr>
            <w:r>
              <w:sym w:font="Symbol" w:char="F0B3"/>
            </w:r>
            <w:r>
              <w:t xml:space="preserve"> 0,20</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B2</w:t>
            </w:r>
          </w:p>
          <w:p w:rsidR="00ED0C0A" w:rsidRDefault="00ED0C0A" w:rsidP="00ED0C0A">
            <w:pPr>
              <w:numPr>
                <w:ilvl w:val="12"/>
                <w:numId w:val="0"/>
              </w:numPr>
              <w:jc w:val="center"/>
            </w:pPr>
            <w:r>
              <w:t>B3</w:t>
            </w:r>
          </w:p>
          <w:p w:rsidR="00ED0C0A" w:rsidRDefault="00ED0C0A" w:rsidP="00ED0C0A">
            <w:pPr>
              <w:numPr>
                <w:ilvl w:val="12"/>
                <w:numId w:val="0"/>
              </w:numPr>
              <w:jc w:val="center"/>
            </w:pPr>
            <w:r>
              <w:t>B1</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pPr>
              <w:numPr>
                <w:ilvl w:val="12"/>
                <w:numId w:val="0"/>
              </w:numPr>
            </w:pPr>
            <w:r>
              <w:t xml:space="preserve">Współczynnik luminancji w świetle rozproszonym </w:t>
            </w:r>
            <w:proofErr w:type="spellStart"/>
            <w:r>
              <w:t>Qd</w:t>
            </w:r>
            <w:proofErr w:type="spellEnd"/>
            <w:r>
              <w:t xml:space="preserve"> (alternatywnie do </w:t>
            </w:r>
            <w:r>
              <w:sym w:font="Symbol" w:char="F062"/>
            </w:r>
            <w:r>
              <w:t>) dla oznakowania nowego w ciągu od 14 do 30  dnia po wykonaniu, barwy:</w:t>
            </w:r>
          </w:p>
          <w:p w:rsidR="00ED0C0A" w:rsidRDefault="00ED0C0A" w:rsidP="00A46F82">
            <w:pPr>
              <w:numPr>
                <w:ilvl w:val="0"/>
                <w:numId w:val="205"/>
              </w:numPr>
              <w:overflowPunct w:val="0"/>
              <w:autoSpaceDE w:val="0"/>
              <w:autoSpaceDN w:val="0"/>
              <w:adjustRightInd w:val="0"/>
              <w:jc w:val="both"/>
              <w:textAlignment w:val="baseline"/>
            </w:pPr>
            <w:r>
              <w:t>białej na nawierzchni asfaltowej</w:t>
            </w:r>
          </w:p>
          <w:p w:rsidR="00ED0C0A" w:rsidRDefault="00ED0C0A" w:rsidP="00A46F82">
            <w:pPr>
              <w:numPr>
                <w:ilvl w:val="0"/>
                <w:numId w:val="205"/>
              </w:numPr>
              <w:overflowPunct w:val="0"/>
              <w:autoSpaceDE w:val="0"/>
              <w:autoSpaceDN w:val="0"/>
              <w:adjustRightInd w:val="0"/>
              <w:jc w:val="both"/>
              <w:textAlignment w:val="baseline"/>
            </w:pPr>
            <w:r>
              <w:t>białej na nawierzchni betonowej</w:t>
            </w:r>
          </w:p>
          <w:p w:rsidR="00ED0C0A" w:rsidRDefault="00ED0C0A" w:rsidP="00A46F82">
            <w:pPr>
              <w:numPr>
                <w:ilvl w:val="0"/>
                <w:numId w:val="205"/>
              </w:numPr>
              <w:overflowPunct w:val="0"/>
              <w:autoSpaceDE w:val="0"/>
              <w:autoSpaceDN w:val="0"/>
              <w:adjustRightInd w:val="0"/>
              <w:jc w:val="both"/>
              <w:textAlignment w:val="baseline"/>
            </w:pPr>
            <w:r>
              <w:t>żółtej</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lang w:val="en-US"/>
              </w:rPr>
            </w:pPr>
            <w:r>
              <w:sym w:font="Symbol" w:char="F0B3"/>
            </w:r>
            <w:r>
              <w:rPr>
                <w:lang w:val="en-US"/>
              </w:rPr>
              <w:t xml:space="preserve"> 130</w:t>
            </w:r>
          </w:p>
          <w:p w:rsidR="00ED0C0A" w:rsidRDefault="00ED0C0A" w:rsidP="00ED0C0A">
            <w:pPr>
              <w:numPr>
                <w:ilvl w:val="12"/>
                <w:numId w:val="0"/>
              </w:numPr>
              <w:jc w:val="center"/>
              <w:rPr>
                <w:lang w:val="en-US"/>
              </w:rPr>
            </w:pPr>
            <w:r>
              <w:sym w:font="Symbol" w:char="F0B3"/>
            </w:r>
            <w:r>
              <w:rPr>
                <w:lang w:val="en-US"/>
              </w:rPr>
              <w:t xml:space="preserve"> 160</w:t>
            </w:r>
          </w:p>
          <w:p w:rsidR="00ED0C0A" w:rsidRDefault="00ED0C0A" w:rsidP="00ED0C0A">
            <w:pPr>
              <w:numPr>
                <w:ilvl w:val="12"/>
                <w:numId w:val="0"/>
              </w:numPr>
              <w:jc w:val="center"/>
              <w:rPr>
                <w:lang w:val="en-US"/>
              </w:rPr>
            </w:pPr>
            <w:r>
              <w:sym w:font="Symbol" w:char="F0B3"/>
            </w:r>
            <w:r>
              <w:rPr>
                <w:lang w:val="en-US"/>
              </w:rPr>
              <w:t xml:space="preserve"> 100</w:t>
            </w:r>
          </w:p>
        </w:tc>
        <w:tc>
          <w:tcPr>
            <w:tcW w:w="924" w:type="dxa"/>
          </w:tcPr>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r>
              <w:rPr>
                <w:lang w:val="en-US"/>
              </w:rPr>
              <w:t>Q3</w:t>
            </w:r>
          </w:p>
          <w:p w:rsidR="00ED0C0A" w:rsidRDefault="00ED0C0A" w:rsidP="00ED0C0A">
            <w:pPr>
              <w:numPr>
                <w:ilvl w:val="12"/>
                <w:numId w:val="0"/>
              </w:numPr>
              <w:jc w:val="center"/>
              <w:rPr>
                <w:lang w:val="en-US"/>
              </w:rPr>
            </w:pPr>
            <w:r>
              <w:rPr>
                <w:lang w:val="en-US"/>
              </w:rPr>
              <w:t>Q4</w:t>
            </w:r>
          </w:p>
          <w:p w:rsidR="00ED0C0A" w:rsidRDefault="00ED0C0A" w:rsidP="00ED0C0A">
            <w:pPr>
              <w:numPr>
                <w:ilvl w:val="12"/>
                <w:numId w:val="0"/>
              </w:numPr>
              <w:jc w:val="center"/>
              <w:rPr>
                <w:lang w:val="en-US"/>
              </w:rPr>
            </w:pPr>
            <w:r>
              <w:rPr>
                <w:lang w:val="en-US"/>
              </w:rPr>
              <w:t>Q2</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rPr>
                <w:lang w:val="en-US"/>
              </w:rPr>
            </w:pPr>
          </w:p>
        </w:tc>
        <w:tc>
          <w:tcPr>
            <w:tcW w:w="3685" w:type="dxa"/>
          </w:tcPr>
          <w:p w:rsidR="00ED0C0A" w:rsidRDefault="00ED0C0A" w:rsidP="00ED0C0A">
            <w:pPr>
              <w:numPr>
                <w:ilvl w:val="12"/>
                <w:numId w:val="0"/>
              </w:numPr>
            </w:pPr>
            <w:r>
              <w:t xml:space="preserve">Współczynnik luminancji w świetle rozproszonym </w:t>
            </w:r>
            <w:proofErr w:type="spellStart"/>
            <w:r>
              <w:t>Qd</w:t>
            </w:r>
            <w:proofErr w:type="spellEnd"/>
            <w:r>
              <w:t xml:space="preserve"> (alternatywnie do </w:t>
            </w:r>
            <w:r>
              <w:sym w:font="Symbol" w:char="F062"/>
            </w:r>
            <w:r>
              <w:t>) dla oznakowania eksploatowanego w ciągu całego okresu eksploatacji po 30 dniu od wykonania,  barwy:</w:t>
            </w:r>
          </w:p>
          <w:p w:rsidR="00ED0C0A" w:rsidRDefault="00ED0C0A" w:rsidP="00A46F82">
            <w:pPr>
              <w:numPr>
                <w:ilvl w:val="0"/>
                <w:numId w:val="206"/>
              </w:numPr>
              <w:overflowPunct w:val="0"/>
              <w:autoSpaceDE w:val="0"/>
              <w:autoSpaceDN w:val="0"/>
              <w:adjustRightInd w:val="0"/>
              <w:jc w:val="both"/>
              <w:textAlignment w:val="baseline"/>
            </w:pPr>
            <w:r>
              <w:t>białej na nawierzchni asfaltowej</w:t>
            </w:r>
          </w:p>
          <w:p w:rsidR="00ED0C0A" w:rsidRDefault="00ED0C0A" w:rsidP="00A46F82">
            <w:pPr>
              <w:numPr>
                <w:ilvl w:val="0"/>
                <w:numId w:val="206"/>
              </w:numPr>
              <w:overflowPunct w:val="0"/>
              <w:autoSpaceDE w:val="0"/>
              <w:autoSpaceDN w:val="0"/>
              <w:adjustRightInd w:val="0"/>
              <w:jc w:val="both"/>
              <w:textAlignment w:val="baseline"/>
            </w:pPr>
            <w:r>
              <w:t>białej na nawierzchni betonowej</w:t>
            </w:r>
          </w:p>
          <w:p w:rsidR="00ED0C0A" w:rsidRDefault="00ED0C0A" w:rsidP="00A46F82">
            <w:pPr>
              <w:numPr>
                <w:ilvl w:val="0"/>
                <w:numId w:val="206"/>
              </w:numPr>
              <w:overflowPunct w:val="0"/>
              <w:autoSpaceDE w:val="0"/>
              <w:autoSpaceDN w:val="0"/>
              <w:adjustRightInd w:val="0"/>
              <w:jc w:val="both"/>
              <w:textAlignment w:val="baseline"/>
            </w:pPr>
            <w:r>
              <w:t>żółtej</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lang w:val="en-US"/>
              </w:rPr>
            </w:pPr>
            <w:r>
              <w:sym w:font="Symbol" w:char="F0B3"/>
            </w:r>
            <w:r>
              <w:rPr>
                <w:lang w:val="en-US"/>
              </w:rPr>
              <w:t xml:space="preserve"> 100</w:t>
            </w:r>
          </w:p>
          <w:p w:rsidR="00ED0C0A" w:rsidRDefault="00ED0C0A" w:rsidP="00ED0C0A">
            <w:pPr>
              <w:numPr>
                <w:ilvl w:val="12"/>
                <w:numId w:val="0"/>
              </w:numPr>
              <w:jc w:val="center"/>
              <w:rPr>
                <w:lang w:val="en-US"/>
              </w:rPr>
            </w:pPr>
            <w:r>
              <w:sym w:font="Symbol" w:char="F0B3"/>
            </w:r>
            <w:r>
              <w:rPr>
                <w:lang w:val="en-US"/>
              </w:rPr>
              <w:t xml:space="preserve"> 130</w:t>
            </w:r>
          </w:p>
          <w:p w:rsidR="00ED0C0A" w:rsidRDefault="00ED0C0A" w:rsidP="00ED0C0A">
            <w:pPr>
              <w:numPr>
                <w:ilvl w:val="12"/>
                <w:numId w:val="0"/>
              </w:numPr>
              <w:jc w:val="center"/>
              <w:rPr>
                <w:lang w:val="en-US"/>
              </w:rPr>
            </w:pPr>
            <w:r>
              <w:sym w:font="Symbol" w:char="F0B3"/>
            </w:r>
            <w:r>
              <w:rPr>
                <w:lang w:val="en-US"/>
              </w:rPr>
              <w:t xml:space="preserve"> 80</w:t>
            </w:r>
          </w:p>
        </w:tc>
        <w:tc>
          <w:tcPr>
            <w:tcW w:w="924" w:type="dxa"/>
          </w:tcPr>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r>
              <w:rPr>
                <w:lang w:val="en-US"/>
              </w:rPr>
              <w:t>Q2</w:t>
            </w:r>
          </w:p>
          <w:p w:rsidR="00ED0C0A" w:rsidRDefault="00ED0C0A" w:rsidP="00ED0C0A">
            <w:pPr>
              <w:numPr>
                <w:ilvl w:val="12"/>
                <w:numId w:val="0"/>
              </w:numPr>
              <w:jc w:val="center"/>
              <w:rPr>
                <w:lang w:val="en-US"/>
              </w:rPr>
            </w:pPr>
            <w:r>
              <w:rPr>
                <w:lang w:val="en-US"/>
              </w:rPr>
              <w:t>Q3</w:t>
            </w:r>
          </w:p>
          <w:p w:rsidR="00ED0C0A" w:rsidRDefault="00ED0C0A" w:rsidP="00ED0C0A">
            <w:pPr>
              <w:numPr>
                <w:ilvl w:val="12"/>
                <w:numId w:val="0"/>
              </w:numPr>
              <w:jc w:val="center"/>
              <w:rPr>
                <w:lang w:val="en-US"/>
              </w:rPr>
            </w:pPr>
            <w:r>
              <w:rPr>
                <w:lang w:val="en-US"/>
              </w:rPr>
              <w:t>Q1</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rPr>
                <w:lang w:val="en-US"/>
              </w:rPr>
            </w:pPr>
          </w:p>
        </w:tc>
        <w:tc>
          <w:tcPr>
            <w:tcW w:w="3685" w:type="dxa"/>
          </w:tcPr>
          <w:p w:rsidR="00ED0C0A" w:rsidRDefault="00ED0C0A" w:rsidP="00ED0C0A">
            <w:pPr>
              <w:numPr>
                <w:ilvl w:val="12"/>
                <w:numId w:val="0"/>
              </w:numPr>
            </w:pPr>
            <w:r>
              <w:t>Szorstkość oznakowania eksploatowanego</w:t>
            </w:r>
          </w:p>
        </w:tc>
        <w:tc>
          <w:tcPr>
            <w:tcW w:w="1134" w:type="dxa"/>
          </w:tcPr>
          <w:p w:rsidR="00ED0C0A" w:rsidRDefault="00ED0C0A" w:rsidP="00ED0C0A">
            <w:pPr>
              <w:numPr>
                <w:ilvl w:val="12"/>
                <w:numId w:val="0"/>
              </w:numPr>
              <w:jc w:val="center"/>
            </w:pPr>
            <w:r>
              <w:t>wskaźnik</w:t>
            </w:r>
          </w:p>
          <w:p w:rsidR="00ED0C0A" w:rsidRDefault="00ED0C0A" w:rsidP="00ED0C0A">
            <w:pPr>
              <w:numPr>
                <w:ilvl w:val="12"/>
                <w:numId w:val="0"/>
              </w:numPr>
              <w:jc w:val="center"/>
            </w:pPr>
            <w:r>
              <w:t>SRT</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45</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r>
              <w:t>S1</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p>
        </w:tc>
        <w:tc>
          <w:tcPr>
            <w:tcW w:w="3685" w:type="dxa"/>
          </w:tcPr>
          <w:p w:rsidR="00ED0C0A" w:rsidRDefault="00ED0C0A" w:rsidP="00ED0C0A">
            <w:pPr>
              <w:numPr>
                <w:ilvl w:val="12"/>
                <w:numId w:val="0"/>
              </w:numPr>
            </w:pPr>
            <w:r>
              <w:t xml:space="preserve">Trwałość oznakowania </w:t>
            </w:r>
            <w:proofErr w:type="spellStart"/>
            <w:r>
              <w:t>cienkowarstwo-wego</w:t>
            </w:r>
            <w:proofErr w:type="spellEnd"/>
            <w:r>
              <w:t xml:space="preserve"> po 12 miesiącach:</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r>
              <w:t>skala LCPC</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6</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r>
              <w:t>-</w:t>
            </w:r>
          </w:p>
        </w:tc>
      </w:tr>
      <w:tr w:rsidR="00ED0C0A" w:rsidTr="00ED0C0A">
        <w:trPr>
          <w:cantSplit/>
        </w:trPr>
        <w:tc>
          <w:tcPr>
            <w:tcW w:w="496" w:type="dxa"/>
          </w:tcPr>
          <w:p w:rsidR="00ED0C0A" w:rsidRDefault="00ED0C0A" w:rsidP="00A46F82">
            <w:pPr>
              <w:numPr>
                <w:ilvl w:val="0"/>
                <w:numId w:val="200"/>
              </w:numPr>
              <w:tabs>
                <w:tab w:val="left" w:pos="417"/>
              </w:tabs>
              <w:overflowPunct w:val="0"/>
              <w:autoSpaceDE w:val="0"/>
              <w:autoSpaceDN w:val="0"/>
              <w:adjustRightInd w:val="0"/>
              <w:ind w:left="57"/>
              <w:jc w:val="center"/>
              <w:textAlignment w:val="baseline"/>
            </w:pPr>
            <w:r>
              <w:t>8</w:t>
            </w:r>
          </w:p>
        </w:tc>
        <w:tc>
          <w:tcPr>
            <w:tcW w:w="3685" w:type="dxa"/>
          </w:tcPr>
          <w:p w:rsidR="00ED0C0A" w:rsidRDefault="00ED0C0A" w:rsidP="00ED0C0A">
            <w:r>
              <w:t>Czas schnięcia materiału na nawierzchni</w:t>
            </w:r>
          </w:p>
          <w:p w:rsidR="00ED0C0A" w:rsidRDefault="00ED0C0A" w:rsidP="00A46F82">
            <w:pPr>
              <w:numPr>
                <w:ilvl w:val="0"/>
                <w:numId w:val="207"/>
              </w:numPr>
              <w:tabs>
                <w:tab w:val="left" w:pos="-3190"/>
              </w:tabs>
              <w:overflowPunct w:val="0"/>
              <w:autoSpaceDE w:val="0"/>
              <w:autoSpaceDN w:val="0"/>
              <w:adjustRightInd w:val="0"/>
              <w:ind w:left="358" w:hanging="284"/>
              <w:jc w:val="both"/>
              <w:textAlignment w:val="baseline"/>
            </w:pPr>
            <w:r>
              <w:t>w dzień</w:t>
            </w:r>
          </w:p>
          <w:p w:rsidR="00ED0C0A" w:rsidRDefault="00ED0C0A" w:rsidP="00A46F82">
            <w:pPr>
              <w:numPr>
                <w:ilvl w:val="0"/>
                <w:numId w:val="207"/>
              </w:numPr>
              <w:tabs>
                <w:tab w:val="left" w:pos="-3190"/>
              </w:tabs>
              <w:overflowPunct w:val="0"/>
              <w:autoSpaceDE w:val="0"/>
              <w:autoSpaceDN w:val="0"/>
              <w:adjustRightInd w:val="0"/>
              <w:ind w:left="358" w:hanging="284"/>
              <w:jc w:val="both"/>
              <w:textAlignment w:val="baseline"/>
            </w:pPr>
            <w:r>
              <w:t>w nocy</w:t>
            </w:r>
          </w:p>
        </w:tc>
        <w:tc>
          <w:tcPr>
            <w:tcW w:w="1134" w:type="dxa"/>
          </w:tcPr>
          <w:p w:rsidR="00ED0C0A" w:rsidRDefault="00ED0C0A" w:rsidP="00ED0C0A">
            <w:pPr>
              <w:jc w:val="center"/>
            </w:pPr>
          </w:p>
          <w:p w:rsidR="00ED0C0A" w:rsidRDefault="00ED0C0A" w:rsidP="00ED0C0A">
            <w:pPr>
              <w:jc w:val="center"/>
            </w:pPr>
            <w:r>
              <w:t>h</w:t>
            </w:r>
          </w:p>
          <w:p w:rsidR="00ED0C0A" w:rsidRDefault="00ED0C0A" w:rsidP="00ED0C0A">
            <w:pPr>
              <w:jc w:val="center"/>
            </w:pPr>
            <w:r>
              <w:t>h</w:t>
            </w:r>
          </w:p>
        </w:tc>
        <w:tc>
          <w:tcPr>
            <w:tcW w:w="1276" w:type="dxa"/>
          </w:tcPr>
          <w:p w:rsidR="00ED0C0A" w:rsidRDefault="00ED0C0A" w:rsidP="00ED0C0A">
            <w:pPr>
              <w:jc w:val="center"/>
            </w:pPr>
          </w:p>
          <w:p w:rsidR="00ED0C0A" w:rsidRDefault="00ED0C0A" w:rsidP="00ED0C0A">
            <w:pPr>
              <w:jc w:val="center"/>
            </w:pPr>
            <w:r>
              <w:sym w:font="Symbol" w:char="F0A3"/>
            </w:r>
            <w:r>
              <w:t xml:space="preserve"> 1</w:t>
            </w:r>
          </w:p>
          <w:p w:rsidR="00ED0C0A" w:rsidRDefault="00ED0C0A" w:rsidP="00ED0C0A">
            <w:pPr>
              <w:jc w:val="center"/>
            </w:pPr>
            <w:r>
              <w:sym w:font="Symbol" w:char="F0A3"/>
            </w:r>
            <w:r>
              <w:t xml:space="preserve"> 2</w:t>
            </w:r>
          </w:p>
        </w:tc>
        <w:tc>
          <w:tcPr>
            <w:tcW w:w="924" w:type="dxa"/>
          </w:tcPr>
          <w:p w:rsidR="00ED0C0A" w:rsidRDefault="00ED0C0A" w:rsidP="00ED0C0A">
            <w:pPr>
              <w:jc w:val="center"/>
            </w:pPr>
          </w:p>
          <w:p w:rsidR="00ED0C0A" w:rsidRDefault="00ED0C0A" w:rsidP="00ED0C0A">
            <w:pPr>
              <w:jc w:val="center"/>
            </w:pPr>
            <w:r>
              <w:t>-</w:t>
            </w:r>
          </w:p>
          <w:p w:rsidR="00ED0C0A" w:rsidRDefault="00ED0C0A" w:rsidP="00ED0C0A">
            <w:pPr>
              <w:jc w:val="center"/>
            </w:pPr>
            <w:r>
              <w:t>-</w:t>
            </w:r>
          </w:p>
        </w:tc>
      </w:tr>
    </w:tbl>
    <w:p w:rsidR="00ED0C0A" w:rsidRDefault="00ED0C0A" w:rsidP="00ED0C0A">
      <w:pPr>
        <w:spacing w:before="240" w:after="120"/>
      </w:pPr>
    </w:p>
    <w:p w:rsidR="00ED0C0A" w:rsidRDefault="00ED0C0A" w:rsidP="00ED0C0A">
      <w:pPr>
        <w:tabs>
          <w:tab w:val="left" w:pos="851"/>
        </w:tabs>
        <w:spacing w:before="120" w:after="120"/>
        <w:ind w:left="851" w:hanging="851"/>
      </w:pPr>
      <w:r>
        <w:t>Tablica 5.</w:t>
      </w:r>
      <w:r>
        <w:tab/>
        <w:t xml:space="preserve">Zbiorcze zestawienie wymagań dla </w:t>
      </w:r>
      <w:proofErr w:type="spellStart"/>
      <w:r>
        <w:t>oznakowań</w:t>
      </w:r>
      <w:proofErr w:type="spellEnd"/>
      <w:r>
        <w:t xml:space="preserve"> na pozostałych drogach nie wymienionych w tablicy 4</w:t>
      </w:r>
    </w:p>
    <w:tbl>
      <w:tblPr>
        <w:tblW w:w="7515" w:type="dxa"/>
        <w:tblBorders>
          <w:top w:val="doub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85"/>
        <w:gridCol w:w="1134"/>
        <w:gridCol w:w="1276"/>
        <w:gridCol w:w="924"/>
      </w:tblGrid>
      <w:tr w:rsidR="00ED0C0A" w:rsidTr="00ED0C0A">
        <w:trPr>
          <w:cantSplit/>
          <w:tblHeader/>
        </w:trPr>
        <w:tc>
          <w:tcPr>
            <w:tcW w:w="496" w:type="dxa"/>
            <w:tcBorders>
              <w:top w:val="single" w:sz="4" w:space="0" w:color="auto"/>
              <w:bottom w:val="double" w:sz="4" w:space="0" w:color="auto"/>
            </w:tcBorders>
          </w:tcPr>
          <w:p w:rsidR="00ED0C0A" w:rsidRDefault="00ED0C0A" w:rsidP="00ED0C0A">
            <w:pPr>
              <w:spacing w:before="120" w:after="120"/>
              <w:jc w:val="center"/>
              <w:rPr>
                <w:bCs/>
              </w:rPr>
            </w:pPr>
            <w:r>
              <w:rPr>
                <w:bCs/>
              </w:rPr>
              <w:t>Lp.</w:t>
            </w:r>
          </w:p>
        </w:tc>
        <w:tc>
          <w:tcPr>
            <w:tcW w:w="3685" w:type="dxa"/>
            <w:tcBorders>
              <w:top w:val="single" w:sz="4" w:space="0" w:color="auto"/>
              <w:bottom w:val="double" w:sz="4" w:space="0" w:color="auto"/>
            </w:tcBorders>
          </w:tcPr>
          <w:p w:rsidR="00ED0C0A" w:rsidRDefault="00ED0C0A" w:rsidP="00ED0C0A">
            <w:pPr>
              <w:spacing w:before="120" w:after="120"/>
              <w:jc w:val="center"/>
              <w:rPr>
                <w:bCs/>
              </w:rPr>
            </w:pPr>
            <w:r>
              <w:rPr>
                <w:bCs/>
              </w:rPr>
              <w:t>Właściwość</w:t>
            </w:r>
          </w:p>
        </w:tc>
        <w:tc>
          <w:tcPr>
            <w:tcW w:w="1134" w:type="dxa"/>
            <w:tcBorders>
              <w:top w:val="single" w:sz="4" w:space="0" w:color="auto"/>
              <w:bottom w:val="double" w:sz="4" w:space="0" w:color="auto"/>
            </w:tcBorders>
          </w:tcPr>
          <w:p w:rsidR="00ED0C0A" w:rsidRDefault="00ED0C0A" w:rsidP="00ED0C0A">
            <w:pPr>
              <w:spacing w:before="120" w:after="120"/>
              <w:jc w:val="center"/>
              <w:rPr>
                <w:bCs/>
              </w:rPr>
            </w:pPr>
            <w:r>
              <w:rPr>
                <w:bCs/>
              </w:rPr>
              <w:t xml:space="preserve">Jednostka </w:t>
            </w:r>
          </w:p>
        </w:tc>
        <w:tc>
          <w:tcPr>
            <w:tcW w:w="1276" w:type="dxa"/>
            <w:tcBorders>
              <w:top w:val="single" w:sz="4" w:space="0" w:color="auto"/>
              <w:bottom w:val="double" w:sz="4" w:space="0" w:color="auto"/>
            </w:tcBorders>
          </w:tcPr>
          <w:p w:rsidR="00ED0C0A" w:rsidRDefault="00ED0C0A" w:rsidP="00ED0C0A">
            <w:pPr>
              <w:spacing w:before="120" w:after="120"/>
              <w:jc w:val="center"/>
              <w:rPr>
                <w:bCs/>
              </w:rPr>
            </w:pPr>
            <w:r>
              <w:rPr>
                <w:bCs/>
              </w:rPr>
              <w:t>Wymagania</w:t>
            </w:r>
          </w:p>
        </w:tc>
        <w:tc>
          <w:tcPr>
            <w:tcW w:w="924" w:type="dxa"/>
            <w:tcBorders>
              <w:top w:val="single" w:sz="4" w:space="0" w:color="auto"/>
              <w:bottom w:val="double" w:sz="4" w:space="0" w:color="auto"/>
            </w:tcBorders>
          </w:tcPr>
          <w:p w:rsidR="00ED0C0A" w:rsidRDefault="00ED0C0A" w:rsidP="00ED0C0A">
            <w:pPr>
              <w:spacing w:before="120" w:after="120"/>
              <w:jc w:val="center"/>
              <w:rPr>
                <w:bCs/>
              </w:rPr>
            </w:pPr>
            <w:r>
              <w:rPr>
                <w:bCs/>
              </w:rPr>
              <w:t>Klasa</w:t>
            </w:r>
          </w:p>
        </w:tc>
      </w:tr>
      <w:tr w:rsidR="00ED0C0A" w:rsidTr="00ED0C0A">
        <w:trPr>
          <w:cantSplit/>
        </w:trPr>
        <w:tc>
          <w:tcPr>
            <w:tcW w:w="496" w:type="dxa"/>
            <w:tcBorders>
              <w:top w:val="double" w:sz="4" w:space="0" w:color="auto"/>
            </w:tcBorders>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Borders>
              <w:top w:val="double" w:sz="4" w:space="0" w:color="auto"/>
            </w:tcBorders>
          </w:tcPr>
          <w:p w:rsidR="00ED0C0A" w:rsidRDefault="00ED0C0A" w:rsidP="00ED0C0A">
            <w:pPr>
              <w:numPr>
                <w:ilvl w:val="12"/>
                <w:numId w:val="0"/>
              </w:numPr>
            </w:pPr>
            <w:r>
              <w:t>Współczynnik odblasku R</w:t>
            </w:r>
            <w:r>
              <w:rPr>
                <w:vertAlign w:val="subscript"/>
              </w:rPr>
              <w:t>L</w:t>
            </w:r>
            <w:r>
              <w:t xml:space="preserve"> dla oznako-</w:t>
            </w:r>
            <w:proofErr w:type="spellStart"/>
            <w:r>
              <w:t>wania</w:t>
            </w:r>
            <w:proofErr w:type="spellEnd"/>
            <w:r>
              <w:t xml:space="preserve"> nowego (w ciągu 14 - 30 dni po wykonaniu) w stanie suchym barwy:    </w:t>
            </w:r>
          </w:p>
          <w:p w:rsidR="00ED0C0A" w:rsidRDefault="00ED0C0A" w:rsidP="00A46F82">
            <w:pPr>
              <w:numPr>
                <w:ilvl w:val="1"/>
                <w:numId w:val="209"/>
              </w:numPr>
              <w:overflowPunct w:val="0"/>
              <w:autoSpaceDE w:val="0"/>
              <w:autoSpaceDN w:val="0"/>
              <w:adjustRightInd w:val="0"/>
              <w:ind w:left="355"/>
              <w:jc w:val="both"/>
              <w:textAlignment w:val="baseline"/>
            </w:pPr>
            <w:r>
              <w:t>białej,</w:t>
            </w:r>
          </w:p>
          <w:p w:rsidR="00ED0C0A" w:rsidRDefault="00ED0C0A" w:rsidP="00A46F82">
            <w:pPr>
              <w:numPr>
                <w:ilvl w:val="1"/>
                <w:numId w:val="209"/>
              </w:numPr>
              <w:overflowPunct w:val="0"/>
              <w:autoSpaceDE w:val="0"/>
              <w:autoSpaceDN w:val="0"/>
              <w:adjustRightInd w:val="0"/>
              <w:ind w:left="355"/>
              <w:jc w:val="both"/>
              <w:textAlignment w:val="baseline"/>
            </w:pPr>
            <w:r>
              <w:t>żółtej tymczasowej</w:t>
            </w:r>
          </w:p>
        </w:tc>
        <w:tc>
          <w:tcPr>
            <w:tcW w:w="1134"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200</w:t>
            </w:r>
          </w:p>
          <w:p w:rsidR="00ED0C0A" w:rsidRDefault="00ED0C0A" w:rsidP="00ED0C0A">
            <w:pPr>
              <w:numPr>
                <w:ilvl w:val="12"/>
                <w:numId w:val="0"/>
              </w:numPr>
              <w:jc w:val="center"/>
            </w:pPr>
            <w:r>
              <w:sym w:font="Symbol" w:char="F0B3"/>
            </w:r>
            <w:r>
              <w:t xml:space="preserve"> 150</w:t>
            </w:r>
          </w:p>
        </w:tc>
        <w:tc>
          <w:tcPr>
            <w:tcW w:w="924" w:type="dxa"/>
            <w:tcBorders>
              <w:top w:val="double" w:sz="4" w:space="0" w:color="auto"/>
            </w:tcBorders>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R4</w:t>
            </w:r>
          </w:p>
          <w:p w:rsidR="00ED0C0A" w:rsidRDefault="00ED0C0A" w:rsidP="00ED0C0A">
            <w:pPr>
              <w:numPr>
                <w:ilvl w:val="12"/>
                <w:numId w:val="0"/>
              </w:numPr>
              <w:jc w:val="center"/>
            </w:pPr>
            <w:r>
              <w:t>R3</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r>
              <w:t>Współczynnik odblasku R</w:t>
            </w:r>
            <w:r>
              <w:rPr>
                <w:vertAlign w:val="subscript"/>
              </w:rPr>
              <w:t>L</w:t>
            </w:r>
            <w:r>
              <w:t xml:space="preserve"> dla oznako-</w:t>
            </w:r>
            <w:proofErr w:type="spellStart"/>
            <w:r>
              <w:t>wania</w:t>
            </w:r>
            <w:proofErr w:type="spellEnd"/>
            <w:r>
              <w:t xml:space="preserve"> eksploatowanego od 2 do 6 miesięcy po wykonaniu, barwy: </w:t>
            </w:r>
          </w:p>
          <w:p w:rsidR="00ED0C0A" w:rsidRDefault="00ED0C0A" w:rsidP="00A46F82">
            <w:pPr>
              <w:numPr>
                <w:ilvl w:val="0"/>
                <w:numId w:val="210"/>
              </w:numPr>
              <w:overflowPunct w:val="0"/>
              <w:autoSpaceDE w:val="0"/>
              <w:autoSpaceDN w:val="0"/>
              <w:adjustRightInd w:val="0"/>
              <w:ind w:left="355"/>
              <w:jc w:val="both"/>
              <w:textAlignment w:val="baseline"/>
            </w:pPr>
            <w:r>
              <w:t>białej,</w:t>
            </w:r>
          </w:p>
          <w:p w:rsidR="00ED0C0A" w:rsidRDefault="00ED0C0A" w:rsidP="00A46F82">
            <w:pPr>
              <w:numPr>
                <w:ilvl w:val="0"/>
                <w:numId w:val="210"/>
              </w:numPr>
              <w:overflowPunct w:val="0"/>
              <w:autoSpaceDE w:val="0"/>
              <w:autoSpaceDN w:val="0"/>
              <w:adjustRightInd w:val="0"/>
              <w:ind w:left="355"/>
              <w:jc w:val="both"/>
              <w:textAlignment w:val="baseline"/>
            </w:pPr>
            <w:r>
              <w:t>żółtej</w:t>
            </w:r>
          </w:p>
        </w:tc>
        <w:tc>
          <w:tcPr>
            <w:tcW w:w="1134" w:type="dxa"/>
          </w:tcPr>
          <w:p w:rsidR="00ED0C0A" w:rsidRDefault="00ED0C0A" w:rsidP="00ED0C0A">
            <w:pPr>
              <w:jc w:val="center"/>
            </w:pPr>
          </w:p>
          <w:p w:rsidR="00ED0C0A" w:rsidRDefault="00ED0C0A" w:rsidP="00ED0C0A">
            <w:pPr>
              <w:jc w:val="center"/>
            </w:pPr>
          </w:p>
          <w:p w:rsidR="00ED0C0A" w:rsidRDefault="00ED0C0A" w:rsidP="00ED0C0A">
            <w:pPr>
              <w:jc w:val="center"/>
            </w:pPr>
          </w:p>
          <w:p w:rsidR="00ED0C0A" w:rsidRDefault="00ED0C0A" w:rsidP="00ED0C0A">
            <w:pPr>
              <w:jc w:val="center"/>
              <w:rPr>
                <w:vertAlign w:val="superscript"/>
              </w:rPr>
            </w:pPr>
            <w:r>
              <w:t>mcd m</w:t>
            </w:r>
            <w:r>
              <w:rPr>
                <w:vertAlign w:val="superscript"/>
              </w:rPr>
              <w:t>-2</w:t>
            </w:r>
            <w:r>
              <w:t xml:space="preserve"> lx</w:t>
            </w:r>
            <w:r>
              <w:rPr>
                <w:vertAlign w:val="superscript"/>
              </w:rPr>
              <w:t>-1</w:t>
            </w:r>
          </w:p>
          <w:p w:rsidR="00ED0C0A" w:rsidRDefault="00ED0C0A" w:rsidP="00ED0C0A">
            <w:pPr>
              <w:jc w:val="center"/>
            </w:pPr>
            <w:r>
              <w:t>mcd m</w:t>
            </w:r>
            <w:r>
              <w:rPr>
                <w:vertAlign w:val="superscript"/>
              </w:rPr>
              <w:t>-2</w:t>
            </w:r>
            <w:r>
              <w:t xml:space="preserve"> lx</w:t>
            </w:r>
            <w:r>
              <w:rPr>
                <w:vertAlign w:val="superscript"/>
              </w:rPr>
              <w:t>-1</w:t>
            </w:r>
          </w:p>
        </w:tc>
        <w:tc>
          <w:tcPr>
            <w:tcW w:w="1276" w:type="dxa"/>
          </w:tcPr>
          <w:p w:rsidR="00ED0C0A" w:rsidRDefault="00ED0C0A" w:rsidP="00ED0C0A">
            <w:pPr>
              <w:jc w:val="center"/>
            </w:pPr>
          </w:p>
          <w:p w:rsidR="00ED0C0A" w:rsidRDefault="00ED0C0A" w:rsidP="00ED0C0A">
            <w:pPr>
              <w:jc w:val="center"/>
            </w:pPr>
          </w:p>
          <w:p w:rsidR="00ED0C0A" w:rsidRDefault="00ED0C0A" w:rsidP="00ED0C0A">
            <w:pPr>
              <w:jc w:val="center"/>
            </w:pPr>
          </w:p>
          <w:p w:rsidR="00ED0C0A" w:rsidRDefault="00ED0C0A" w:rsidP="00ED0C0A">
            <w:pPr>
              <w:jc w:val="center"/>
            </w:pPr>
            <w:r>
              <w:sym w:font="Symbol" w:char="F0B3"/>
            </w:r>
            <w:r>
              <w:t xml:space="preserve"> 150</w:t>
            </w:r>
          </w:p>
          <w:p w:rsidR="00ED0C0A" w:rsidRDefault="00ED0C0A" w:rsidP="00ED0C0A">
            <w:pPr>
              <w:jc w:val="center"/>
            </w:pPr>
            <w:r>
              <w:sym w:font="Symbol" w:char="F0B3"/>
            </w:r>
            <w:r>
              <w:t xml:space="preserve"> 100</w:t>
            </w:r>
          </w:p>
        </w:tc>
        <w:tc>
          <w:tcPr>
            <w:tcW w:w="924" w:type="dxa"/>
          </w:tcPr>
          <w:p w:rsidR="00ED0C0A" w:rsidRDefault="00ED0C0A" w:rsidP="00ED0C0A">
            <w:pPr>
              <w:jc w:val="center"/>
            </w:pPr>
          </w:p>
          <w:p w:rsidR="00ED0C0A" w:rsidRDefault="00ED0C0A" w:rsidP="00ED0C0A">
            <w:pPr>
              <w:jc w:val="center"/>
            </w:pPr>
          </w:p>
          <w:p w:rsidR="00ED0C0A" w:rsidRDefault="00ED0C0A" w:rsidP="00ED0C0A">
            <w:pPr>
              <w:jc w:val="center"/>
            </w:pPr>
          </w:p>
          <w:p w:rsidR="00ED0C0A" w:rsidRDefault="00ED0C0A" w:rsidP="00ED0C0A">
            <w:pPr>
              <w:jc w:val="center"/>
            </w:pPr>
            <w:r>
              <w:t>R3</w:t>
            </w:r>
          </w:p>
          <w:p w:rsidR="00ED0C0A" w:rsidRDefault="00ED0C0A" w:rsidP="00ED0C0A">
            <w:pPr>
              <w:jc w:val="center"/>
            </w:pPr>
            <w:r>
              <w:t>R2</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pPr>
              <w:numPr>
                <w:ilvl w:val="12"/>
                <w:numId w:val="0"/>
              </w:numPr>
            </w:pPr>
            <w:r>
              <w:t>Współczynnik odblasku R</w:t>
            </w:r>
            <w:r>
              <w:rPr>
                <w:vertAlign w:val="subscript"/>
              </w:rPr>
              <w:t>L</w:t>
            </w:r>
            <w:r>
              <w:t xml:space="preserve"> dla oznako-</w:t>
            </w:r>
            <w:proofErr w:type="spellStart"/>
            <w:r>
              <w:t>wania</w:t>
            </w:r>
            <w:proofErr w:type="spellEnd"/>
            <w:r>
              <w:t xml:space="preserve"> suchego od 7 miesiąca po wykonaniu barwy białej</w:t>
            </w:r>
          </w:p>
        </w:tc>
        <w:tc>
          <w:tcPr>
            <w:tcW w:w="1134" w:type="dxa"/>
            <w:vAlign w:val="center"/>
          </w:tcPr>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vAlign w:val="center"/>
          </w:tcPr>
          <w:p w:rsidR="00ED0C0A" w:rsidRDefault="00ED0C0A" w:rsidP="00ED0C0A">
            <w:pPr>
              <w:numPr>
                <w:ilvl w:val="12"/>
                <w:numId w:val="0"/>
              </w:numPr>
              <w:jc w:val="center"/>
            </w:pPr>
            <w:r>
              <w:sym w:font="Symbol" w:char="F0B3"/>
            </w:r>
            <w:r>
              <w:t xml:space="preserve"> 100</w:t>
            </w:r>
          </w:p>
        </w:tc>
        <w:tc>
          <w:tcPr>
            <w:tcW w:w="924" w:type="dxa"/>
            <w:vAlign w:val="center"/>
          </w:tcPr>
          <w:p w:rsidR="00ED0C0A" w:rsidRDefault="00ED0C0A" w:rsidP="00ED0C0A">
            <w:pPr>
              <w:numPr>
                <w:ilvl w:val="12"/>
                <w:numId w:val="0"/>
              </w:numPr>
              <w:jc w:val="center"/>
            </w:pPr>
            <w:r>
              <w:t>R2</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pPr>
              <w:numPr>
                <w:ilvl w:val="12"/>
                <w:numId w:val="0"/>
              </w:numPr>
            </w:pPr>
            <w:r>
              <w:t>Współczynnik odblasku R</w:t>
            </w:r>
            <w:r>
              <w:rPr>
                <w:vertAlign w:val="subscript"/>
              </w:rPr>
              <w:t>L</w:t>
            </w:r>
            <w:r>
              <w:t xml:space="preserve"> dla grubowarstwowego strukturalnego oznako-</w:t>
            </w:r>
            <w:proofErr w:type="spellStart"/>
            <w:r>
              <w:t>wania</w:t>
            </w:r>
            <w:proofErr w:type="spellEnd"/>
            <w:r>
              <w:t xml:space="preserve"> wilgotnego od 14 do 30 dnia po wykonaniu, barwy białej</w:t>
            </w:r>
          </w:p>
        </w:tc>
        <w:tc>
          <w:tcPr>
            <w:tcW w:w="1134" w:type="dxa"/>
            <w:vAlign w:val="center"/>
          </w:tcPr>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vAlign w:val="center"/>
          </w:tcPr>
          <w:p w:rsidR="00ED0C0A" w:rsidRDefault="00ED0C0A" w:rsidP="00ED0C0A">
            <w:pPr>
              <w:numPr>
                <w:ilvl w:val="12"/>
                <w:numId w:val="0"/>
              </w:numPr>
              <w:jc w:val="center"/>
            </w:pPr>
            <w:r>
              <w:sym w:font="Symbol" w:char="F0B3"/>
            </w:r>
            <w:r>
              <w:t xml:space="preserve"> 50</w:t>
            </w:r>
          </w:p>
        </w:tc>
        <w:tc>
          <w:tcPr>
            <w:tcW w:w="924" w:type="dxa"/>
            <w:vAlign w:val="center"/>
          </w:tcPr>
          <w:p w:rsidR="00ED0C0A" w:rsidRDefault="00ED0C0A" w:rsidP="00ED0C0A">
            <w:pPr>
              <w:numPr>
                <w:ilvl w:val="12"/>
                <w:numId w:val="0"/>
              </w:numPr>
              <w:jc w:val="center"/>
            </w:pPr>
            <w:r>
              <w:t>RW3</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pPr>
              <w:numPr>
                <w:ilvl w:val="12"/>
                <w:numId w:val="0"/>
              </w:numPr>
            </w:pPr>
            <w:r>
              <w:t>Współczynnik odblasku R</w:t>
            </w:r>
            <w:r>
              <w:rPr>
                <w:vertAlign w:val="subscript"/>
              </w:rPr>
              <w:t>L</w:t>
            </w:r>
            <w:r>
              <w:t xml:space="preserve"> dla grubowarstwowego strukturalnego oznako-</w:t>
            </w:r>
            <w:proofErr w:type="spellStart"/>
            <w:r>
              <w:t>wania</w:t>
            </w:r>
            <w:proofErr w:type="spellEnd"/>
            <w:r>
              <w:t xml:space="preserve"> wilgotnego po 30 dniu od wykonania, barwy białej</w:t>
            </w:r>
          </w:p>
        </w:tc>
        <w:tc>
          <w:tcPr>
            <w:tcW w:w="1134" w:type="dxa"/>
            <w:vAlign w:val="center"/>
          </w:tcPr>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vAlign w:val="center"/>
          </w:tcPr>
          <w:p w:rsidR="00ED0C0A" w:rsidRDefault="00ED0C0A" w:rsidP="00ED0C0A">
            <w:pPr>
              <w:numPr>
                <w:ilvl w:val="12"/>
                <w:numId w:val="0"/>
              </w:numPr>
              <w:jc w:val="center"/>
            </w:pPr>
            <w:r>
              <w:sym w:font="Symbol" w:char="F0B3"/>
            </w:r>
            <w:r>
              <w:t xml:space="preserve"> 35</w:t>
            </w:r>
          </w:p>
        </w:tc>
        <w:tc>
          <w:tcPr>
            <w:tcW w:w="924" w:type="dxa"/>
            <w:vAlign w:val="center"/>
          </w:tcPr>
          <w:p w:rsidR="00ED0C0A" w:rsidRDefault="00ED0C0A" w:rsidP="00ED0C0A">
            <w:pPr>
              <w:numPr>
                <w:ilvl w:val="12"/>
                <w:numId w:val="0"/>
              </w:numPr>
              <w:jc w:val="center"/>
            </w:pPr>
            <w:r>
              <w:t>RW2</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pPr>
              <w:numPr>
                <w:ilvl w:val="12"/>
                <w:numId w:val="0"/>
              </w:numPr>
            </w:pPr>
            <w:r>
              <w:t xml:space="preserve">Współczynnik luminancji </w:t>
            </w:r>
            <w:r>
              <w:sym w:font="Symbol" w:char="F062"/>
            </w:r>
            <w:r>
              <w:t xml:space="preserve"> dla </w:t>
            </w:r>
            <w:proofErr w:type="spellStart"/>
            <w:r>
              <w:t>oznakowa-nia</w:t>
            </w:r>
            <w:proofErr w:type="spellEnd"/>
            <w:r>
              <w:t xml:space="preserve"> nowego (od 14 do 30 dnia po wykonaniu)  barwy:</w:t>
            </w:r>
          </w:p>
          <w:p w:rsidR="00ED0C0A" w:rsidRDefault="00ED0C0A" w:rsidP="00A46F82">
            <w:pPr>
              <w:numPr>
                <w:ilvl w:val="0"/>
                <w:numId w:val="211"/>
              </w:numPr>
              <w:overflowPunct w:val="0"/>
              <w:autoSpaceDE w:val="0"/>
              <w:autoSpaceDN w:val="0"/>
              <w:adjustRightInd w:val="0"/>
              <w:jc w:val="both"/>
              <w:textAlignment w:val="baseline"/>
            </w:pPr>
            <w:r>
              <w:t>białej na nawierzchni asfaltowej,</w:t>
            </w:r>
          </w:p>
          <w:p w:rsidR="00ED0C0A" w:rsidRDefault="00ED0C0A" w:rsidP="00A46F82">
            <w:pPr>
              <w:numPr>
                <w:ilvl w:val="0"/>
                <w:numId w:val="211"/>
              </w:numPr>
              <w:overflowPunct w:val="0"/>
              <w:autoSpaceDE w:val="0"/>
              <w:autoSpaceDN w:val="0"/>
              <w:adjustRightInd w:val="0"/>
              <w:jc w:val="both"/>
              <w:textAlignment w:val="baseline"/>
            </w:pPr>
            <w:r>
              <w:t>białej na nawierzchni betonowej,</w:t>
            </w:r>
          </w:p>
          <w:p w:rsidR="00ED0C0A" w:rsidRDefault="00ED0C0A" w:rsidP="00A46F82">
            <w:pPr>
              <w:numPr>
                <w:ilvl w:val="0"/>
                <w:numId w:val="211"/>
              </w:numPr>
              <w:overflowPunct w:val="0"/>
              <w:autoSpaceDE w:val="0"/>
              <w:autoSpaceDN w:val="0"/>
              <w:adjustRightInd w:val="0"/>
              <w:jc w:val="both"/>
              <w:textAlignment w:val="baseline"/>
            </w:pPr>
            <w:r>
              <w:t>żółtej</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w:t>
            </w:r>
          </w:p>
          <w:p w:rsidR="00ED0C0A" w:rsidRDefault="00ED0C0A" w:rsidP="00ED0C0A">
            <w:pPr>
              <w:numPr>
                <w:ilvl w:val="12"/>
                <w:numId w:val="0"/>
              </w:numPr>
              <w:jc w:val="center"/>
            </w:pPr>
            <w:r>
              <w:t>-</w:t>
            </w:r>
          </w:p>
          <w:p w:rsidR="00ED0C0A" w:rsidRDefault="00ED0C0A" w:rsidP="00ED0C0A">
            <w:pPr>
              <w:numPr>
                <w:ilvl w:val="12"/>
                <w:numId w:val="0"/>
              </w:numPr>
              <w:jc w:val="center"/>
            </w:pPr>
            <w:r>
              <w:t>-</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0,40</w:t>
            </w:r>
          </w:p>
          <w:p w:rsidR="00ED0C0A" w:rsidRDefault="00ED0C0A" w:rsidP="00ED0C0A">
            <w:pPr>
              <w:numPr>
                <w:ilvl w:val="12"/>
                <w:numId w:val="0"/>
              </w:numPr>
              <w:jc w:val="center"/>
            </w:pPr>
            <w:r>
              <w:sym w:font="Symbol" w:char="F0B3"/>
            </w:r>
            <w:r>
              <w:t xml:space="preserve"> 0,50</w:t>
            </w:r>
          </w:p>
          <w:p w:rsidR="00ED0C0A" w:rsidRDefault="00ED0C0A" w:rsidP="00ED0C0A">
            <w:pPr>
              <w:numPr>
                <w:ilvl w:val="12"/>
                <w:numId w:val="0"/>
              </w:numPr>
              <w:jc w:val="center"/>
            </w:pPr>
            <w:r>
              <w:sym w:font="Symbol" w:char="F0B3"/>
            </w:r>
            <w:r>
              <w:t xml:space="preserve"> 0,30</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B3</w:t>
            </w:r>
          </w:p>
          <w:p w:rsidR="00ED0C0A" w:rsidRDefault="00ED0C0A" w:rsidP="00ED0C0A">
            <w:pPr>
              <w:numPr>
                <w:ilvl w:val="12"/>
                <w:numId w:val="0"/>
              </w:numPr>
              <w:jc w:val="center"/>
            </w:pPr>
            <w:r>
              <w:t>B4</w:t>
            </w:r>
          </w:p>
          <w:p w:rsidR="00ED0C0A" w:rsidRDefault="00ED0C0A" w:rsidP="00ED0C0A">
            <w:pPr>
              <w:numPr>
                <w:ilvl w:val="12"/>
                <w:numId w:val="0"/>
              </w:numPr>
              <w:jc w:val="center"/>
            </w:pPr>
            <w:r>
              <w:t>B2</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pPr>
              <w:numPr>
                <w:ilvl w:val="12"/>
                <w:numId w:val="0"/>
              </w:numPr>
            </w:pPr>
            <w:r>
              <w:t xml:space="preserve">Współczynnik luminancji </w:t>
            </w:r>
            <w:r>
              <w:sym w:font="Symbol" w:char="F062"/>
            </w:r>
            <w:r>
              <w:t xml:space="preserve"> dla </w:t>
            </w:r>
            <w:proofErr w:type="spellStart"/>
            <w:r>
              <w:t>oznakowa-nia</w:t>
            </w:r>
            <w:proofErr w:type="spellEnd"/>
            <w:r>
              <w:t xml:space="preserve"> eksploatowanego (po 30 dniu od wykonania) barwy:</w:t>
            </w:r>
          </w:p>
          <w:p w:rsidR="00ED0C0A" w:rsidRDefault="00ED0C0A" w:rsidP="00ED0C0A">
            <w:pPr>
              <w:numPr>
                <w:ilvl w:val="12"/>
                <w:numId w:val="0"/>
              </w:numPr>
            </w:pPr>
            <w:r>
              <w:t>- białej</w:t>
            </w:r>
          </w:p>
          <w:p w:rsidR="00ED0C0A" w:rsidRDefault="00ED0C0A" w:rsidP="00ED0C0A">
            <w:pPr>
              <w:pStyle w:val="Stopka"/>
              <w:numPr>
                <w:ilvl w:val="12"/>
                <w:numId w:val="0"/>
              </w:numPr>
              <w:tabs>
                <w:tab w:val="clear" w:pos="4536"/>
                <w:tab w:val="clear" w:pos="9072"/>
              </w:tabs>
            </w:pPr>
            <w:r>
              <w:t>- żółtej</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w:t>
            </w:r>
          </w:p>
          <w:p w:rsidR="00ED0C0A" w:rsidRDefault="00ED0C0A" w:rsidP="00ED0C0A">
            <w:pPr>
              <w:numPr>
                <w:ilvl w:val="12"/>
                <w:numId w:val="0"/>
              </w:numPr>
              <w:jc w:val="center"/>
            </w:pPr>
            <w:r>
              <w:t>-</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pPr>
          </w:p>
          <w:p w:rsidR="00ED0C0A" w:rsidRDefault="00ED0C0A" w:rsidP="00ED0C0A">
            <w:pPr>
              <w:numPr>
                <w:ilvl w:val="12"/>
                <w:numId w:val="0"/>
              </w:numPr>
              <w:jc w:val="center"/>
            </w:pPr>
            <w:r>
              <w:sym w:font="Symbol" w:char="F0B3"/>
            </w:r>
            <w:r>
              <w:t xml:space="preserve"> 0,30</w:t>
            </w:r>
          </w:p>
          <w:p w:rsidR="00ED0C0A" w:rsidRDefault="00ED0C0A" w:rsidP="00ED0C0A">
            <w:pPr>
              <w:numPr>
                <w:ilvl w:val="12"/>
                <w:numId w:val="0"/>
              </w:numPr>
              <w:jc w:val="center"/>
            </w:pPr>
            <w:r>
              <w:sym w:font="Symbol" w:char="F0B3"/>
            </w:r>
            <w:r>
              <w:t xml:space="preserve"> 0,20</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t>B2</w:t>
            </w:r>
          </w:p>
          <w:p w:rsidR="00ED0C0A" w:rsidRDefault="00ED0C0A" w:rsidP="00ED0C0A">
            <w:pPr>
              <w:numPr>
                <w:ilvl w:val="12"/>
                <w:numId w:val="0"/>
              </w:numPr>
              <w:jc w:val="center"/>
            </w:pPr>
            <w:r>
              <w:t>B1</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pPr>
              <w:numPr>
                <w:ilvl w:val="12"/>
                <w:numId w:val="0"/>
              </w:numPr>
            </w:pPr>
            <w:r>
              <w:t xml:space="preserve">Współczynnik luminancji w świetle rozproszonym </w:t>
            </w:r>
            <w:proofErr w:type="spellStart"/>
            <w:r>
              <w:t>Qd</w:t>
            </w:r>
            <w:proofErr w:type="spellEnd"/>
            <w:r>
              <w:t xml:space="preserve"> (alternatywnie do </w:t>
            </w:r>
            <w:r>
              <w:sym w:font="Symbol" w:char="F062"/>
            </w:r>
            <w:r>
              <w:t>) dla oznakowania nowego w ciągu od 14 do 30  dnia po wykonaniu, barwy:</w:t>
            </w:r>
          </w:p>
          <w:p w:rsidR="00ED0C0A" w:rsidRDefault="00ED0C0A" w:rsidP="00A46F82">
            <w:pPr>
              <w:numPr>
                <w:ilvl w:val="0"/>
                <w:numId w:val="205"/>
              </w:numPr>
              <w:overflowPunct w:val="0"/>
              <w:autoSpaceDE w:val="0"/>
              <w:autoSpaceDN w:val="0"/>
              <w:adjustRightInd w:val="0"/>
              <w:jc w:val="both"/>
              <w:textAlignment w:val="baseline"/>
            </w:pPr>
            <w:r>
              <w:t>białej na nawierzchni asfaltowej</w:t>
            </w:r>
          </w:p>
          <w:p w:rsidR="00ED0C0A" w:rsidRDefault="00ED0C0A" w:rsidP="00A46F82">
            <w:pPr>
              <w:numPr>
                <w:ilvl w:val="0"/>
                <w:numId w:val="205"/>
              </w:numPr>
              <w:overflowPunct w:val="0"/>
              <w:autoSpaceDE w:val="0"/>
              <w:autoSpaceDN w:val="0"/>
              <w:adjustRightInd w:val="0"/>
              <w:jc w:val="both"/>
              <w:textAlignment w:val="baseline"/>
            </w:pPr>
            <w:r>
              <w:t>białej na nawierzchni betonowej</w:t>
            </w:r>
          </w:p>
          <w:p w:rsidR="00ED0C0A" w:rsidRDefault="00ED0C0A" w:rsidP="00A46F82">
            <w:pPr>
              <w:numPr>
                <w:ilvl w:val="0"/>
                <w:numId w:val="205"/>
              </w:numPr>
              <w:overflowPunct w:val="0"/>
              <w:autoSpaceDE w:val="0"/>
              <w:autoSpaceDN w:val="0"/>
              <w:adjustRightInd w:val="0"/>
              <w:jc w:val="both"/>
              <w:textAlignment w:val="baseline"/>
            </w:pPr>
            <w:r>
              <w:t>żółtej</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130</w:t>
            </w:r>
          </w:p>
          <w:p w:rsidR="00ED0C0A" w:rsidRDefault="00ED0C0A" w:rsidP="00ED0C0A">
            <w:pPr>
              <w:numPr>
                <w:ilvl w:val="12"/>
                <w:numId w:val="0"/>
              </w:numPr>
              <w:jc w:val="center"/>
            </w:pPr>
            <w:r>
              <w:sym w:font="Symbol" w:char="F0B3"/>
            </w:r>
            <w:r>
              <w:t xml:space="preserve"> 160</w:t>
            </w:r>
          </w:p>
          <w:p w:rsidR="00ED0C0A" w:rsidRDefault="00ED0C0A" w:rsidP="00ED0C0A">
            <w:pPr>
              <w:numPr>
                <w:ilvl w:val="12"/>
                <w:numId w:val="0"/>
              </w:numPr>
              <w:jc w:val="center"/>
            </w:pPr>
            <w:r>
              <w:sym w:font="Symbol" w:char="F0B3"/>
            </w:r>
            <w:r>
              <w:t xml:space="preserve"> 100</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lang w:val="en-US"/>
              </w:rPr>
            </w:pPr>
            <w:r>
              <w:rPr>
                <w:lang w:val="en-US"/>
              </w:rPr>
              <w:t>Q3</w:t>
            </w:r>
          </w:p>
          <w:p w:rsidR="00ED0C0A" w:rsidRDefault="00ED0C0A" w:rsidP="00ED0C0A">
            <w:pPr>
              <w:numPr>
                <w:ilvl w:val="12"/>
                <w:numId w:val="0"/>
              </w:numPr>
              <w:jc w:val="center"/>
              <w:rPr>
                <w:lang w:val="en-US"/>
              </w:rPr>
            </w:pPr>
            <w:r>
              <w:rPr>
                <w:lang w:val="en-US"/>
              </w:rPr>
              <w:t>Q4</w:t>
            </w:r>
          </w:p>
          <w:p w:rsidR="00ED0C0A" w:rsidRDefault="00ED0C0A" w:rsidP="00ED0C0A">
            <w:pPr>
              <w:numPr>
                <w:ilvl w:val="12"/>
                <w:numId w:val="0"/>
              </w:numPr>
              <w:jc w:val="center"/>
              <w:rPr>
                <w:lang w:val="en-US"/>
              </w:rPr>
            </w:pPr>
            <w:r>
              <w:rPr>
                <w:lang w:val="en-US"/>
              </w:rPr>
              <w:t>Q2</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rPr>
                <w:lang w:val="en-US"/>
              </w:rPr>
            </w:pPr>
          </w:p>
        </w:tc>
        <w:tc>
          <w:tcPr>
            <w:tcW w:w="3685" w:type="dxa"/>
          </w:tcPr>
          <w:p w:rsidR="00ED0C0A" w:rsidRDefault="00ED0C0A" w:rsidP="00ED0C0A">
            <w:pPr>
              <w:numPr>
                <w:ilvl w:val="12"/>
                <w:numId w:val="0"/>
              </w:numPr>
            </w:pPr>
            <w:r>
              <w:t xml:space="preserve">Współczynnik luminancji w świetle rozproszonym </w:t>
            </w:r>
            <w:proofErr w:type="spellStart"/>
            <w:r>
              <w:t>Qd</w:t>
            </w:r>
            <w:proofErr w:type="spellEnd"/>
            <w:r>
              <w:t xml:space="preserve"> (alternatywnie do </w:t>
            </w:r>
            <w:r>
              <w:sym w:font="Symbol" w:char="F062"/>
            </w:r>
            <w:r>
              <w:t>) dla oznakowania eksploatowanego w ciągu całego okresu eksploatacji po 30 dniu od wykonania,  barwy:</w:t>
            </w:r>
          </w:p>
          <w:p w:rsidR="00ED0C0A" w:rsidRDefault="00ED0C0A" w:rsidP="00A46F82">
            <w:pPr>
              <w:numPr>
                <w:ilvl w:val="0"/>
                <w:numId w:val="206"/>
              </w:numPr>
              <w:overflowPunct w:val="0"/>
              <w:autoSpaceDE w:val="0"/>
              <w:autoSpaceDN w:val="0"/>
              <w:adjustRightInd w:val="0"/>
              <w:jc w:val="both"/>
              <w:textAlignment w:val="baseline"/>
            </w:pPr>
            <w:r>
              <w:t>białej na nawierzchni asfaltowej</w:t>
            </w:r>
          </w:p>
          <w:p w:rsidR="00ED0C0A" w:rsidRDefault="00ED0C0A" w:rsidP="00A46F82">
            <w:pPr>
              <w:numPr>
                <w:ilvl w:val="0"/>
                <w:numId w:val="206"/>
              </w:numPr>
              <w:overflowPunct w:val="0"/>
              <w:autoSpaceDE w:val="0"/>
              <w:autoSpaceDN w:val="0"/>
              <w:adjustRightInd w:val="0"/>
              <w:jc w:val="both"/>
              <w:textAlignment w:val="baseline"/>
            </w:pPr>
            <w:r>
              <w:t>białej na nawierzchni betonowej</w:t>
            </w:r>
          </w:p>
          <w:p w:rsidR="00ED0C0A" w:rsidRDefault="00ED0C0A" w:rsidP="00A46F82">
            <w:pPr>
              <w:numPr>
                <w:ilvl w:val="0"/>
                <w:numId w:val="206"/>
              </w:numPr>
              <w:overflowPunct w:val="0"/>
              <w:autoSpaceDE w:val="0"/>
              <w:autoSpaceDN w:val="0"/>
              <w:adjustRightInd w:val="0"/>
              <w:jc w:val="both"/>
              <w:textAlignment w:val="baseline"/>
            </w:pPr>
            <w:r>
              <w:t>żółtej</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rPr>
                <w:vertAlign w:val="superscript"/>
              </w:rPr>
            </w:pPr>
            <w:r>
              <w:t>mcd m</w:t>
            </w:r>
            <w:r>
              <w:rPr>
                <w:vertAlign w:val="superscript"/>
              </w:rPr>
              <w:t>-2</w:t>
            </w:r>
            <w:r>
              <w:t xml:space="preserve"> lx</w:t>
            </w:r>
            <w:r>
              <w:rPr>
                <w:vertAlign w:val="superscript"/>
              </w:rPr>
              <w:t>-1</w:t>
            </w:r>
          </w:p>
          <w:p w:rsidR="00ED0C0A" w:rsidRDefault="00ED0C0A" w:rsidP="00ED0C0A">
            <w:pPr>
              <w:numPr>
                <w:ilvl w:val="12"/>
                <w:numId w:val="0"/>
              </w:numPr>
              <w:jc w:val="center"/>
            </w:pPr>
            <w:r>
              <w:t>mcd m</w:t>
            </w:r>
            <w:r>
              <w:rPr>
                <w:vertAlign w:val="superscript"/>
              </w:rPr>
              <w:t>-2</w:t>
            </w:r>
            <w:r>
              <w:t xml:space="preserve"> lx</w:t>
            </w:r>
            <w:r>
              <w:rPr>
                <w:vertAlign w:val="superscript"/>
              </w:rPr>
              <w:t>-1</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100</w:t>
            </w:r>
          </w:p>
          <w:p w:rsidR="00ED0C0A" w:rsidRDefault="00ED0C0A" w:rsidP="00ED0C0A">
            <w:pPr>
              <w:numPr>
                <w:ilvl w:val="12"/>
                <w:numId w:val="0"/>
              </w:numPr>
              <w:jc w:val="center"/>
            </w:pPr>
            <w:r>
              <w:sym w:font="Symbol" w:char="F0B3"/>
            </w:r>
            <w:r>
              <w:t xml:space="preserve"> 130</w:t>
            </w:r>
          </w:p>
          <w:p w:rsidR="00ED0C0A" w:rsidRDefault="00ED0C0A" w:rsidP="00ED0C0A">
            <w:pPr>
              <w:numPr>
                <w:ilvl w:val="12"/>
                <w:numId w:val="0"/>
              </w:numPr>
              <w:jc w:val="center"/>
            </w:pPr>
            <w:r>
              <w:sym w:font="Symbol" w:char="F0B3"/>
            </w:r>
            <w:r>
              <w:t xml:space="preserve"> 80</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pPr>
          </w:p>
          <w:p w:rsidR="00ED0C0A" w:rsidRDefault="00ED0C0A" w:rsidP="00ED0C0A">
            <w:pPr>
              <w:numPr>
                <w:ilvl w:val="12"/>
                <w:numId w:val="0"/>
              </w:numPr>
              <w:jc w:val="center"/>
              <w:rPr>
                <w:lang w:val="en-US"/>
              </w:rPr>
            </w:pPr>
          </w:p>
          <w:p w:rsidR="00ED0C0A" w:rsidRDefault="00ED0C0A" w:rsidP="00ED0C0A">
            <w:pPr>
              <w:numPr>
                <w:ilvl w:val="12"/>
                <w:numId w:val="0"/>
              </w:numPr>
              <w:jc w:val="center"/>
              <w:rPr>
                <w:lang w:val="en-US"/>
              </w:rPr>
            </w:pPr>
            <w:r>
              <w:rPr>
                <w:lang w:val="en-US"/>
              </w:rPr>
              <w:t>Q2</w:t>
            </w:r>
          </w:p>
          <w:p w:rsidR="00ED0C0A" w:rsidRDefault="00ED0C0A" w:rsidP="00ED0C0A">
            <w:pPr>
              <w:numPr>
                <w:ilvl w:val="12"/>
                <w:numId w:val="0"/>
              </w:numPr>
              <w:jc w:val="center"/>
              <w:rPr>
                <w:lang w:val="en-US"/>
              </w:rPr>
            </w:pPr>
            <w:r>
              <w:rPr>
                <w:lang w:val="en-US"/>
              </w:rPr>
              <w:t>Q3</w:t>
            </w:r>
          </w:p>
          <w:p w:rsidR="00ED0C0A" w:rsidRDefault="00ED0C0A" w:rsidP="00ED0C0A">
            <w:pPr>
              <w:numPr>
                <w:ilvl w:val="12"/>
                <w:numId w:val="0"/>
              </w:numPr>
              <w:jc w:val="center"/>
              <w:rPr>
                <w:lang w:val="en-US"/>
              </w:rPr>
            </w:pPr>
            <w:r>
              <w:rPr>
                <w:lang w:val="en-US"/>
              </w:rPr>
              <w:t>Q1</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rPr>
                <w:lang w:val="en-US"/>
              </w:rPr>
            </w:pPr>
          </w:p>
        </w:tc>
        <w:tc>
          <w:tcPr>
            <w:tcW w:w="3685" w:type="dxa"/>
          </w:tcPr>
          <w:p w:rsidR="00ED0C0A" w:rsidRDefault="00ED0C0A" w:rsidP="00ED0C0A">
            <w:pPr>
              <w:numPr>
                <w:ilvl w:val="12"/>
                <w:numId w:val="0"/>
              </w:numPr>
            </w:pPr>
            <w:r>
              <w:t>Szorstkość oznakowania eksploatowanego</w:t>
            </w:r>
          </w:p>
        </w:tc>
        <w:tc>
          <w:tcPr>
            <w:tcW w:w="1134" w:type="dxa"/>
          </w:tcPr>
          <w:p w:rsidR="00ED0C0A" w:rsidRDefault="00ED0C0A" w:rsidP="00ED0C0A">
            <w:pPr>
              <w:numPr>
                <w:ilvl w:val="12"/>
                <w:numId w:val="0"/>
              </w:numPr>
              <w:jc w:val="center"/>
            </w:pPr>
            <w:r>
              <w:t>wskaźnik</w:t>
            </w:r>
          </w:p>
          <w:p w:rsidR="00ED0C0A" w:rsidRDefault="00ED0C0A" w:rsidP="00ED0C0A">
            <w:pPr>
              <w:numPr>
                <w:ilvl w:val="12"/>
                <w:numId w:val="0"/>
              </w:numPr>
              <w:jc w:val="center"/>
            </w:pPr>
            <w:r>
              <w:t>SRT</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45</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r>
              <w:t>S1</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p>
        </w:tc>
        <w:tc>
          <w:tcPr>
            <w:tcW w:w="3685" w:type="dxa"/>
          </w:tcPr>
          <w:p w:rsidR="00ED0C0A" w:rsidRDefault="00ED0C0A" w:rsidP="00ED0C0A">
            <w:pPr>
              <w:numPr>
                <w:ilvl w:val="12"/>
                <w:numId w:val="0"/>
              </w:numPr>
            </w:pPr>
            <w:r>
              <w:t xml:space="preserve">Trwałość oznakowania </w:t>
            </w:r>
            <w:proofErr w:type="spellStart"/>
            <w:r>
              <w:t>cienkowarstwo-wego</w:t>
            </w:r>
            <w:proofErr w:type="spellEnd"/>
            <w:r>
              <w:t xml:space="preserve"> po 12 miesiącach:</w:t>
            </w:r>
          </w:p>
        </w:tc>
        <w:tc>
          <w:tcPr>
            <w:tcW w:w="1134" w:type="dxa"/>
          </w:tcPr>
          <w:p w:rsidR="00ED0C0A" w:rsidRDefault="00ED0C0A" w:rsidP="00ED0C0A">
            <w:pPr>
              <w:numPr>
                <w:ilvl w:val="12"/>
                <w:numId w:val="0"/>
              </w:numPr>
              <w:jc w:val="center"/>
            </w:pPr>
          </w:p>
          <w:p w:rsidR="00ED0C0A" w:rsidRDefault="00ED0C0A" w:rsidP="00ED0C0A">
            <w:pPr>
              <w:numPr>
                <w:ilvl w:val="12"/>
                <w:numId w:val="0"/>
              </w:numPr>
              <w:jc w:val="center"/>
            </w:pPr>
            <w:r>
              <w:t>skala LCPC</w:t>
            </w:r>
          </w:p>
        </w:tc>
        <w:tc>
          <w:tcPr>
            <w:tcW w:w="1276" w:type="dxa"/>
          </w:tcPr>
          <w:p w:rsidR="00ED0C0A" w:rsidRDefault="00ED0C0A" w:rsidP="00ED0C0A">
            <w:pPr>
              <w:numPr>
                <w:ilvl w:val="12"/>
                <w:numId w:val="0"/>
              </w:numPr>
              <w:jc w:val="center"/>
            </w:pPr>
          </w:p>
          <w:p w:rsidR="00ED0C0A" w:rsidRDefault="00ED0C0A" w:rsidP="00ED0C0A">
            <w:pPr>
              <w:numPr>
                <w:ilvl w:val="12"/>
                <w:numId w:val="0"/>
              </w:numPr>
              <w:jc w:val="center"/>
            </w:pPr>
            <w:r>
              <w:sym w:font="Symbol" w:char="F0B3"/>
            </w:r>
            <w:r>
              <w:t xml:space="preserve"> 6</w:t>
            </w:r>
          </w:p>
        </w:tc>
        <w:tc>
          <w:tcPr>
            <w:tcW w:w="924" w:type="dxa"/>
          </w:tcPr>
          <w:p w:rsidR="00ED0C0A" w:rsidRDefault="00ED0C0A" w:rsidP="00ED0C0A">
            <w:pPr>
              <w:numPr>
                <w:ilvl w:val="12"/>
                <w:numId w:val="0"/>
              </w:numPr>
              <w:jc w:val="center"/>
            </w:pPr>
          </w:p>
          <w:p w:rsidR="00ED0C0A" w:rsidRDefault="00ED0C0A" w:rsidP="00ED0C0A">
            <w:pPr>
              <w:numPr>
                <w:ilvl w:val="12"/>
                <w:numId w:val="0"/>
              </w:numPr>
              <w:jc w:val="center"/>
            </w:pPr>
            <w:r>
              <w:t>-</w:t>
            </w:r>
          </w:p>
        </w:tc>
      </w:tr>
      <w:tr w:rsidR="00ED0C0A" w:rsidTr="00ED0C0A">
        <w:trPr>
          <w:cantSplit/>
        </w:trPr>
        <w:tc>
          <w:tcPr>
            <w:tcW w:w="496" w:type="dxa"/>
          </w:tcPr>
          <w:p w:rsidR="00ED0C0A" w:rsidRDefault="00ED0C0A" w:rsidP="00A46F82">
            <w:pPr>
              <w:numPr>
                <w:ilvl w:val="0"/>
                <w:numId w:val="208"/>
              </w:numPr>
              <w:tabs>
                <w:tab w:val="left" w:pos="417"/>
              </w:tabs>
              <w:overflowPunct w:val="0"/>
              <w:autoSpaceDE w:val="0"/>
              <w:autoSpaceDN w:val="0"/>
              <w:adjustRightInd w:val="0"/>
              <w:ind w:left="397" w:hanging="397"/>
              <w:jc w:val="center"/>
              <w:textAlignment w:val="baseline"/>
            </w:pPr>
            <w:r>
              <w:t>8</w:t>
            </w:r>
          </w:p>
        </w:tc>
        <w:tc>
          <w:tcPr>
            <w:tcW w:w="3685" w:type="dxa"/>
          </w:tcPr>
          <w:p w:rsidR="00ED0C0A" w:rsidRDefault="00ED0C0A" w:rsidP="00ED0C0A">
            <w:r>
              <w:t>Czas schnięcia materiału na nawierzchni</w:t>
            </w:r>
          </w:p>
          <w:p w:rsidR="00ED0C0A" w:rsidRDefault="00ED0C0A" w:rsidP="00A46F82">
            <w:pPr>
              <w:numPr>
                <w:ilvl w:val="0"/>
                <w:numId w:val="207"/>
              </w:numPr>
              <w:tabs>
                <w:tab w:val="left" w:pos="-3190"/>
              </w:tabs>
              <w:overflowPunct w:val="0"/>
              <w:autoSpaceDE w:val="0"/>
              <w:autoSpaceDN w:val="0"/>
              <w:adjustRightInd w:val="0"/>
              <w:ind w:left="355"/>
              <w:jc w:val="both"/>
              <w:textAlignment w:val="baseline"/>
            </w:pPr>
            <w:r>
              <w:t>w dzień</w:t>
            </w:r>
          </w:p>
          <w:p w:rsidR="00ED0C0A" w:rsidRDefault="00ED0C0A" w:rsidP="00A46F82">
            <w:pPr>
              <w:numPr>
                <w:ilvl w:val="0"/>
                <w:numId w:val="207"/>
              </w:numPr>
              <w:tabs>
                <w:tab w:val="left" w:pos="-3190"/>
              </w:tabs>
              <w:overflowPunct w:val="0"/>
              <w:autoSpaceDE w:val="0"/>
              <w:autoSpaceDN w:val="0"/>
              <w:adjustRightInd w:val="0"/>
              <w:ind w:left="355"/>
              <w:jc w:val="both"/>
              <w:textAlignment w:val="baseline"/>
            </w:pPr>
            <w:r>
              <w:t>w nocy</w:t>
            </w:r>
          </w:p>
        </w:tc>
        <w:tc>
          <w:tcPr>
            <w:tcW w:w="1134" w:type="dxa"/>
          </w:tcPr>
          <w:p w:rsidR="00ED0C0A" w:rsidRDefault="00ED0C0A" w:rsidP="00ED0C0A">
            <w:pPr>
              <w:jc w:val="center"/>
            </w:pPr>
          </w:p>
          <w:p w:rsidR="00ED0C0A" w:rsidRDefault="00ED0C0A" w:rsidP="00ED0C0A">
            <w:pPr>
              <w:jc w:val="center"/>
            </w:pPr>
            <w:r>
              <w:t>h</w:t>
            </w:r>
          </w:p>
          <w:p w:rsidR="00ED0C0A" w:rsidRDefault="00ED0C0A" w:rsidP="00ED0C0A">
            <w:pPr>
              <w:jc w:val="center"/>
            </w:pPr>
            <w:r>
              <w:t>h</w:t>
            </w:r>
          </w:p>
        </w:tc>
        <w:tc>
          <w:tcPr>
            <w:tcW w:w="1276" w:type="dxa"/>
          </w:tcPr>
          <w:p w:rsidR="00ED0C0A" w:rsidRDefault="00ED0C0A" w:rsidP="00ED0C0A">
            <w:pPr>
              <w:jc w:val="center"/>
            </w:pPr>
          </w:p>
          <w:p w:rsidR="00ED0C0A" w:rsidRDefault="00ED0C0A" w:rsidP="00ED0C0A">
            <w:pPr>
              <w:jc w:val="center"/>
            </w:pPr>
            <w:r>
              <w:sym w:font="Symbol" w:char="F0A3"/>
            </w:r>
            <w:r>
              <w:t xml:space="preserve"> 1</w:t>
            </w:r>
          </w:p>
          <w:p w:rsidR="00ED0C0A" w:rsidRDefault="00ED0C0A" w:rsidP="00ED0C0A">
            <w:pPr>
              <w:jc w:val="center"/>
            </w:pPr>
            <w:r>
              <w:sym w:font="Symbol" w:char="F0A3"/>
            </w:r>
            <w:r>
              <w:t xml:space="preserve"> 2</w:t>
            </w:r>
          </w:p>
        </w:tc>
        <w:tc>
          <w:tcPr>
            <w:tcW w:w="924" w:type="dxa"/>
          </w:tcPr>
          <w:p w:rsidR="00ED0C0A" w:rsidRDefault="00ED0C0A" w:rsidP="00ED0C0A">
            <w:pPr>
              <w:jc w:val="center"/>
            </w:pPr>
          </w:p>
          <w:p w:rsidR="00ED0C0A" w:rsidRDefault="00ED0C0A" w:rsidP="00ED0C0A">
            <w:pPr>
              <w:jc w:val="center"/>
            </w:pPr>
            <w:r>
              <w:t>-</w:t>
            </w:r>
          </w:p>
          <w:p w:rsidR="00ED0C0A" w:rsidRDefault="00ED0C0A" w:rsidP="00ED0C0A">
            <w:pPr>
              <w:jc w:val="center"/>
            </w:pPr>
            <w:r>
              <w:t>-</w:t>
            </w:r>
          </w:p>
        </w:tc>
      </w:tr>
    </w:tbl>
    <w:p w:rsidR="00ED0C0A" w:rsidRDefault="00ED0C0A" w:rsidP="00ED0C0A">
      <w:pPr>
        <w:spacing w:before="120"/>
      </w:pPr>
    </w:p>
    <w:p w:rsidR="00ED0C0A" w:rsidRDefault="00ED0C0A" w:rsidP="00ED0C0A">
      <w:pPr>
        <w:pStyle w:val="Nagwek2"/>
      </w:pPr>
      <w:r>
        <w:t>6.4. Tolerancje wymiarów oznakowania</w:t>
      </w:r>
    </w:p>
    <w:p w:rsidR="00ED0C0A" w:rsidRDefault="00ED0C0A" w:rsidP="00ED0C0A">
      <w:r>
        <w:rPr>
          <w:b/>
        </w:rPr>
        <w:t xml:space="preserve">6.4.1. </w:t>
      </w:r>
      <w:r>
        <w:t>Tolerancje nowo wykonanego oznakowania</w:t>
      </w:r>
    </w:p>
    <w:p w:rsidR="00ED0C0A" w:rsidRDefault="00ED0C0A" w:rsidP="00ED0C0A">
      <w:pPr>
        <w:spacing w:before="120"/>
      </w:pPr>
      <w:r>
        <w:tab/>
        <w:t>Tolerancje nowo wykonanego oznakowania poziomego, zgodnego z dokumentacją projektową i załącznikiem nr 2 do rozporządzenia Ministra Infrastruktury z 3.07.2003 r. [7], powinny odpowiadać następującym warunkom:</w:t>
      </w:r>
    </w:p>
    <w:p w:rsidR="00ED0C0A" w:rsidRDefault="00ED0C0A" w:rsidP="00ED0C0A">
      <w:pPr>
        <w:numPr>
          <w:ilvl w:val="0"/>
          <w:numId w:val="1"/>
        </w:numPr>
        <w:overflowPunct w:val="0"/>
        <w:autoSpaceDE w:val="0"/>
        <w:autoSpaceDN w:val="0"/>
        <w:adjustRightInd w:val="0"/>
        <w:jc w:val="both"/>
        <w:textAlignment w:val="baseline"/>
      </w:pPr>
      <w:r>
        <w:t xml:space="preserve">szerokość linii może różnić się od wymaganej o </w:t>
      </w:r>
      <w:r>
        <w:sym w:font="Symbol" w:char="F0B1"/>
      </w:r>
      <w:r>
        <w:t xml:space="preserve"> </w:t>
      </w:r>
      <w:smartTag w:uri="urn:schemas-microsoft-com:office:smarttags" w:element="metricconverter">
        <w:smartTagPr>
          <w:attr w:name="ProductID" w:val="5 mm"/>
        </w:smartTagPr>
        <w:r>
          <w:t>5 mm</w:t>
        </w:r>
      </w:smartTag>
      <w:r>
        <w:t>,</w:t>
      </w:r>
    </w:p>
    <w:p w:rsidR="00ED0C0A" w:rsidRDefault="00ED0C0A" w:rsidP="00ED0C0A">
      <w:pPr>
        <w:numPr>
          <w:ilvl w:val="0"/>
          <w:numId w:val="1"/>
        </w:numPr>
        <w:overflowPunct w:val="0"/>
        <w:autoSpaceDE w:val="0"/>
        <w:autoSpaceDN w:val="0"/>
        <w:adjustRightInd w:val="0"/>
        <w:jc w:val="both"/>
        <w:textAlignment w:val="baseline"/>
      </w:pPr>
      <w:r>
        <w:t xml:space="preserve">długość linii może być mniejsza od wymaganej co najwyżej o </w:t>
      </w:r>
      <w:smartTag w:uri="urn:schemas-microsoft-com:office:smarttags" w:element="metricconverter">
        <w:smartTagPr>
          <w:attr w:name="ProductID" w:val="50 mm"/>
        </w:smartTagPr>
        <w:r>
          <w:t>50 mm</w:t>
        </w:r>
      </w:smartTag>
      <w:r>
        <w:t xml:space="preserve"> lub większa co najwyżej o </w:t>
      </w:r>
      <w:smartTag w:uri="urn:schemas-microsoft-com:office:smarttags" w:element="metricconverter">
        <w:smartTagPr>
          <w:attr w:name="ProductID" w:val="150 mm"/>
        </w:smartTagPr>
        <w:r>
          <w:t>150 mm</w:t>
        </w:r>
      </w:smartTag>
      <w:r>
        <w:t>,</w:t>
      </w:r>
    </w:p>
    <w:p w:rsidR="00ED0C0A" w:rsidRDefault="00ED0C0A" w:rsidP="00ED0C0A">
      <w:pPr>
        <w:numPr>
          <w:ilvl w:val="0"/>
          <w:numId w:val="1"/>
        </w:numPr>
        <w:overflowPunct w:val="0"/>
        <w:autoSpaceDE w:val="0"/>
        <w:autoSpaceDN w:val="0"/>
        <w:adjustRightInd w:val="0"/>
        <w:jc w:val="both"/>
        <w:textAlignment w:val="baseline"/>
      </w:pPr>
      <w:r>
        <w:t xml:space="preserve">dla linii przerywanych, długość cyklu składającego się z linii i przerwy nie może odbiegać od średniej liczonej z 10 kolejnych cykli o więcej niż </w:t>
      </w:r>
      <w:r>
        <w:sym w:font="Symbol" w:char="F0B1"/>
      </w:r>
      <w:r>
        <w:t xml:space="preserve"> </w:t>
      </w:r>
      <w:smartTag w:uri="urn:schemas-microsoft-com:office:smarttags" w:element="metricconverter">
        <w:smartTagPr>
          <w:attr w:name="ProductID" w:val="50 mm"/>
        </w:smartTagPr>
        <w:r>
          <w:t>50 mm</w:t>
        </w:r>
      </w:smartTag>
      <w:r>
        <w:t xml:space="preserve"> długości wymaganej,</w:t>
      </w:r>
    </w:p>
    <w:p w:rsidR="00ED0C0A" w:rsidRDefault="00ED0C0A" w:rsidP="00ED0C0A">
      <w:pPr>
        <w:numPr>
          <w:ilvl w:val="0"/>
          <w:numId w:val="1"/>
        </w:numPr>
        <w:overflowPunct w:val="0"/>
        <w:autoSpaceDE w:val="0"/>
        <w:autoSpaceDN w:val="0"/>
        <w:adjustRightInd w:val="0"/>
        <w:jc w:val="both"/>
        <w:textAlignment w:val="baseline"/>
      </w:pPr>
      <w:r>
        <w:t xml:space="preserve">dla strzałek, liter i cyfr rozstaw punktów narożnikowych nie może mieć większej odchyłki od wymaganego wzoru niż </w:t>
      </w:r>
      <w:r>
        <w:sym w:font="Symbol" w:char="F0B1"/>
      </w:r>
      <w:r>
        <w:t xml:space="preserve"> </w:t>
      </w:r>
      <w:smartTag w:uri="urn:schemas-microsoft-com:office:smarttags" w:element="metricconverter">
        <w:smartTagPr>
          <w:attr w:name="ProductID" w:val="50 mm"/>
        </w:smartTagPr>
        <w:r>
          <w:t>50 mm</w:t>
        </w:r>
      </w:smartTag>
      <w:r>
        <w:t xml:space="preserve"> dla wymiaru długości i </w:t>
      </w:r>
      <w:r>
        <w:sym w:font="Symbol" w:char="F0B1"/>
      </w:r>
      <w:r>
        <w:t xml:space="preserve"> </w:t>
      </w:r>
      <w:smartTag w:uri="urn:schemas-microsoft-com:office:smarttags" w:element="metricconverter">
        <w:smartTagPr>
          <w:attr w:name="ProductID" w:val="20 mm"/>
        </w:smartTagPr>
        <w:r>
          <w:t>20 mm</w:t>
        </w:r>
      </w:smartTag>
      <w:r>
        <w:t xml:space="preserve"> dla wymiaru szerokości.</w:t>
      </w:r>
    </w:p>
    <w:p w:rsidR="00ED0C0A" w:rsidRDefault="00ED0C0A" w:rsidP="00ED0C0A">
      <w:pPr>
        <w:numPr>
          <w:ilvl w:val="12"/>
          <w:numId w:val="0"/>
        </w:numPr>
      </w:pPr>
      <w:r>
        <w:tab/>
        <w:t>Przy wykonywaniu nowego oznakowania poziomego, spowodowanego zmianami organizacji ruchu, należy dokładnie usunąć zbędne stare oznakowanie.</w:t>
      </w:r>
    </w:p>
    <w:p w:rsidR="00ED0C0A" w:rsidRDefault="00ED0C0A" w:rsidP="00ED0C0A">
      <w:pPr>
        <w:numPr>
          <w:ilvl w:val="12"/>
          <w:numId w:val="0"/>
        </w:numPr>
        <w:spacing w:before="120"/>
      </w:pPr>
      <w:r>
        <w:rPr>
          <w:b/>
        </w:rPr>
        <w:t xml:space="preserve">6.4.2. </w:t>
      </w:r>
      <w:r>
        <w:t>Tolerancje przy odnawianiu istniejącego oznakowania</w:t>
      </w:r>
    </w:p>
    <w:p w:rsidR="00ED0C0A" w:rsidRDefault="00ED0C0A" w:rsidP="00ED0C0A">
      <w:pPr>
        <w:numPr>
          <w:ilvl w:val="12"/>
          <w:numId w:val="0"/>
        </w:numPr>
        <w:spacing w:before="120" w:after="120"/>
      </w:pPr>
      <w:r>
        <w:tab/>
        <w:t>Przy odnawianiu istniejącego oznakowania należy dążyć do  pokrycia pełnej powierzchni istniejących znaków, przy zachowaniu dopuszczalnych tolerancji podanych w punkcie 6.4.1.</w:t>
      </w:r>
    </w:p>
    <w:p w:rsidR="00ED0C0A" w:rsidRDefault="00ED0C0A" w:rsidP="00ED0C0A">
      <w:pPr>
        <w:pStyle w:val="Nagwek1"/>
        <w:numPr>
          <w:ilvl w:val="12"/>
          <w:numId w:val="0"/>
        </w:numPr>
      </w:pPr>
      <w:r>
        <w:t>7. Obmiar robót</w:t>
      </w:r>
    </w:p>
    <w:p w:rsidR="00ED0C0A" w:rsidRDefault="00ED0C0A" w:rsidP="00ED0C0A">
      <w:pPr>
        <w:pStyle w:val="Nagwek2"/>
        <w:numPr>
          <w:ilvl w:val="12"/>
          <w:numId w:val="0"/>
        </w:numPr>
      </w:pPr>
      <w:r>
        <w:t>7.1. Ogólne zasady obmiaru robót</w:t>
      </w:r>
    </w:p>
    <w:p w:rsidR="00ED0C0A" w:rsidRDefault="00ED0C0A" w:rsidP="00ED0C0A">
      <w:pPr>
        <w:numPr>
          <w:ilvl w:val="12"/>
          <w:numId w:val="0"/>
        </w:numPr>
      </w:pPr>
      <w:r>
        <w:tab/>
        <w:t>Ogólne zasady obmiaru robót podano w OST D-M-00.00.00 „Wymagania ogólne” pkt 7.</w:t>
      </w:r>
    </w:p>
    <w:p w:rsidR="00ED0C0A" w:rsidRDefault="00ED0C0A" w:rsidP="00ED0C0A">
      <w:pPr>
        <w:pStyle w:val="Nagwek2"/>
        <w:numPr>
          <w:ilvl w:val="12"/>
          <w:numId w:val="0"/>
        </w:numPr>
      </w:pPr>
      <w:r>
        <w:t>7.2. Jednostka obmiarowa</w:t>
      </w:r>
    </w:p>
    <w:p w:rsidR="00ED0C0A" w:rsidRDefault="00ED0C0A" w:rsidP="00ED0C0A">
      <w:pPr>
        <w:numPr>
          <w:ilvl w:val="12"/>
          <w:numId w:val="0"/>
        </w:numPr>
        <w:spacing w:after="120"/>
      </w:pPr>
      <w:r>
        <w:tab/>
        <w:t>Jednostką obmiarową oznakowania poziomego jest m</w:t>
      </w:r>
      <w:r>
        <w:rPr>
          <w:vertAlign w:val="superscript"/>
        </w:rPr>
        <w:t>2</w:t>
      </w:r>
      <w:r>
        <w:t xml:space="preserve"> (metr kwadratowy) powierzchni naniesionych </w:t>
      </w:r>
      <w:proofErr w:type="spellStart"/>
      <w:r>
        <w:t>oznakowań</w:t>
      </w:r>
      <w:proofErr w:type="spellEnd"/>
      <w:r>
        <w:t xml:space="preserve"> lub liczba umieszczonych punktowych elementów odblaskowych.</w:t>
      </w:r>
    </w:p>
    <w:p w:rsidR="00ED0C0A" w:rsidRDefault="00ED0C0A" w:rsidP="00ED0C0A">
      <w:pPr>
        <w:pStyle w:val="Nagwek1"/>
        <w:numPr>
          <w:ilvl w:val="12"/>
          <w:numId w:val="0"/>
        </w:numPr>
      </w:pPr>
      <w:r>
        <w:t>8. odbiór robót</w:t>
      </w:r>
    </w:p>
    <w:p w:rsidR="00ED0C0A" w:rsidRDefault="00ED0C0A" w:rsidP="00ED0C0A">
      <w:pPr>
        <w:pStyle w:val="Nagwek2"/>
        <w:numPr>
          <w:ilvl w:val="12"/>
          <w:numId w:val="0"/>
        </w:numPr>
      </w:pPr>
      <w:r>
        <w:t>8.1. Ogólne zasady odbioru robót</w:t>
      </w:r>
    </w:p>
    <w:p w:rsidR="00ED0C0A" w:rsidRDefault="00ED0C0A" w:rsidP="00ED0C0A">
      <w:pPr>
        <w:numPr>
          <w:ilvl w:val="12"/>
          <w:numId w:val="0"/>
        </w:numPr>
      </w:pPr>
      <w:r>
        <w:tab/>
        <w:t>Ogólne zasady odbioru robót podano w SST D-00.00.00 „Wymagania ogólne” pkt 8.</w:t>
      </w:r>
    </w:p>
    <w:p w:rsidR="00ED0C0A" w:rsidRDefault="00ED0C0A" w:rsidP="00ED0C0A">
      <w:pPr>
        <w:numPr>
          <w:ilvl w:val="12"/>
          <w:numId w:val="0"/>
        </w:numPr>
      </w:pPr>
      <w:r>
        <w:lastRenderedPageBreak/>
        <w:tab/>
        <w:t>Roboty uznaje się za wykonane zgodnie z dokumentacją projektową, SST i wymaganiami Inżyniera, jeżeli wszystkie pomiary i badania, z zachowaniem tolerancji wg pkt 6, dały wyniki pozytywne.</w:t>
      </w:r>
    </w:p>
    <w:p w:rsidR="00ED0C0A" w:rsidRDefault="00ED0C0A" w:rsidP="00ED0C0A">
      <w:pPr>
        <w:pStyle w:val="Nagwek2"/>
        <w:numPr>
          <w:ilvl w:val="12"/>
          <w:numId w:val="0"/>
        </w:numPr>
      </w:pPr>
      <w:r>
        <w:t>8.2. Odbiór robót zanikających i ulegających zakryciu</w:t>
      </w:r>
    </w:p>
    <w:p w:rsidR="00ED0C0A" w:rsidRDefault="00ED0C0A" w:rsidP="00ED0C0A">
      <w:pPr>
        <w:numPr>
          <w:ilvl w:val="12"/>
          <w:numId w:val="0"/>
        </w:numPr>
      </w:pPr>
      <w:r>
        <w:tab/>
        <w:t>Odbiór robót zanikających i ulegających zakryciu, w zależności od przyjętego sposobu wykonania robót, może być dokonany po:</w:t>
      </w:r>
    </w:p>
    <w:p w:rsidR="00ED0C0A" w:rsidRDefault="00ED0C0A" w:rsidP="00ED0C0A">
      <w:pPr>
        <w:numPr>
          <w:ilvl w:val="0"/>
          <w:numId w:val="1"/>
        </w:numPr>
        <w:overflowPunct w:val="0"/>
        <w:autoSpaceDE w:val="0"/>
        <w:autoSpaceDN w:val="0"/>
        <w:adjustRightInd w:val="0"/>
        <w:jc w:val="both"/>
        <w:textAlignment w:val="baseline"/>
      </w:pPr>
      <w:r>
        <w:t>oczyszczeniu powierzchni nawierzchni,</w:t>
      </w:r>
    </w:p>
    <w:p w:rsidR="00ED0C0A" w:rsidRDefault="00ED0C0A" w:rsidP="00ED0C0A">
      <w:pPr>
        <w:numPr>
          <w:ilvl w:val="0"/>
          <w:numId w:val="1"/>
        </w:numPr>
        <w:overflowPunct w:val="0"/>
        <w:autoSpaceDE w:val="0"/>
        <w:autoSpaceDN w:val="0"/>
        <w:adjustRightInd w:val="0"/>
        <w:jc w:val="both"/>
        <w:textAlignment w:val="baseline"/>
      </w:pPr>
      <w:proofErr w:type="spellStart"/>
      <w:r>
        <w:t>przedznakowaniu</w:t>
      </w:r>
      <w:proofErr w:type="spellEnd"/>
      <w:r>
        <w:t>,</w:t>
      </w:r>
    </w:p>
    <w:p w:rsidR="00ED0C0A" w:rsidRDefault="00ED0C0A" w:rsidP="00ED0C0A">
      <w:pPr>
        <w:numPr>
          <w:ilvl w:val="0"/>
          <w:numId w:val="1"/>
        </w:numPr>
        <w:overflowPunct w:val="0"/>
        <w:autoSpaceDE w:val="0"/>
        <w:autoSpaceDN w:val="0"/>
        <w:adjustRightInd w:val="0"/>
        <w:jc w:val="both"/>
        <w:textAlignment w:val="baseline"/>
      </w:pPr>
      <w:r>
        <w:t>frezowaniu nawierzchni przed wykonaniem znakowania materiałem grubowarstwowym,</w:t>
      </w:r>
    </w:p>
    <w:p w:rsidR="00ED0C0A" w:rsidRDefault="00ED0C0A" w:rsidP="00ED0C0A">
      <w:pPr>
        <w:numPr>
          <w:ilvl w:val="0"/>
          <w:numId w:val="1"/>
        </w:numPr>
        <w:overflowPunct w:val="0"/>
        <w:autoSpaceDE w:val="0"/>
        <w:autoSpaceDN w:val="0"/>
        <w:adjustRightInd w:val="0"/>
        <w:jc w:val="both"/>
        <w:textAlignment w:val="baseline"/>
      </w:pPr>
      <w:r>
        <w:t>usunięciu istniejącego oznakowania poziomego,</w:t>
      </w:r>
    </w:p>
    <w:p w:rsidR="00ED0C0A" w:rsidRDefault="00ED0C0A" w:rsidP="00ED0C0A">
      <w:pPr>
        <w:numPr>
          <w:ilvl w:val="0"/>
          <w:numId w:val="1"/>
        </w:numPr>
        <w:overflowPunct w:val="0"/>
        <w:autoSpaceDE w:val="0"/>
        <w:autoSpaceDN w:val="0"/>
        <w:adjustRightInd w:val="0"/>
        <w:jc w:val="both"/>
        <w:textAlignment w:val="baseline"/>
      </w:pPr>
      <w:r>
        <w:t>wykonaniu podkładu (</w:t>
      </w:r>
      <w:proofErr w:type="spellStart"/>
      <w:r>
        <w:t>primera</w:t>
      </w:r>
      <w:proofErr w:type="spellEnd"/>
      <w:r>
        <w:t>) na nawierzchni betonowej.</w:t>
      </w:r>
    </w:p>
    <w:p w:rsidR="00ED0C0A" w:rsidRDefault="00ED0C0A" w:rsidP="00ED0C0A">
      <w:pPr>
        <w:pStyle w:val="Nagwek2"/>
        <w:numPr>
          <w:ilvl w:val="12"/>
          <w:numId w:val="0"/>
        </w:numPr>
      </w:pPr>
      <w:r>
        <w:t>8.3. Odbiór ostateczny</w:t>
      </w:r>
    </w:p>
    <w:p w:rsidR="00ED0C0A" w:rsidRDefault="00ED0C0A" w:rsidP="00ED0C0A">
      <w:pPr>
        <w:numPr>
          <w:ilvl w:val="12"/>
          <w:numId w:val="0"/>
        </w:numPr>
      </w:pPr>
      <w:r>
        <w:tab/>
        <w:t>Odbioru ostatecznego należy dokonać po całkowitym zakończeniu robót, na podstawie wyników pomiarów i badań jakościowych określonych w punktach od 2 do 6.</w:t>
      </w:r>
    </w:p>
    <w:p w:rsidR="00ED0C0A" w:rsidRDefault="00ED0C0A" w:rsidP="00ED0C0A">
      <w:pPr>
        <w:pStyle w:val="Nagwek2"/>
        <w:numPr>
          <w:ilvl w:val="12"/>
          <w:numId w:val="0"/>
        </w:numPr>
      </w:pPr>
      <w:r>
        <w:t>8.4. Odbiór pogwarancyjny</w:t>
      </w:r>
    </w:p>
    <w:p w:rsidR="00ED0C0A" w:rsidRDefault="00ED0C0A" w:rsidP="00ED0C0A">
      <w:pPr>
        <w:numPr>
          <w:ilvl w:val="12"/>
          <w:numId w:val="0"/>
        </w:numPr>
      </w:pPr>
      <w:r>
        <w:tab/>
        <w:t>Odbioru pogwarancyjnego należy dokonać po upływie okresu gwarancyjnego, ustalonego w SST. Sprawdzeniu podlegają cechy oznakowania określone niniejszym OST na podstawie badań wykonanych przed upływem okresu gwarancyjnego.</w:t>
      </w:r>
    </w:p>
    <w:p w:rsidR="00ED0C0A" w:rsidRDefault="00ED0C0A" w:rsidP="00ED0C0A">
      <w:pPr>
        <w:numPr>
          <w:ilvl w:val="12"/>
          <w:numId w:val="0"/>
        </w:numPr>
      </w:pPr>
      <w:r>
        <w:tab/>
        <w:t>Zaleca się stosowanie następujących minimalnych okresów gwarancyjnych:</w:t>
      </w:r>
    </w:p>
    <w:p w:rsidR="00ED0C0A" w:rsidRDefault="00ED0C0A" w:rsidP="00ED0C0A">
      <w:pPr>
        <w:numPr>
          <w:ilvl w:val="12"/>
          <w:numId w:val="0"/>
        </w:numPr>
      </w:pPr>
      <w:r>
        <w:t>a) dla oznakowania cienkowarstwowego:</w:t>
      </w:r>
    </w:p>
    <w:p w:rsidR="00ED0C0A" w:rsidRDefault="00ED0C0A" w:rsidP="00ED0C0A">
      <w:pPr>
        <w:numPr>
          <w:ilvl w:val="0"/>
          <w:numId w:val="1"/>
        </w:numPr>
        <w:overflowPunct w:val="0"/>
        <w:autoSpaceDE w:val="0"/>
        <w:autoSpaceDN w:val="0"/>
        <w:adjustRightInd w:val="0"/>
        <w:ind w:left="567"/>
        <w:jc w:val="both"/>
        <w:textAlignment w:val="baseline"/>
      </w:pPr>
      <w:r>
        <w:t>na odcinkach zamiejskich, z wyłączeniem przejść dla pieszych: co najmniej                       12 miesięcy,</w:t>
      </w:r>
    </w:p>
    <w:p w:rsidR="00ED0C0A" w:rsidRDefault="00ED0C0A" w:rsidP="00ED0C0A">
      <w:pPr>
        <w:numPr>
          <w:ilvl w:val="0"/>
          <w:numId w:val="1"/>
        </w:numPr>
        <w:overflowPunct w:val="0"/>
        <w:autoSpaceDE w:val="0"/>
        <w:autoSpaceDN w:val="0"/>
        <w:adjustRightInd w:val="0"/>
        <w:ind w:left="567"/>
        <w:jc w:val="both"/>
        <w:textAlignment w:val="baseline"/>
      </w:pPr>
      <w:r>
        <w:t>na odcinkach przejść przez miejscowości: co najmniej 6 miesięcy,</w:t>
      </w:r>
    </w:p>
    <w:p w:rsidR="00ED0C0A" w:rsidRDefault="00ED0C0A" w:rsidP="00ED0C0A">
      <w:pPr>
        <w:numPr>
          <w:ilvl w:val="0"/>
          <w:numId w:val="1"/>
        </w:numPr>
        <w:overflowPunct w:val="0"/>
        <w:autoSpaceDE w:val="0"/>
        <w:autoSpaceDN w:val="0"/>
        <w:adjustRightInd w:val="0"/>
        <w:ind w:left="567"/>
        <w:jc w:val="both"/>
        <w:textAlignment w:val="baseline"/>
      </w:pPr>
      <w:r>
        <w:t>na przejściach dla pieszych na odcinkach zamiejskich: co najmniej 6 miesięcy,</w:t>
      </w:r>
    </w:p>
    <w:p w:rsidR="00ED0C0A" w:rsidRDefault="00ED0C0A" w:rsidP="00ED0C0A">
      <w:pPr>
        <w:numPr>
          <w:ilvl w:val="0"/>
          <w:numId w:val="1"/>
        </w:numPr>
        <w:overflowPunct w:val="0"/>
        <w:autoSpaceDE w:val="0"/>
        <w:autoSpaceDN w:val="0"/>
        <w:adjustRightInd w:val="0"/>
        <w:ind w:left="567"/>
        <w:jc w:val="both"/>
        <w:textAlignment w:val="baseline"/>
      </w:pPr>
      <w:r>
        <w:t>na przejściach dla pieszych w miejscowościach: co najmniej 3 miesiące,</w:t>
      </w:r>
    </w:p>
    <w:p w:rsidR="00ED0C0A" w:rsidRDefault="00ED0C0A" w:rsidP="00A46F82">
      <w:pPr>
        <w:numPr>
          <w:ilvl w:val="0"/>
          <w:numId w:val="198"/>
        </w:numPr>
        <w:overflowPunct w:val="0"/>
        <w:autoSpaceDE w:val="0"/>
        <w:autoSpaceDN w:val="0"/>
        <w:adjustRightInd w:val="0"/>
        <w:jc w:val="both"/>
        <w:textAlignment w:val="baseline"/>
      </w:pPr>
      <w:r>
        <w:t>dla oznakowania grubowarstwowego, oznakowania taśmami i punktowymi elementami odblaskowymi: co najmniej 24 miesiące.</w:t>
      </w:r>
    </w:p>
    <w:p w:rsidR="00ED0C0A" w:rsidRDefault="00ED0C0A" w:rsidP="00ED0C0A">
      <w:r>
        <w:tab/>
        <w:t xml:space="preserve">W niektórych przypadkach można rozważać ograniczenia okresów gwarancyjnych dla </w:t>
      </w:r>
      <w:proofErr w:type="spellStart"/>
      <w:r>
        <w:t>oznakowań</w:t>
      </w:r>
      <w:proofErr w:type="spellEnd"/>
      <w:r>
        <w:t>:</w:t>
      </w:r>
    </w:p>
    <w:p w:rsidR="00ED0C0A" w:rsidRDefault="00ED0C0A" w:rsidP="00ED0C0A">
      <w:r>
        <w:t>a) cienkowarstwowych</w:t>
      </w:r>
    </w:p>
    <w:p w:rsidR="00ED0C0A" w:rsidRDefault="00ED0C0A" w:rsidP="00ED0C0A">
      <w:pPr>
        <w:numPr>
          <w:ilvl w:val="0"/>
          <w:numId w:val="1"/>
        </w:numPr>
        <w:overflowPunct w:val="0"/>
        <w:autoSpaceDE w:val="0"/>
        <w:autoSpaceDN w:val="0"/>
        <w:adjustRightInd w:val="0"/>
        <w:ind w:left="567"/>
        <w:jc w:val="both"/>
        <w:textAlignment w:val="baseline"/>
      </w:pPr>
      <w:r>
        <w:t xml:space="preserve">dla </w:t>
      </w:r>
      <w:proofErr w:type="spellStart"/>
      <w:r>
        <w:t>wymalowań</w:t>
      </w:r>
      <w:proofErr w:type="spellEnd"/>
      <w:r>
        <w:t xml:space="preserve"> farbami nie udziela się 12 miesięcznej gwarancji na wykonane oznakowanie w przypadku nawierzchni, których czas użytkowania jest krótszy niż jeden rok oraz dla </w:t>
      </w:r>
      <w:proofErr w:type="spellStart"/>
      <w:r>
        <w:t>oznakowań</w:t>
      </w:r>
      <w:proofErr w:type="spellEnd"/>
      <w:r>
        <w:t xml:space="preserve"> wykonanych w okresie od 1 listopada do 31 marca,</w:t>
      </w:r>
    </w:p>
    <w:p w:rsidR="00ED0C0A" w:rsidRDefault="00ED0C0A" w:rsidP="00ED0C0A">
      <w:pPr>
        <w:numPr>
          <w:ilvl w:val="0"/>
          <w:numId w:val="1"/>
        </w:numPr>
        <w:overflowPunct w:val="0"/>
        <w:autoSpaceDE w:val="0"/>
        <w:autoSpaceDN w:val="0"/>
        <w:adjustRightInd w:val="0"/>
        <w:ind w:left="567"/>
        <w:jc w:val="both"/>
        <w:textAlignment w:val="baseline"/>
      </w:pPr>
      <w:r>
        <w:t>na nawierzchniach bitumicznych niejednorodnych o warstwie ścieralnej spękanej, kruszącej się, z luźnymi grysami, należy skrócić okres gwarancyjny dla linii segregacyjnych do 6 miesięcy, przejść dla pieszych i drobnych elementów do 3 miesięcy,</w:t>
      </w:r>
    </w:p>
    <w:p w:rsidR="00ED0C0A" w:rsidRDefault="00ED0C0A" w:rsidP="00ED0C0A">
      <w:pPr>
        <w:numPr>
          <w:ilvl w:val="0"/>
          <w:numId w:val="1"/>
        </w:numPr>
        <w:overflowPunct w:val="0"/>
        <w:autoSpaceDE w:val="0"/>
        <w:autoSpaceDN w:val="0"/>
        <w:adjustRightInd w:val="0"/>
        <w:ind w:left="567"/>
        <w:jc w:val="both"/>
        <w:textAlignment w:val="baseline"/>
      </w:pPr>
      <w:r>
        <w:t>na nawierzchniach kostkowych o równej powierzchni w dobrym stanie, pożądane jest skrócić okres gwarancyjny dla linii segregacyjnych do 3  miesięcy, przejść dla pieszych i drobnych elementów do 1 miesiąca,</w:t>
      </w:r>
    </w:p>
    <w:p w:rsidR="00ED0C0A" w:rsidRDefault="00ED0C0A" w:rsidP="00ED0C0A">
      <w:pPr>
        <w:numPr>
          <w:ilvl w:val="0"/>
          <w:numId w:val="1"/>
        </w:numPr>
        <w:overflowPunct w:val="0"/>
        <w:autoSpaceDE w:val="0"/>
        <w:autoSpaceDN w:val="0"/>
        <w:adjustRightInd w:val="0"/>
        <w:ind w:left="567"/>
        <w:jc w:val="both"/>
        <w:textAlignment w:val="baseline"/>
      </w:pPr>
      <w:r>
        <w:t>na nawierzchniach drogowych o silnie zdeformowanej, spękanej, łuszczącej się powierzchni, na złączach podłużnych jeśli są niejednorodne, tj. ze szczelinami, garbami podłużnymi i poprzecznymi, na nawierzchniach kostkowych w złym stanie (nierówna powierzchnia, kostka uszkodzona, braki kostki, luźne zanieczyszczenia w szczelinach między kostkami niemożliwe do usunięcia za pomocą szczotki i zamiatarki) - gwarancji nie powinno się udzielać,</w:t>
      </w:r>
    </w:p>
    <w:p w:rsidR="00ED0C0A" w:rsidRDefault="00ED0C0A" w:rsidP="00ED0C0A">
      <w:pPr>
        <w:numPr>
          <w:ilvl w:val="0"/>
          <w:numId w:val="1"/>
        </w:numPr>
        <w:overflowPunct w:val="0"/>
        <w:autoSpaceDE w:val="0"/>
        <w:autoSpaceDN w:val="0"/>
        <w:adjustRightInd w:val="0"/>
        <w:ind w:left="567"/>
        <w:jc w:val="both"/>
        <w:textAlignment w:val="baseline"/>
      </w:pPr>
      <w:r>
        <w:t>w przypadku stosowania piasku  lub piasku z solą do zimowego utrzymania dróg, okres gwarancyjny należy skrócić do maksimum 9 miesięcy przy wymalowaniu wiosennym i do 6 miesięcy przy wymalowaniu jesiennym;</w:t>
      </w:r>
    </w:p>
    <w:p w:rsidR="00ED0C0A" w:rsidRDefault="00ED0C0A" w:rsidP="00ED0C0A">
      <w:pPr>
        <w:numPr>
          <w:ilvl w:val="0"/>
          <w:numId w:val="1"/>
        </w:numPr>
        <w:overflowPunct w:val="0"/>
        <w:autoSpaceDE w:val="0"/>
        <w:autoSpaceDN w:val="0"/>
        <w:adjustRightInd w:val="0"/>
        <w:spacing w:after="120"/>
        <w:ind w:left="567" w:hanging="284"/>
        <w:jc w:val="both"/>
        <w:textAlignment w:val="baseline"/>
      </w:pPr>
      <w:r>
        <w:t>na nawierzchniach bitumicznych ułożonych do 1 miesiąca przed wykonaniem oznakowania (nawierzchnie nowe i odnowione) należy wymagać gwarancji maksymalnie 6 miesięcy przy minimalnych parametrach (R</w:t>
      </w:r>
      <w:r>
        <w:rPr>
          <w:vertAlign w:val="subscript"/>
        </w:rPr>
        <w:t>L</w:t>
      </w:r>
      <w:r>
        <w:t xml:space="preserve"> &gt; 100 mcd/m</w:t>
      </w:r>
      <w:r>
        <w:rPr>
          <w:vertAlign w:val="superscript"/>
        </w:rPr>
        <w:t>2</w:t>
      </w:r>
      <w:r>
        <w:t>lx), po czym należy wykonać oznakowanie stałe z pełnymi wymaganiami odpowiednimi do rodzaju drogi.</w:t>
      </w:r>
    </w:p>
    <w:p w:rsidR="00ED0C0A" w:rsidRDefault="00ED0C0A" w:rsidP="00ED0C0A">
      <w:pPr>
        <w:pStyle w:val="Nagwek1"/>
        <w:numPr>
          <w:ilvl w:val="12"/>
          <w:numId w:val="0"/>
        </w:numPr>
      </w:pPr>
      <w:r>
        <w:t>9. podstawa płatności</w:t>
      </w:r>
    </w:p>
    <w:p w:rsidR="00ED0C0A" w:rsidRDefault="00ED0C0A" w:rsidP="00ED0C0A">
      <w:pPr>
        <w:pStyle w:val="Nagwek2"/>
        <w:numPr>
          <w:ilvl w:val="12"/>
          <w:numId w:val="0"/>
        </w:numPr>
      </w:pPr>
      <w:r>
        <w:t>9.1. Ogólne ustalenia dotyczące podstawy płatności</w:t>
      </w:r>
    </w:p>
    <w:p w:rsidR="00ED0C0A" w:rsidRDefault="00ED0C0A" w:rsidP="00ED0C0A">
      <w:pPr>
        <w:numPr>
          <w:ilvl w:val="12"/>
          <w:numId w:val="0"/>
        </w:numPr>
      </w:pPr>
      <w:r>
        <w:tab/>
        <w:t>Ogólne ustalenia dotyczące podstawy płatności podano w SST D-00.00.00 „Wymagania ogólne” pkt 9. Ponadto Zamawiający powinien tak sformułować umowę, aby Wykonawca musiał doprowadzić oznakowanie do wymagań zawartych w SST w przypadku zauważenia niezgodności.</w:t>
      </w:r>
    </w:p>
    <w:p w:rsidR="00ED0C0A" w:rsidRDefault="00ED0C0A" w:rsidP="00ED0C0A">
      <w:pPr>
        <w:pStyle w:val="Nagwek2"/>
        <w:numPr>
          <w:ilvl w:val="12"/>
          <w:numId w:val="0"/>
        </w:numPr>
      </w:pPr>
      <w:r>
        <w:lastRenderedPageBreak/>
        <w:t>9.2. Cena jednostki obmiarowej</w:t>
      </w:r>
    </w:p>
    <w:p w:rsidR="00ED0C0A" w:rsidRDefault="00ED0C0A" w:rsidP="00ED0C0A">
      <w:pPr>
        <w:numPr>
          <w:ilvl w:val="12"/>
          <w:numId w:val="0"/>
        </w:numPr>
      </w:pPr>
      <w:r>
        <w:tab/>
        <w:t xml:space="preserve">Cena </w:t>
      </w:r>
      <w:smartTag w:uri="urn:schemas-microsoft-com:office:smarttags" w:element="metricconverter">
        <w:smartTagPr>
          <w:attr w:name="ProductID" w:val="1 m2"/>
        </w:smartTagPr>
        <w:r>
          <w:t>1 m</w:t>
        </w:r>
        <w:r>
          <w:rPr>
            <w:vertAlign w:val="superscript"/>
          </w:rPr>
          <w:t>2</w:t>
        </w:r>
      </w:smartTag>
      <w:r>
        <w:t xml:space="preserve"> wykonania robót obejmuje:</w:t>
      </w:r>
    </w:p>
    <w:p w:rsidR="00ED0C0A" w:rsidRDefault="00ED0C0A" w:rsidP="00ED0C0A">
      <w:pPr>
        <w:numPr>
          <w:ilvl w:val="0"/>
          <w:numId w:val="1"/>
        </w:numPr>
        <w:overflowPunct w:val="0"/>
        <w:autoSpaceDE w:val="0"/>
        <w:autoSpaceDN w:val="0"/>
        <w:adjustRightInd w:val="0"/>
        <w:jc w:val="both"/>
        <w:textAlignment w:val="baseline"/>
      </w:pPr>
      <w:r>
        <w:t>prace pomiarowe, roboty przygotowawcze i oznakowanie robót,</w:t>
      </w:r>
    </w:p>
    <w:p w:rsidR="00ED0C0A" w:rsidRDefault="00ED0C0A" w:rsidP="00ED0C0A">
      <w:pPr>
        <w:numPr>
          <w:ilvl w:val="0"/>
          <w:numId w:val="1"/>
        </w:numPr>
        <w:overflowPunct w:val="0"/>
        <w:autoSpaceDE w:val="0"/>
        <w:autoSpaceDN w:val="0"/>
        <w:adjustRightInd w:val="0"/>
        <w:jc w:val="both"/>
        <w:textAlignment w:val="baseline"/>
      </w:pPr>
      <w:r>
        <w:t>przygotowanie i dostarczenie materiałów,</w:t>
      </w:r>
    </w:p>
    <w:p w:rsidR="00ED0C0A" w:rsidRDefault="00ED0C0A" w:rsidP="00ED0C0A">
      <w:pPr>
        <w:numPr>
          <w:ilvl w:val="0"/>
          <w:numId w:val="1"/>
        </w:numPr>
        <w:overflowPunct w:val="0"/>
        <w:autoSpaceDE w:val="0"/>
        <w:autoSpaceDN w:val="0"/>
        <w:adjustRightInd w:val="0"/>
        <w:jc w:val="both"/>
        <w:textAlignment w:val="baseline"/>
      </w:pPr>
      <w:r>
        <w:t>oczyszczenie podłoża (nawierzchni),</w:t>
      </w:r>
    </w:p>
    <w:p w:rsidR="00ED0C0A" w:rsidRDefault="00ED0C0A" w:rsidP="00ED0C0A">
      <w:pPr>
        <w:numPr>
          <w:ilvl w:val="0"/>
          <w:numId w:val="1"/>
        </w:numPr>
        <w:overflowPunct w:val="0"/>
        <w:autoSpaceDE w:val="0"/>
        <w:autoSpaceDN w:val="0"/>
        <w:adjustRightInd w:val="0"/>
        <w:jc w:val="both"/>
        <w:textAlignment w:val="baseline"/>
      </w:pPr>
      <w:proofErr w:type="spellStart"/>
      <w:r>
        <w:t>przedznakowanie</w:t>
      </w:r>
      <w:proofErr w:type="spellEnd"/>
      <w:r>
        <w:t>,</w:t>
      </w:r>
    </w:p>
    <w:p w:rsidR="00ED0C0A" w:rsidRDefault="00ED0C0A" w:rsidP="00ED0C0A">
      <w:pPr>
        <w:numPr>
          <w:ilvl w:val="0"/>
          <w:numId w:val="1"/>
        </w:numPr>
        <w:overflowPunct w:val="0"/>
        <w:autoSpaceDE w:val="0"/>
        <w:autoSpaceDN w:val="0"/>
        <w:adjustRightInd w:val="0"/>
        <w:jc w:val="both"/>
        <w:textAlignment w:val="baseline"/>
      </w:pPr>
      <w:r>
        <w:t>naniesienie powłoki znaków na nawierzchnię drogi o kształtach i wymiarach zgodnych z dokumentacją projektową i załącznikiem nr 2 do rozporządzenia Ministra Infrastruktury [7],</w:t>
      </w:r>
    </w:p>
    <w:p w:rsidR="00ED0C0A" w:rsidRDefault="00ED0C0A" w:rsidP="00ED0C0A">
      <w:pPr>
        <w:numPr>
          <w:ilvl w:val="0"/>
          <w:numId w:val="1"/>
        </w:numPr>
        <w:overflowPunct w:val="0"/>
        <w:autoSpaceDE w:val="0"/>
        <w:autoSpaceDN w:val="0"/>
        <w:adjustRightInd w:val="0"/>
        <w:jc w:val="both"/>
        <w:textAlignment w:val="baseline"/>
      </w:pPr>
      <w:r>
        <w:t>ochrona znaków przed zniszczeniem przez pojazdy w czasie prowadzenia robót,</w:t>
      </w:r>
    </w:p>
    <w:p w:rsidR="00ED0C0A" w:rsidRDefault="00ED0C0A" w:rsidP="00ED0C0A">
      <w:pPr>
        <w:numPr>
          <w:ilvl w:val="0"/>
          <w:numId w:val="1"/>
        </w:numPr>
        <w:overflowPunct w:val="0"/>
        <w:autoSpaceDE w:val="0"/>
        <w:autoSpaceDN w:val="0"/>
        <w:adjustRightInd w:val="0"/>
        <w:spacing w:after="120"/>
        <w:ind w:left="284" w:hanging="284"/>
        <w:jc w:val="both"/>
        <w:textAlignment w:val="baseline"/>
      </w:pPr>
      <w:r>
        <w:t>przeprowadzenie pomiarów i badań laboratoryjnych wymaganych w specyfikacji technicznej.</w:t>
      </w:r>
    </w:p>
    <w:p w:rsidR="00ED0C0A" w:rsidRDefault="00ED0C0A" w:rsidP="00ED0C0A">
      <w:pPr>
        <w:pStyle w:val="Nagwek1"/>
      </w:pPr>
      <w:r>
        <w:t>10. przepisy  związane</w:t>
      </w:r>
    </w:p>
    <w:p w:rsidR="00ED0C0A" w:rsidRDefault="00ED0C0A" w:rsidP="00ED0C0A">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ED0C0A" w:rsidTr="00ED0C0A">
        <w:tc>
          <w:tcPr>
            <w:tcW w:w="496" w:type="dxa"/>
            <w:tcBorders>
              <w:top w:val="nil"/>
              <w:left w:val="nil"/>
              <w:bottom w:val="nil"/>
              <w:right w:val="nil"/>
            </w:tcBorders>
          </w:tcPr>
          <w:p w:rsidR="00ED0C0A" w:rsidRDefault="00ED0C0A" w:rsidP="00ED0C0A">
            <w:pPr>
              <w:jc w:val="right"/>
            </w:pPr>
            <w:r>
              <w:t>1.</w:t>
            </w:r>
          </w:p>
        </w:tc>
        <w:tc>
          <w:tcPr>
            <w:tcW w:w="1842" w:type="dxa"/>
            <w:tcBorders>
              <w:top w:val="nil"/>
              <w:left w:val="nil"/>
              <w:bottom w:val="nil"/>
              <w:right w:val="nil"/>
            </w:tcBorders>
          </w:tcPr>
          <w:p w:rsidR="00ED0C0A" w:rsidRDefault="00ED0C0A" w:rsidP="00ED0C0A">
            <w:r>
              <w:t>PN-89/C-81400</w:t>
            </w:r>
          </w:p>
        </w:tc>
        <w:tc>
          <w:tcPr>
            <w:tcW w:w="5172" w:type="dxa"/>
            <w:tcBorders>
              <w:top w:val="nil"/>
              <w:left w:val="nil"/>
              <w:bottom w:val="nil"/>
              <w:right w:val="nil"/>
            </w:tcBorders>
          </w:tcPr>
          <w:p w:rsidR="00ED0C0A" w:rsidRDefault="00ED0C0A" w:rsidP="00ED0C0A">
            <w:r>
              <w:t>Wyroby lakierowe. Pakowanie, przechowywanie i transport</w:t>
            </w:r>
          </w:p>
        </w:tc>
      </w:tr>
      <w:tr w:rsidR="00ED0C0A" w:rsidTr="00ED0C0A">
        <w:tc>
          <w:tcPr>
            <w:tcW w:w="496" w:type="dxa"/>
            <w:tcBorders>
              <w:top w:val="nil"/>
              <w:left w:val="nil"/>
              <w:bottom w:val="nil"/>
              <w:right w:val="nil"/>
            </w:tcBorders>
          </w:tcPr>
          <w:p w:rsidR="00ED0C0A" w:rsidRDefault="00ED0C0A" w:rsidP="00ED0C0A">
            <w:pPr>
              <w:jc w:val="right"/>
            </w:pPr>
            <w:r>
              <w:t>2.</w:t>
            </w:r>
          </w:p>
        </w:tc>
        <w:tc>
          <w:tcPr>
            <w:tcW w:w="1842" w:type="dxa"/>
            <w:tcBorders>
              <w:top w:val="nil"/>
              <w:left w:val="nil"/>
              <w:bottom w:val="nil"/>
              <w:right w:val="nil"/>
            </w:tcBorders>
          </w:tcPr>
          <w:p w:rsidR="00ED0C0A" w:rsidRDefault="00ED0C0A" w:rsidP="00ED0C0A">
            <w:r>
              <w:t>PN-85/O-79252</w:t>
            </w:r>
          </w:p>
        </w:tc>
        <w:tc>
          <w:tcPr>
            <w:tcW w:w="5172" w:type="dxa"/>
            <w:tcBorders>
              <w:top w:val="nil"/>
              <w:left w:val="nil"/>
              <w:bottom w:val="nil"/>
              <w:right w:val="nil"/>
            </w:tcBorders>
          </w:tcPr>
          <w:p w:rsidR="00ED0C0A" w:rsidRDefault="00ED0C0A" w:rsidP="00ED0C0A">
            <w:r>
              <w:t>Opakowania transportowe z zawartością. Znaki i znakowanie. Wymagania podstawowe</w:t>
            </w:r>
          </w:p>
        </w:tc>
      </w:tr>
      <w:tr w:rsidR="00ED0C0A" w:rsidTr="00ED0C0A">
        <w:tc>
          <w:tcPr>
            <w:tcW w:w="496" w:type="dxa"/>
            <w:tcBorders>
              <w:top w:val="nil"/>
              <w:left w:val="nil"/>
              <w:bottom w:val="nil"/>
              <w:right w:val="nil"/>
            </w:tcBorders>
          </w:tcPr>
          <w:p w:rsidR="00ED0C0A" w:rsidRDefault="00ED0C0A" w:rsidP="00ED0C0A">
            <w:pPr>
              <w:jc w:val="right"/>
              <w:rPr>
                <w:lang w:val="de-DE"/>
              </w:rPr>
            </w:pPr>
            <w:r>
              <w:rPr>
                <w:lang w:val="de-DE"/>
              </w:rPr>
              <w:t>3.</w:t>
            </w:r>
          </w:p>
        </w:tc>
        <w:tc>
          <w:tcPr>
            <w:tcW w:w="1842" w:type="dxa"/>
            <w:tcBorders>
              <w:top w:val="nil"/>
              <w:left w:val="nil"/>
              <w:bottom w:val="nil"/>
              <w:right w:val="nil"/>
            </w:tcBorders>
          </w:tcPr>
          <w:p w:rsidR="00ED0C0A" w:rsidRDefault="00ED0C0A" w:rsidP="00ED0C0A">
            <w:pPr>
              <w:pStyle w:val="Nagwek"/>
              <w:tabs>
                <w:tab w:val="clear" w:pos="4536"/>
                <w:tab w:val="clear" w:pos="9072"/>
              </w:tabs>
              <w:rPr>
                <w:lang w:val="de-DE"/>
              </w:rPr>
            </w:pPr>
            <w:r>
              <w:rPr>
                <w:lang w:val="de-DE"/>
              </w:rPr>
              <w:t>PN-EN 1423:2000</w:t>
            </w:r>
          </w:p>
          <w:p w:rsidR="00ED0C0A" w:rsidRDefault="00ED0C0A" w:rsidP="00ED0C0A">
            <w:pPr>
              <w:rPr>
                <w:lang w:val="de-DE"/>
              </w:rPr>
            </w:pPr>
          </w:p>
        </w:tc>
        <w:tc>
          <w:tcPr>
            <w:tcW w:w="5172" w:type="dxa"/>
            <w:tcBorders>
              <w:top w:val="nil"/>
              <w:left w:val="nil"/>
              <w:bottom w:val="nil"/>
              <w:right w:val="nil"/>
            </w:tcBorders>
          </w:tcPr>
          <w:p w:rsidR="00ED0C0A" w:rsidRDefault="00ED0C0A" w:rsidP="00ED0C0A">
            <w:pPr>
              <w:pStyle w:val="Tekstprzypisudolnego"/>
            </w:pPr>
            <w:r>
              <w:t>Materiały do poziomego oznakowania dróg Materiały do posypywania. Kulki szklane, kruszywo przeciwpoślizgowe i ich mieszaniny)</w:t>
            </w:r>
          </w:p>
        </w:tc>
      </w:tr>
      <w:tr w:rsidR="00ED0C0A" w:rsidTr="00ED0C0A">
        <w:tc>
          <w:tcPr>
            <w:tcW w:w="496" w:type="dxa"/>
            <w:tcBorders>
              <w:top w:val="nil"/>
              <w:left w:val="nil"/>
              <w:bottom w:val="nil"/>
              <w:right w:val="nil"/>
            </w:tcBorders>
          </w:tcPr>
          <w:p w:rsidR="00ED0C0A" w:rsidRDefault="00ED0C0A" w:rsidP="00ED0C0A">
            <w:pPr>
              <w:jc w:val="right"/>
              <w:rPr>
                <w:lang w:val="de-DE"/>
              </w:rPr>
            </w:pPr>
            <w:r>
              <w:rPr>
                <w:lang w:val="de-DE"/>
              </w:rPr>
              <w:t>3a.</w:t>
            </w:r>
          </w:p>
        </w:tc>
        <w:tc>
          <w:tcPr>
            <w:tcW w:w="1842" w:type="dxa"/>
            <w:tcBorders>
              <w:top w:val="nil"/>
              <w:left w:val="nil"/>
              <w:bottom w:val="nil"/>
              <w:right w:val="nil"/>
            </w:tcBorders>
          </w:tcPr>
          <w:p w:rsidR="00ED0C0A" w:rsidRDefault="00ED0C0A" w:rsidP="00ED0C0A">
            <w:pPr>
              <w:rPr>
                <w:lang w:val="de-DE"/>
              </w:rPr>
            </w:pPr>
            <w:r>
              <w:rPr>
                <w:lang w:val="de-DE"/>
              </w:rPr>
              <w:t>PN-EN 1423:2001/A1:2005</w:t>
            </w:r>
          </w:p>
        </w:tc>
        <w:tc>
          <w:tcPr>
            <w:tcW w:w="5172" w:type="dxa"/>
            <w:tcBorders>
              <w:top w:val="nil"/>
              <w:left w:val="nil"/>
              <w:bottom w:val="nil"/>
              <w:right w:val="nil"/>
            </w:tcBorders>
          </w:tcPr>
          <w:p w:rsidR="00ED0C0A" w:rsidRDefault="00ED0C0A" w:rsidP="00ED0C0A">
            <w:r>
              <w:t>Materiały do poziomego oznakowania dróg Materiały do posypywania. Kulki szklane, kruszywo przeciwpoślizgowe i ich mieszaniny (Zmiana A1)</w:t>
            </w:r>
          </w:p>
        </w:tc>
      </w:tr>
      <w:tr w:rsidR="00ED0C0A" w:rsidTr="00ED0C0A">
        <w:tc>
          <w:tcPr>
            <w:tcW w:w="496" w:type="dxa"/>
            <w:tcBorders>
              <w:top w:val="nil"/>
              <w:left w:val="nil"/>
              <w:bottom w:val="nil"/>
              <w:right w:val="nil"/>
            </w:tcBorders>
          </w:tcPr>
          <w:p w:rsidR="00ED0C0A" w:rsidRDefault="00ED0C0A" w:rsidP="00ED0C0A">
            <w:pPr>
              <w:jc w:val="right"/>
              <w:rPr>
                <w:lang w:val="de-DE"/>
              </w:rPr>
            </w:pPr>
            <w:r>
              <w:rPr>
                <w:lang w:val="de-DE"/>
              </w:rPr>
              <w:t>4.</w:t>
            </w:r>
          </w:p>
        </w:tc>
        <w:tc>
          <w:tcPr>
            <w:tcW w:w="1842" w:type="dxa"/>
            <w:tcBorders>
              <w:top w:val="nil"/>
              <w:left w:val="nil"/>
              <w:bottom w:val="nil"/>
              <w:right w:val="nil"/>
            </w:tcBorders>
          </w:tcPr>
          <w:p w:rsidR="00ED0C0A" w:rsidRDefault="00ED0C0A" w:rsidP="00ED0C0A">
            <w:pPr>
              <w:rPr>
                <w:lang w:val="de-DE"/>
              </w:rPr>
            </w:pPr>
            <w:r>
              <w:rPr>
                <w:lang w:val="de-DE"/>
              </w:rPr>
              <w:t>PN-EN 1436:2000</w:t>
            </w:r>
          </w:p>
          <w:p w:rsidR="00ED0C0A" w:rsidRDefault="00ED0C0A" w:rsidP="00ED0C0A">
            <w:pPr>
              <w:rPr>
                <w:lang w:val="de-DE"/>
              </w:rPr>
            </w:pPr>
          </w:p>
        </w:tc>
        <w:tc>
          <w:tcPr>
            <w:tcW w:w="5172" w:type="dxa"/>
            <w:tcBorders>
              <w:top w:val="nil"/>
              <w:left w:val="nil"/>
              <w:bottom w:val="nil"/>
              <w:right w:val="nil"/>
            </w:tcBorders>
          </w:tcPr>
          <w:p w:rsidR="00ED0C0A" w:rsidRDefault="00ED0C0A" w:rsidP="00ED0C0A">
            <w:r>
              <w:t>Materiały do poziomego oznakowania dróg. Wymagania dotyczące poziomego oznakowania dróg</w:t>
            </w:r>
          </w:p>
        </w:tc>
      </w:tr>
      <w:tr w:rsidR="00ED0C0A" w:rsidTr="00ED0C0A">
        <w:tc>
          <w:tcPr>
            <w:tcW w:w="496" w:type="dxa"/>
            <w:tcBorders>
              <w:top w:val="nil"/>
              <w:left w:val="nil"/>
              <w:bottom w:val="nil"/>
              <w:right w:val="nil"/>
            </w:tcBorders>
          </w:tcPr>
          <w:p w:rsidR="00ED0C0A" w:rsidRDefault="00ED0C0A" w:rsidP="00ED0C0A">
            <w:pPr>
              <w:jc w:val="right"/>
              <w:rPr>
                <w:lang w:val="de-DE"/>
              </w:rPr>
            </w:pPr>
            <w:r>
              <w:rPr>
                <w:lang w:val="de-DE"/>
              </w:rPr>
              <w:t>4a.</w:t>
            </w:r>
          </w:p>
        </w:tc>
        <w:tc>
          <w:tcPr>
            <w:tcW w:w="1842" w:type="dxa"/>
            <w:tcBorders>
              <w:top w:val="nil"/>
              <w:left w:val="nil"/>
              <w:bottom w:val="nil"/>
              <w:right w:val="nil"/>
            </w:tcBorders>
          </w:tcPr>
          <w:p w:rsidR="00ED0C0A" w:rsidRDefault="00ED0C0A" w:rsidP="00ED0C0A">
            <w:pPr>
              <w:rPr>
                <w:lang w:val="de-DE"/>
              </w:rPr>
            </w:pPr>
            <w:r>
              <w:rPr>
                <w:lang w:val="de-DE"/>
              </w:rPr>
              <w:t>PN-EN 1436:2000/A1:2005</w:t>
            </w:r>
          </w:p>
        </w:tc>
        <w:tc>
          <w:tcPr>
            <w:tcW w:w="5172" w:type="dxa"/>
            <w:tcBorders>
              <w:top w:val="nil"/>
              <w:left w:val="nil"/>
              <w:bottom w:val="nil"/>
              <w:right w:val="nil"/>
            </w:tcBorders>
          </w:tcPr>
          <w:p w:rsidR="00ED0C0A" w:rsidRDefault="00ED0C0A" w:rsidP="00ED0C0A">
            <w:r>
              <w:t>Materiały do poziomego oznakowania dróg. Wymagania dotyczące poziomego oznakowania dróg (Zmiana A1)</w:t>
            </w:r>
          </w:p>
        </w:tc>
      </w:tr>
    </w:tbl>
    <w:p w:rsidR="00ED0C0A" w:rsidRDefault="00ED0C0A" w:rsidP="00ED0C0A"/>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ED0C0A" w:rsidTr="00ED0C0A">
        <w:tc>
          <w:tcPr>
            <w:tcW w:w="496" w:type="dxa"/>
            <w:tcBorders>
              <w:top w:val="nil"/>
              <w:left w:val="nil"/>
              <w:bottom w:val="nil"/>
              <w:right w:val="nil"/>
            </w:tcBorders>
          </w:tcPr>
          <w:p w:rsidR="00ED0C0A" w:rsidRDefault="00ED0C0A" w:rsidP="00ED0C0A">
            <w:pPr>
              <w:jc w:val="right"/>
              <w:rPr>
                <w:lang w:val="de-DE"/>
              </w:rPr>
            </w:pPr>
            <w:r>
              <w:rPr>
                <w:lang w:val="de-DE"/>
              </w:rPr>
              <w:t>5.</w:t>
            </w:r>
          </w:p>
        </w:tc>
        <w:tc>
          <w:tcPr>
            <w:tcW w:w="1842" w:type="dxa"/>
            <w:tcBorders>
              <w:top w:val="nil"/>
              <w:left w:val="nil"/>
              <w:bottom w:val="nil"/>
              <w:right w:val="nil"/>
            </w:tcBorders>
          </w:tcPr>
          <w:p w:rsidR="00ED0C0A" w:rsidRDefault="00ED0C0A" w:rsidP="00ED0C0A">
            <w:pPr>
              <w:pStyle w:val="Nagwek"/>
              <w:tabs>
                <w:tab w:val="clear" w:pos="4536"/>
                <w:tab w:val="clear" w:pos="9072"/>
              </w:tabs>
              <w:rPr>
                <w:lang w:val="de-DE"/>
              </w:rPr>
            </w:pPr>
            <w:r>
              <w:rPr>
                <w:lang w:val="de-DE"/>
              </w:rPr>
              <w:t>PN-EN 1463-1:2000</w:t>
            </w:r>
          </w:p>
          <w:p w:rsidR="00ED0C0A" w:rsidRDefault="00ED0C0A" w:rsidP="00ED0C0A">
            <w:pPr>
              <w:pStyle w:val="Nagwek"/>
              <w:tabs>
                <w:tab w:val="clear" w:pos="4536"/>
                <w:tab w:val="clear" w:pos="9072"/>
              </w:tabs>
              <w:rPr>
                <w:lang w:val="de-DE"/>
              </w:rPr>
            </w:pPr>
          </w:p>
        </w:tc>
        <w:tc>
          <w:tcPr>
            <w:tcW w:w="5172" w:type="dxa"/>
            <w:tcBorders>
              <w:top w:val="nil"/>
              <w:left w:val="nil"/>
              <w:bottom w:val="nil"/>
              <w:right w:val="nil"/>
            </w:tcBorders>
          </w:tcPr>
          <w:p w:rsidR="00ED0C0A" w:rsidRDefault="00ED0C0A" w:rsidP="00ED0C0A">
            <w:pPr>
              <w:pStyle w:val="Tekstprzypisudolnego"/>
            </w:pPr>
            <w:r>
              <w:t>Materiały do poziomego oznakowania dróg. Punktowe elementy odblaskowe Część 1: Wymagania dotyczące charakterystyki nowego elementu</w:t>
            </w:r>
          </w:p>
        </w:tc>
      </w:tr>
      <w:tr w:rsidR="00ED0C0A" w:rsidTr="00ED0C0A">
        <w:tc>
          <w:tcPr>
            <w:tcW w:w="496" w:type="dxa"/>
            <w:tcBorders>
              <w:top w:val="nil"/>
              <w:left w:val="nil"/>
              <w:bottom w:val="nil"/>
              <w:right w:val="nil"/>
            </w:tcBorders>
          </w:tcPr>
          <w:p w:rsidR="00ED0C0A" w:rsidRDefault="00ED0C0A" w:rsidP="00ED0C0A">
            <w:pPr>
              <w:jc w:val="right"/>
              <w:rPr>
                <w:lang w:val="en-US"/>
              </w:rPr>
            </w:pPr>
            <w:r>
              <w:rPr>
                <w:lang w:val="en-US"/>
              </w:rPr>
              <w:t>5a.</w:t>
            </w:r>
          </w:p>
        </w:tc>
        <w:tc>
          <w:tcPr>
            <w:tcW w:w="1842" w:type="dxa"/>
            <w:tcBorders>
              <w:top w:val="nil"/>
              <w:left w:val="nil"/>
              <w:bottom w:val="nil"/>
              <w:right w:val="nil"/>
            </w:tcBorders>
          </w:tcPr>
          <w:p w:rsidR="00ED0C0A" w:rsidRDefault="00ED0C0A" w:rsidP="00ED0C0A">
            <w:pPr>
              <w:pStyle w:val="Nagwek"/>
              <w:tabs>
                <w:tab w:val="clear" w:pos="4536"/>
                <w:tab w:val="clear" w:pos="9072"/>
              </w:tabs>
              <w:rPr>
                <w:lang w:val="en-US"/>
              </w:rPr>
            </w:pPr>
            <w:r>
              <w:rPr>
                <w:lang w:val="en-US"/>
              </w:rPr>
              <w:t>PN-EN 1463-1:2000/A1:2005</w:t>
            </w:r>
          </w:p>
        </w:tc>
        <w:tc>
          <w:tcPr>
            <w:tcW w:w="5172" w:type="dxa"/>
            <w:tcBorders>
              <w:top w:val="nil"/>
              <w:left w:val="nil"/>
              <w:bottom w:val="nil"/>
              <w:right w:val="nil"/>
            </w:tcBorders>
          </w:tcPr>
          <w:p w:rsidR="00ED0C0A" w:rsidRDefault="00ED0C0A" w:rsidP="00ED0C0A">
            <w:pPr>
              <w:pStyle w:val="Tekstprzypisudolnego"/>
            </w:pPr>
            <w:r>
              <w:t>Materiały do poziomego oznakowania dróg. Punktowe elementy odblaskowe Część 1: Wymagania dotyczące charakterystyki nowego elementu (Zmiana A1)</w:t>
            </w:r>
          </w:p>
        </w:tc>
      </w:tr>
      <w:tr w:rsidR="00ED0C0A" w:rsidTr="00ED0C0A">
        <w:tc>
          <w:tcPr>
            <w:tcW w:w="496" w:type="dxa"/>
            <w:tcBorders>
              <w:top w:val="nil"/>
              <w:left w:val="nil"/>
              <w:bottom w:val="nil"/>
              <w:right w:val="nil"/>
            </w:tcBorders>
          </w:tcPr>
          <w:p w:rsidR="00ED0C0A" w:rsidRDefault="00ED0C0A" w:rsidP="00ED0C0A">
            <w:pPr>
              <w:jc w:val="right"/>
              <w:rPr>
                <w:lang w:val="en-US"/>
              </w:rPr>
            </w:pPr>
            <w:r>
              <w:rPr>
                <w:lang w:val="en-US"/>
              </w:rPr>
              <w:t>5b.</w:t>
            </w:r>
          </w:p>
        </w:tc>
        <w:tc>
          <w:tcPr>
            <w:tcW w:w="1842" w:type="dxa"/>
            <w:tcBorders>
              <w:top w:val="nil"/>
              <w:left w:val="nil"/>
              <w:bottom w:val="nil"/>
              <w:right w:val="nil"/>
            </w:tcBorders>
          </w:tcPr>
          <w:p w:rsidR="00ED0C0A" w:rsidRDefault="00ED0C0A" w:rsidP="00ED0C0A">
            <w:pPr>
              <w:pStyle w:val="Nagwek"/>
              <w:tabs>
                <w:tab w:val="clear" w:pos="4536"/>
                <w:tab w:val="clear" w:pos="9072"/>
              </w:tabs>
            </w:pPr>
            <w:r>
              <w:t>PN-EN 1463-2:2000</w:t>
            </w:r>
          </w:p>
        </w:tc>
        <w:tc>
          <w:tcPr>
            <w:tcW w:w="5172" w:type="dxa"/>
            <w:tcBorders>
              <w:top w:val="nil"/>
              <w:left w:val="nil"/>
              <w:bottom w:val="nil"/>
              <w:right w:val="nil"/>
            </w:tcBorders>
          </w:tcPr>
          <w:p w:rsidR="00ED0C0A" w:rsidRDefault="00ED0C0A" w:rsidP="00ED0C0A">
            <w:pPr>
              <w:pStyle w:val="Tekstprzypisudolnego"/>
            </w:pPr>
            <w:r>
              <w:t>Materiały do poziomego oznakowania dróg. Punktowe elementy odblaskowe Część 2: Badania terenowe</w:t>
            </w:r>
          </w:p>
        </w:tc>
      </w:tr>
      <w:tr w:rsidR="00ED0C0A" w:rsidTr="00ED0C0A">
        <w:tc>
          <w:tcPr>
            <w:tcW w:w="496" w:type="dxa"/>
            <w:tcBorders>
              <w:top w:val="nil"/>
              <w:left w:val="nil"/>
              <w:bottom w:val="nil"/>
              <w:right w:val="nil"/>
            </w:tcBorders>
          </w:tcPr>
          <w:p w:rsidR="00ED0C0A" w:rsidRDefault="00ED0C0A" w:rsidP="00ED0C0A">
            <w:pPr>
              <w:jc w:val="right"/>
            </w:pPr>
            <w:r>
              <w:t>6.</w:t>
            </w:r>
          </w:p>
        </w:tc>
        <w:tc>
          <w:tcPr>
            <w:tcW w:w="1842" w:type="dxa"/>
            <w:tcBorders>
              <w:top w:val="nil"/>
              <w:left w:val="nil"/>
              <w:bottom w:val="nil"/>
              <w:right w:val="nil"/>
            </w:tcBorders>
          </w:tcPr>
          <w:p w:rsidR="00ED0C0A" w:rsidRDefault="00ED0C0A" w:rsidP="00ED0C0A">
            <w:pPr>
              <w:pStyle w:val="Nagwek"/>
              <w:tabs>
                <w:tab w:val="clear" w:pos="4536"/>
                <w:tab w:val="clear" w:pos="9072"/>
              </w:tabs>
            </w:pPr>
            <w:r>
              <w:t>PN-EN 1871:2003</w:t>
            </w:r>
          </w:p>
        </w:tc>
        <w:tc>
          <w:tcPr>
            <w:tcW w:w="5172" w:type="dxa"/>
            <w:tcBorders>
              <w:top w:val="nil"/>
              <w:left w:val="nil"/>
              <w:bottom w:val="nil"/>
              <w:right w:val="nil"/>
            </w:tcBorders>
          </w:tcPr>
          <w:p w:rsidR="00ED0C0A" w:rsidRDefault="00ED0C0A" w:rsidP="00ED0C0A">
            <w:pPr>
              <w:pStyle w:val="Tekstprzypisudolnego"/>
            </w:pPr>
            <w:r>
              <w:t>Materiały do poziomego oznakowania dróg. Właściwości fizyczne</w:t>
            </w:r>
          </w:p>
        </w:tc>
      </w:tr>
      <w:tr w:rsidR="00ED0C0A" w:rsidTr="00ED0C0A">
        <w:tc>
          <w:tcPr>
            <w:tcW w:w="496" w:type="dxa"/>
            <w:tcBorders>
              <w:top w:val="nil"/>
              <w:left w:val="nil"/>
              <w:bottom w:val="nil"/>
              <w:right w:val="nil"/>
            </w:tcBorders>
          </w:tcPr>
          <w:p w:rsidR="00ED0C0A" w:rsidRDefault="00ED0C0A" w:rsidP="00ED0C0A">
            <w:pPr>
              <w:jc w:val="right"/>
            </w:pPr>
            <w:r>
              <w:t>6a.</w:t>
            </w:r>
          </w:p>
        </w:tc>
        <w:tc>
          <w:tcPr>
            <w:tcW w:w="1842" w:type="dxa"/>
            <w:tcBorders>
              <w:top w:val="nil"/>
              <w:left w:val="nil"/>
              <w:bottom w:val="nil"/>
              <w:right w:val="nil"/>
            </w:tcBorders>
          </w:tcPr>
          <w:p w:rsidR="00ED0C0A" w:rsidRDefault="00ED0C0A" w:rsidP="00ED0C0A">
            <w:pPr>
              <w:pStyle w:val="Nagwek"/>
              <w:tabs>
                <w:tab w:val="clear" w:pos="4536"/>
                <w:tab w:val="clear" w:pos="9072"/>
              </w:tabs>
              <w:rPr>
                <w:lang w:val="de-DE"/>
              </w:rPr>
            </w:pPr>
            <w:r>
              <w:rPr>
                <w:lang w:val="de-DE"/>
              </w:rPr>
              <w:t>PN-EN 13036-4: 2004(U)</w:t>
            </w:r>
          </w:p>
        </w:tc>
        <w:tc>
          <w:tcPr>
            <w:tcW w:w="5172" w:type="dxa"/>
            <w:tcBorders>
              <w:top w:val="nil"/>
              <w:left w:val="nil"/>
              <w:bottom w:val="nil"/>
              <w:right w:val="nil"/>
            </w:tcBorders>
          </w:tcPr>
          <w:p w:rsidR="00ED0C0A" w:rsidRDefault="00ED0C0A" w:rsidP="00ED0C0A">
            <w:pPr>
              <w:pStyle w:val="Tekstprzypisudolnego"/>
            </w:pPr>
            <w:r>
              <w:t>Drogi samochodowe i lotniskowe – Metody badań – Część 4: Metoda pomiaru oporów poślizgu/poślizgnięcia na powierzchni: próba wahadła</w:t>
            </w:r>
          </w:p>
        </w:tc>
      </w:tr>
    </w:tbl>
    <w:p w:rsidR="00ED0C0A" w:rsidRDefault="00ED0C0A" w:rsidP="00ED0C0A">
      <w:pPr>
        <w:pStyle w:val="Nagwek2"/>
        <w:spacing w:before="240"/>
      </w:pPr>
      <w:r>
        <w:rPr>
          <w:lang w:val="de-DE"/>
        </w:rPr>
        <w:t xml:space="preserve">10.2. </w:t>
      </w:r>
      <w:r>
        <w:t>Przepisy związane i inne dokumenty</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Załącznik nr 2 do rozporządzenia Ministra Infrastruktury z dnia 3 lipca 2003 r. Szczegółowe warunki techniczne dla znaków drogowych poziomych i warunki ich umieszczania na drogach (Dz. U. nr 220, poz. 2181)</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Rozporządzenie  Ministra  Infrastruktury   z  dnia  11 sierpnia 2004 r.  w  sprawie  sposobów deklarowania zgodności wyrobów budowlanych oraz sposobu znakowania ich  znakiem budowlanym (Dz. U. nr 198, poz. 2041)</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 xml:space="preserve">Warunki Techniczne. Poziome znakowanie dróg. POD-97. Seria „I” - Informacje, Instrukcje. Zeszyt nr 55. </w:t>
      </w:r>
      <w:proofErr w:type="spellStart"/>
      <w:r>
        <w:t>IBDiM</w:t>
      </w:r>
      <w:proofErr w:type="spellEnd"/>
      <w:r>
        <w:t>, Warszawa, 1997</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 xml:space="preserve">Warunki Techniczne. Poziome znakowanie dróg. POD-2006. Seria „I” - Informacje, Instrukcje. </w:t>
      </w:r>
      <w:proofErr w:type="spellStart"/>
      <w:r>
        <w:t>IBDiM</w:t>
      </w:r>
      <w:proofErr w:type="spellEnd"/>
      <w:r>
        <w:t>, Warszawa, w opracowaniu</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Prawo przewozowe (Dz. U. nr 53 z 1984 r., poz. 272 z późniejszymi zmianami)</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Rozporządzenie Ministra Zdrowia z dnia 2 września 2003 r. w sprawie oznakowania opakowań substancji niebezpiecznych i preparatów niebezpiecznych (Dz. U. nr 73, poz. 1679)</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lastRenderedPageBreak/>
        <w:t>Umowa europejska dotycząca międzynarodowego przewozu towarów niebezpiecznych (RID/ADR)</w:t>
      </w:r>
    </w:p>
    <w:p w:rsidR="00ED0C0A" w:rsidRDefault="00ED0C0A" w:rsidP="00A46F82">
      <w:pPr>
        <w:numPr>
          <w:ilvl w:val="0"/>
          <w:numId w:val="199"/>
        </w:numPr>
        <w:tabs>
          <w:tab w:val="clear" w:pos="0"/>
          <w:tab w:val="num" w:pos="-2835"/>
        </w:tabs>
        <w:overflowPunct w:val="0"/>
        <w:autoSpaceDE w:val="0"/>
        <w:autoSpaceDN w:val="0"/>
        <w:adjustRightInd w:val="0"/>
        <w:ind w:left="426" w:hanging="138"/>
        <w:jc w:val="both"/>
        <w:textAlignment w:val="baseline"/>
      </w:pPr>
      <w:r>
        <w:t>Rozporządzenie Ministra Infrastruktury z dnia 8 listopada 2004 r. w sprawie aprobat technicznych oraz jednostek organizacyjnych uprawnionych do ich wydania (</w:t>
      </w:r>
      <w:proofErr w:type="spellStart"/>
      <w:r>
        <w:t>Dz.U</w:t>
      </w:r>
      <w:proofErr w:type="spellEnd"/>
      <w:r>
        <w:t>.             nr 249, poz. 2497)</w:t>
      </w:r>
    </w:p>
    <w:p w:rsidR="00ED0C0A" w:rsidRDefault="00ED0C0A" w:rsidP="00ED0C0A">
      <w:pPr>
        <w:spacing w:before="120"/>
      </w:pPr>
      <w:r>
        <w:tab/>
      </w:r>
    </w:p>
    <w:p w:rsidR="00216C9A" w:rsidRDefault="00216C9A"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234EE1" w:rsidRDefault="00234EE1" w:rsidP="00E3297D">
      <w:pPr>
        <w:rPr>
          <w:b/>
          <w:sz w:val="28"/>
        </w:rPr>
      </w:pPr>
    </w:p>
    <w:p w:rsidR="00E3297D" w:rsidRDefault="00E3297D" w:rsidP="00E3297D"/>
    <w:p w:rsidR="00216C9A" w:rsidRDefault="00216C9A" w:rsidP="00216C9A">
      <w:pPr>
        <w:rPr>
          <w:b/>
          <w:sz w:val="28"/>
        </w:rPr>
      </w:pPr>
      <w:bookmarkStart w:id="503" w:name="_Hlk15765792"/>
      <w:r>
        <w:rPr>
          <w:b/>
          <w:sz w:val="28"/>
        </w:rPr>
        <w:lastRenderedPageBreak/>
        <w:t>D - 07.02.01   OZNAKOWANIE  PIONOWE</w:t>
      </w:r>
    </w:p>
    <w:bookmarkEnd w:id="503"/>
    <w:p w:rsidR="00216C9A" w:rsidRDefault="00216C9A" w:rsidP="00216C9A">
      <w:pPr>
        <w:jc w:val="center"/>
        <w:rPr>
          <w:b/>
          <w:sz w:val="28"/>
        </w:rPr>
      </w:pPr>
    </w:p>
    <w:p w:rsidR="00216C9A" w:rsidRDefault="00216C9A" w:rsidP="00216C9A">
      <w:pPr>
        <w:jc w:val="center"/>
        <w:rPr>
          <w:b/>
          <w:sz w:val="28"/>
        </w:rPr>
      </w:pPr>
    </w:p>
    <w:p w:rsidR="00216C9A" w:rsidRDefault="00216C9A" w:rsidP="00216C9A">
      <w:pPr>
        <w:pStyle w:val="Nagwek1"/>
      </w:pPr>
      <w:bookmarkStart w:id="504" w:name="_Toc425833580"/>
      <w:r>
        <w:t>. WSTĘP</w:t>
      </w:r>
      <w:bookmarkEnd w:id="504"/>
    </w:p>
    <w:p w:rsidR="00216C9A" w:rsidRDefault="00216C9A" w:rsidP="00216C9A">
      <w:pPr>
        <w:pStyle w:val="Nagwek2"/>
      </w:pPr>
      <w:r>
        <w:t>1.1. Przedmiot SST</w:t>
      </w:r>
    </w:p>
    <w:p w:rsidR="00216C9A" w:rsidRDefault="00216C9A" w:rsidP="00216C9A">
      <w:pPr>
        <w:pStyle w:val="Standardowytekst"/>
      </w:pPr>
      <w:r>
        <w:tab/>
        <w:t>Przedmiotem niniejszej szczegółowej specyfikacji technicznej (SST) są wymagania dotyczące wykonania i odbioru oznakowania pionowego.</w:t>
      </w:r>
    </w:p>
    <w:p w:rsidR="00216C9A" w:rsidRDefault="00216C9A" w:rsidP="00216C9A">
      <w:pPr>
        <w:pStyle w:val="Nagwek2"/>
      </w:pPr>
      <w:r>
        <w:t>1.2. Zakres stosowania SST</w:t>
      </w:r>
    </w:p>
    <w:p w:rsidR="00216C9A" w:rsidRDefault="00216C9A" w:rsidP="00216C9A">
      <w:pPr>
        <w:pStyle w:val="Standardowytekst"/>
      </w:pPr>
      <w:r>
        <w:tab/>
        <w:t xml:space="preserve">Szczegółowa specyfikacja techniczna (SST) stanowi  jako dokument przetargowy i kontraktowy przy zlecaniu i realizacji robót na drogach </w:t>
      </w:r>
      <w:r>
        <w:tab/>
      </w:r>
    </w:p>
    <w:p w:rsidR="00216C9A" w:rsidRDefault="00216C9A" w:rsidP="00216C9A">
      <w:pPr>
        <w:pStyle w:val="Nagwek2"/>
      </w:pPr>
      <w:r>
        <w:t>1.3. Zakres robót objętych SST</w:t>
      </w:r>
    </w:p>
    <w:p w:rsidR="00216C9A" w:rsidRDefault="00216C9A" w:rsidP="00216C9A">
      <w:r>
        <w:tab/>
        <w:t>Ustalenia zawarte w niniejszej specyfikacji dotyczą zasad prowadzenia robót związanych z wykonywaniem i odbiorem oznakowania pionowego stosowanego na drogach, w postaci:</w:t>
      </w:r>
    </w:p>
    <w:p w:rsidR="00216C9A" w:rsidRDefault="00216C9A" w:rsidP="00216C9A">
      <w:pPr>
        <w:numPr>
          <w:ilvl w:val="0"/>
          <w:numId w:val="1"/>
        </w:numPr>
        <w:overflowPunct w:val="0"/>
        <w:autoSpaceDE w:val="0"/>
        <w:autoSpaceDN w:val="0"/>
        <w:adjustRightInd w:val="0"/>
        <w:jc w:val="both"/>
      </w:pPr>
      <w:r>
        <w:t>znaków ostrzegawczych,</w:t>
      </w:r>
    </w:p>
    <w:p w:rsidR="00216C9A" w:rsidRDefault="00216C9A" w:rsidP="00216C9A">
      <w:pPr>
        <w:numPr>
          <w:ilvl w:val="0"/>
          <w:numId w:val="1"/>
        </w:numPr>
        <w:overflowPunct w:val="0"/>
        <w:autoSpaceDE w:val="0"/>
        <w:autoSpaceDN w:val="0"/>
        <w:adjustRightInd w:val="0"/>
        <w:jc w:val="both"/>
      </w:pPr>
      <w:r>
        <w:t>znaków zakazu i nakazu,</w:t>
      </w:r>
    </w:p>
    <w:p w:rsidR="00216C9A" w:rsidRDefault="00216C9A" w:rsidP="00216C9A">
      <w:pPr>
        <w:numPr>
          <w:ilvl w:val="0"/>
          <w:numId w:val="1"/>
        </w:numPr>
        <w:overflowPunct w:val="0"/>
        <w:autoSpaceDE w:val="0"/>
        <w:autoSpaceDN w:val="0"/>
        <w:adjustRightInd w:val="0"/>
        <w:jc w:val="both"/>
      </w:pPr>
      <w:r>
        <w:t>znaków informacyjnych, kierunku, miejscowości i znaków uzupełniających.</w:t>
      </w:r>
    </w:p>
    <w:p w:rsidR="00216C9A" w:rsidRDefault="00216C9A" w:rsidP="00216C9A">
      <w:pPr>
        <w:pStyle w:val="Nagwek2"/>
      </w:pPr>
      <w:r>
        <w:t>1.4. Określenia podstawowe</w:t>
      </w:r>
    </w:p>
    <w:p w:rsidR="00216C9A" w:rsidRDefault="00216C9A" w:rsidP="00216C9A">
      <w:pPr>
        <w:numPr>
          <w:ilvl w:val="12"/>
          <w:numId w:val="0"/>
        </w:numPr>
      </w:pPr>
      <w:r>
        <w:rPr>
          <w:b/>
        </w:rPr>
        <w:t xml:space="preserve">1.4.1. </w:t>
      </w:r>
      <w:r>
        <w:t>Znak pionowy - znak wykonany w postaci tarczy lub tablicy z napisami albo symbolami, zwykle umieszczony na konstrukcji wsporczej.</w:t>
      </w:r>
    </w:p>
    <w:p w:rsidR="00216C9A" w:rsidRDefault="00216C9A" w:rsidP="00216C9A">
      <w:pPr>
        <w:numPr>
          <w:ilvl w:val="12"/>
          <w:numId w:val="0"/>
        </w:numPr>
        <w:spacing w:before="120"/>
      </w:pPr>
      <w:r>
        <w:rPr>
          <w:b/>
        </w:rPr>
        <w:t xml:space="preserve">1.4.2. </w:t>
      </w:r>
      <w:r>
        <w:t>Tarcza znaku - element konstrukcyjny, na powierzchni którego umieszczana jest treść znaku. Tarcza może być wykonana z różnych materiałów (stal, aluminium, tworzywa syntetyczne itp.) - jako jednolita lub składana.</w:t>
      </w:r>
    </w:p>
    <w:p w:rsidR="00216C9A" w:rsidRDefault="00216C9A" w:rsidP="00216C9A">
      <w:pPr>
        <w:numPr>
          <w:ilvl w:val="12"/>
          <w:numId w:val="0"/>
        </w:numPr>
        <w:spacing w:before="120"/>
      </w:pPr>
      <w:r>
        <w:rPr>
          <w:b/>
        </w:rPr>
        <w:t xml:space="preserve">1.4.3. </w:t>
      </w:r>
      <w:r>
        <w:t xml:space="preserve">Lico znaku - przednia część znaku, służąca do podania treści znaku. Lico znaku może być wykonane jako malowane lub oklejane (folią odblaskową lub </w:t>
      </w:r>
      <w:proofErr w:type="spellStart"/>
      <w:r>
        <w:t>nieodblaskową</w:t>
      </w:r>
      <w:proofErr w:type="spellEnd"/>
      <w:r>
        <w:t>). W przypadkach szczególnych (znak z przejrzystych tworzyw syntetycznych) lico znaku może być zatopione w tarczy znaku.</w:t>
      </w:r>
    </w:p>
    <w:p w:rsidR="00216C9A" w:rsidRDefault="00216C9A" w:rsidP="00216C9A">
      <w:pPr>
        <w:numPr>
          <w:ilvl w:val="12"/>
          <w:numId w:val="0"/>
        </w:numPr>
        <w:spacing w:before="120"/>
      </w:pPr>
      <w:r>
        <w:rPr>
          <w:b/>
        </w:rPr>
        <w:t xml:space="preserve">1.4.4. </w:t>
      </w:r>
      <w:r>
        <w:t xml:space="preserve">Znak drogowy </w:t>
      </w:r>
      <w:proofErr w:type="spellStart"/>
      <w:r>
        <w:t>nieodblaskowy</w:t>
      </w:r>
      <w:proofErr w:type="spellEnd"/>
      <w:r>
        <w:t xml:space="preserve"> - znak, którego lico wykonane jest z materiałów zwykłych (lico nie wykazuje właściwości odblaskowych).</w:t>
      </w:r>
    </w:p>
    <w:p w:rsidR="00216C9A" w:rsidRDefault="00216C9A" w:rsidP="00216C9A">
      <w:pPr>
        <w:numPr>
          <w:ilvl w:val="12"/>
          <w:numId w:val="0"/>
        </w:numPr>
        <w:spacing w:before="120"/>
      </w:pPr>
      <w:r>
        <w:rPr>
          <w:b/>
        </w:rPr>
        <w:t xml:space="preserve">1.4.5. </w:t>
      </w:r>
      <w:r>
        <w:t xml:space="preserve">Znak drogowy odblaskowy - znak, którego lico wykazuje właściwości odblaskowe (wykonane jest z materiału o odbiciu powrotnym - </w:t>
      </w:r>
      <w:proofErr w:type="spellStart"/>
      <w:r>
        <w:t>współdrożnym</w:t>
      </w:r>
      <w:proofErr w:type="spellEnd"/>
      <w:r>
        <w:t>).</w:t>
      </w:r>
    </w:p>
    <w:p w:rsidR="00216C9A" w:rsidRDefault="00216C9A" w:rsidP="00216C9A">
      <w:pPr>
        <w:numPr>
          <w:ilvl w:val="12"/>
          <w:numId w:val="0"/>
        </w:numPr>
        <w:spacing w:before="120"/>
      </w:pPr>
      <w:r>
        <w:rPr>
          <w:b/>
        </w:rPr>
        <w:t xml:space="preserve">1.4.6. </w:t>
      </w:r>
      <w:r>
        <w:t>Konstrukcja wsporcza znaku - słup (słupy), wysięgnik, wspornik itp., na którym zamocowana jest tarcza znaku, wraz z elementami służącymi do przymocowania tarczy (śruby, zaciski itp.).</w:t>
      </w:r>
    </w:p>
    <w:p w:rsidR="00216C9A" w:rsidRDefault="00216C9A" w:rsidP="00216C9A">
      <w:pPr>
        <w:numPr>
          <w:ilvl w:val="12"/>
          <w:numId w:val="0"/>
        </w:numPr>
        <w:spacing w:before="120"/>
      </w:pPr>
      <w:r>
        <w:rPr>
          <w:b/>
        </w:rPr>
        <w:t xml:space="preserve">1.4.7. </w:t>
      </w:r>
      <w:r>
        <w:t>Znak drogowy prześwietlany - znak, w którym wewnętrzne źródło światła jest umieszczone pod przejrzystym licem znaku.</w:t>
      </w:r>
    </w:p>
    <w:p w:rsidR="00216C9A" w:rsidRDefault="00216C9A" w:rsidP="00216C9A">
      <w:pPr>
        <w:numPr>
          <w:ilvl w:val="12"/>
          <w:numId w:val="0"/>
        </w:numPr>
        <w:spacing w:before="120"/>
      </w:pPr>
      <w:r>
        <w:rPr>
          <w:b/>
        </w:rPr>
        <w:t xml:space="preserve">1.4.8. </w:t>
      </w:r>
      <w:r>
        <w:t>Znak drogowy oświetlany - znak, którego lico jest oświetlane źródłem światła umieszczonym na zewnątrz znaku.</w:t>
      </w:r>
    </w:p>
    <w:p w:rsidR="00216C9A" w:rsidRDefault="00216C9A" w:rsidP="00216C9A">
      <w:pPr>
        <w:numPr>
          <w:ilvl w:val="12"/>
          <w:numId w:val="0"/>
        </w:numPr>
        <w:spacing w:before="120"/>
      </w:pPr>
      <w:r>
        <w:rPr>
          <w:b/>
        </w:rPr>
        <w:t xml:space="preserve">1.4.9. </w:t>
      </w:r>
      <w:r>
        <w:t>Znak nowy - znak użytkowany (ustawiony na drodze) lub magazynowany w okresie do 3 miesięcy od daty produkcji.</w:t>
      </w:r>
    </w:p>
    <w:p w:rsidR="00216C9A" w:rsidRDefault="00216C9A" w:rsidP="00216C9A">
      <w:pPr>
        <w:numPr>
          <w:ilvl w:val="12"/>
          <w:numId w:val="0"/>
        </w:numPr>
        <w:spacing w:before="120"/>
      </w:pPr>
      <w:r>
        <w:rPr>
          <w:b/>
        </w:rPr>
        <w:t xml:space="preserve">1.4.10. </w:t>
      </w:r>
      <w:r>
        <w:t>Znak użytkowany - znak ustawiony na drodze lub magazynowany przez okres dłuższy niż 3 miesiące od daty produkcji.</w:t>
      </w:r>
    </w:p>
    <w:p w:rsidR="00216C9A" w:rsidRDefault="00216C9A" w:rsidP="00216C9A">
      <w:pPr>
        <w:numPr>
          <w:ilvl w:val="12"/>
          <w:numId w:val="0"/>
        </w:numPr>
        <w:spacing w:before="120"/>
      </w:pPr>
      <w:r>
        <w:rPr>
          <w:b/>
        </w:rPr>
        <w:t xml:space="preserve">1.4.11. </w:t>
      </w:r>
      <w:r>
        <w:t xml:space="preserve">Pozostałe określenia podstawowe są zgodne z obowiązującymi, odpowiednimi polskimi normami i z definicjami podanymi w OST D-M-00.00.00 „Wymagania ogólne” pkt 1.4. </w:t>
      </w:r>
    </w:p>
    <w:p w:rsidR="00216C9A" w:rsidRDefault="00216C9A" w:rsidP="00216C9A">
      <w:pPr>
        <w:pStyle w:val="Nagwek2"/>
        <w:numPr>
          <w:ilvl w:val="12"/>
          <w:numId w:val="0"/>
        </w:numPr>
      </w:pPr>
      <w:r>
        <w:t>1.5. Ogólne wymagania dotyczące robót</w:t>
      </w:r>
    </w:p>
    <w:p w:rsidR="00216C9A" w:rsidRDefault="00216C9A" w:rsidP="00216C9A">
      <w:pPr>
        <w:numPr>
          <w:ilvl w:val="12"/>
          <w:numId w:val="0"/>
        </w:numPr>
      </w:pPr>
      <w:r>
        <w:tab/>
        <w:t xml:space="preserve">Ogólne wymagania dotyczące robót podano w OST D-M-00.00.00 „Wymagania ogólne” pkt 1.5. </w:t>
      </w:r>
    </w:p>
    <w:p w:rsidR="00216C9A" w:rsidRDefault="00216C9A" w:rsidP="00216C9A">
      <w:pPr>
        <w:pStyle w:val="Nagwek1"/>
        <w:numPr>
          <w:ilvl w:val="12"/>
          <w:numId w:val="0"/>
        </w:numPr>
      </w:pPr>
      <w:bookmarkStart w:id="505" w:name="_Toc425833581"/>
      <w:r>
        <w:t>2. materiały</w:t>
      </w:r>
      <w:bookmarkEnd w:id="505"/>
    </w:p>
    <w:p w:rsidR="00216C9A" w:rsidRDefault="00216C9A" w:rsidP="00216C9A">
      <w:pPr>
        <w:pStyle w:val="Nagwek2"/>
        <w:numPr>
          <w:ilvl w:val="12"/>
          <w:numId w:val="0"/>
        </w:numPr>
      </w:pPr>
      <w:r>
        <w:t>2.1. Ogólne wymagania dotyczące materiałów</w:t>
      </w:r>
    </w:p>
    <w:p w:rsidR="00216C9A" w:rsidRDefault="00216C9A" w:rsidP="00216C9A">
      <w:pPr>
        <w:numPr>
          <w:ilvl w:val="12"/>
          <w:numId w:val="0"/>
        </w:numPr>
      </w:pPr>
      <w:r>
        <w:tab/>
        <w:t>Ogólne wymagania dotyczące materiałów, ich pozyskiwania i składowania podano w OST D-M-00.00.00 „Wymagania ogólne” pkt 2.</w:t>
      </w:r>
    </w:p>
    <w:p w:rsidR="00216C9A" w:rsidRDefault="00216C9A" w:rsidP="00216C9A">
      <w:pPr>
        <w:pStyle w:val="Nagwek2"/>
        <w:numPr>
          <w:ilvl w:val="12"/>
          <w:numId w:val="0"/>
        </w:numPr>
      </w:pPr>
      <w:r>
        <w:lastRenderedPageBreak/>
        <w:t>2.2. Aprobata techniczna dla materiałów</w:t>
      </w:r>
    </w:p>
    <w:p w:rsidR="00216C9A" w:rsidRDefault="00216C9A" w:rsidP="00216C9A">
      <w:pPr>
        <w:numPr>
          <w:ilvl w:val="12"/>
          <w:numId w:val="0"/>
        </w:numPr>
      </w:pPr>
      <w:r>
        <w:tab/>
        <w:t>Każdy materiał do wykonania pionowego znaku drogowego, na który nie ma normy,  musi posiadać aprobatę techniczną wydaną przez uprawnioną jednostkę. Znaki drogowe powinny mieć certyfikat bezpieczeństwa (znak „B”) nadany przez uprawnioną jednostkę.</w:t>
      </w:r>
    </w:p>
    <w:p w:rsidR="00216C9A" w:rsidRDefault="00216C9A" w:rsidP="00216C9A">
      <w:pPr>
        <w:pStyle w:val="Nagwek2"/>
        <w:numPr>
          <w:ilvl w:val="12"/>
          <w:numId w:val="0"/>
        </w:numPr>
      </w:pPr>
      <w:r>
        <w:t>2.3. Materiały stosowane do fundamentów znaków</w:t>
      </w:r>
    </w:p>
    <w:p w:rsidR="00216C9A" w:rsidRDefault="00216C9A" w:rsidP="00216C9A">
      <w:pPr>
        <w:numPr>
          <w:ilvl w:val="12"/>
          <w:numId w:val="0"/>
        </w:numPr>
      </w:pPr>
      <w:r>
        <w:tab/>
        <w:t>Fundamenty dla zamocowania konstrukcji wsporczych znaków mogą być wykonywane jako:</w:t>
      </w:r>
    </w:p>
    <w:p w:rsidR="00216C9A" w:rsidRDefault="00216C9A" w:rsidP="00216C9A">
      <w:pPr>
        <w:numPr>
          <w:ilvl w:val="0"/>
          <w:numId w:val="1"/>
        </w:numPr>
        <w:overflowPunct w:val="0"/>
        <w:autoSpaceDE w:val="0"/>
        <w:autoSpaceDN w:val="0"/>
        <w:adjustRightInd w:val="0"/>
        <w:jc w:val="both"/>
      </w:pPr>
      <w:r>
        <w:t>prefabrykaty betonowe,</w:t>
      </w:r>
    </w:p>
    <w:p w:rsidR="00216C9A" w:rsidRDefault="00216C9A" w:rsidP="00216C9A">
      <w:pPr>
        <w:numPr>
          <w:ilvl w:val="0"/>
          <w:numId w:val="1"/>
        </w:numPr>
        <w:overflowPunct w:val="0"/>
        <w:autoSpaceDE w:val="0"/>
        <w:autoSpaceDN w:val="0"/>
        <w:adjustRightInd w:val="0"/>
        <w:jc w:val="both"/>
      </w:pPr>
      <w:r>
        <w:t>z betonu wykonywanego „na mokro”,</w:t>
      </w:r>
    </w:p>
    <w:p w:rsidR="00216C9A" w:rsidRDefault="00216C9A" w:rsidP="00216C9A">
      <w:pPr>
        <w:numPr>
          <w:ilvl w:val="0"/>
          <w:numId w:val="1"/>
        </w:numPr>
        <w:overflowPunct w:val="0"/>
        <w:autoSpaceDE w:val="0"/>
        <w:autoSpaceDN w:val="0"/>
        <w:adjustRightInd w:val="0"/>
        <w:jc w:val="both"/>
      </w:pPr>
      <w:r>
        <w:t>z betonu zbrojonego,</w:t>
      </w:r>
    </w:p>
    <w:p w:rsidR="00216C9A" w:rsidRDefault="00216C9A" w:rsidP="00216C9A">
      <w:pPr>
        <w:numPr>
          <w:ilvl w:val="0"/>
          <w:numId w:val="1"/>
        </w:numPr>
        <w:overflowPunct w:val="0"/>
        <w:autoSpaceDE w:val="0"/>
        <w:autoSpaceDN w:val="0"/>
        <w:adjustRightInd w:val="0"/>
        <w:jc w:val="both"/>
      </w:pPr>
      <w:r>
        <w:t>inne rozwiązania zaakceptowane przez Inżyniera.</w:t>
      </w:r>
    </w:p>
    <w:p w:rsidR="00216C9A" w:rsidRDefault="00216C9A" w:rsidP="00216C9A">
      <w:r>
        <w:tab/>
        <w:t>Klasa betonu powinna być zgodna z dokumentacją projektową. Beton powinien odpowiadać wymaganiom PN-B-06250 [1].</w:t>
      </w:r>
    </w:p>
    <w:p w:rsidR="00216C9A" w:rsidRDefault="00216C9A" w:rsidP="00216C9A">
      <w:pPr>
        <w:numPr>
          <w:ilvl w:val="12"/>
          <w:numId w:val="0"/>
        </w:numPr>
        <w:spacing w:before="120"/>
      </w:pPr>
      <w:r>
        <w:rPr>
          <w:b/>
        </w:rPr>
        <w:t xml:space="preserve">2.3.1. </w:t>
      </w:r>
      <w:r>
        <w:t>Cement</w:t>
      </w:r>
    </w:p>
    <w:p w:rsidR="00216C9A" w:rsidRDefault="00216C9A" w:rsidP="00216C9A">
      <w:pPr>
        <w:numPr>
          <w:ilvl w:val="12"/>
          <w:numId w:val="0"/>
        </w:numPr>
        <w:spacing w:before="120"/>
      </w:pPr>
      <w:r>
        <w:tab/>
        <w:t>Cement stosowany do betonu powinien być cementem portlandzkim klasy 32,5, odpowiadający wymaganiom PN-B-19701 [4].</w:t>
      </w:r>
    </w:p>
    <w:p w:rsidR="00216C9A" w:rsidRDefault="00216C9A" w:rsidP="00216C9A">
      <w:pPr>
        <w:numPr>
          <w:ilvl w:val="12"/>
          <w:numId w:val="0"/>
        </w:numPr>
        <w:spacing w:before="120"/>
      </w:pPr>
      <w:r>
        <w:rPr>
          <w:b/>
        </w:rPr>
        <w:t xml:space="preserve">2.3.2. </w:t>
      </w:r>
      <w:r>
        <w:t>Kruszywo</w:t>
      </w:r>
    </w:p>
    <w:p w:rsidR="00216C9A" w:rsidRDefault="00216C9A" w:rsidP="00216C9A">
      <w:pPr>
        <w:numPr>
          <w:ilvl w:val="12"/>
          <w:numId w:val="0"/>
        </w:numPr>
        <w:spacing w:before="120"/>
      </w:pPr>
      <w:r>
        <w:tab/>
        <w:t>Kruszywo stosowane do betonu powinno odpowiadać wymaganiom PN-B-06712 [3]. Zaleca się stosowanie kruszywa o marce nie niższej niż klasa betonu.</w:t>
      </w:r>
    </w:p>
    <w:p w:rsidR="00216C9A" w:rsidRDefault="00216C9A" w:rsidP="00216C9A">
      <w:pPr>
        <w:numPr>
          <w:ilvl w:val="12"/>
          <w:numId w:val="0"/>
        </w:numPr>
        <w:spacing w:before="120"/>
      </w:pPr>
      <w:r>
        <w:rPr>
          <w:b/>
        </w:rPr>
        <w:t xml:space="preserve">2.3.3. </w:t>
      </w:r>
      <w:r>
        <w:t>Woda</w:t>
      </w:r>
    </w:p>
    <w:p w:rsidR="00216C9A" w:rsidRDefault="00216C9A" w:rsidP="00216C9A">
      <w:pPr>
        <w:numPr>
          <w:ilvl w:val="12"/>
          <w:numId w:val="0"/>
        </w:numPr>
        <w:spacing w:before="120"/>
      </w:pPr>
      <w:r>
        <w:tab/>
        <w:t>Woda do betonu powinna być „odmiany 1”, zgodnie z wymaganiami normy PN-B-32250 [6].</w:t>
      </w:r>
    </w:p>
    <w:p w:rsidR="00216C9A" w:rsidRDefault="00216C9A" w:rsidP="00216C9A">
      <w:pPr>
        <w:numPr>
          <w:ilvl w:val="12"/>
          <w:numId w:val="0"/>
        </w:numPr>
        <w:spacing w:before="120"/>
      </w:pPr>
      <w:r>
        <w:rPr>
          <w:b/>
        </w:rPr>
        <w:t xml:space="preserve">2.3.4. </w:t>
      </w:r>
      <w:r>
        <w:t>Domieszki chemiczne</w:t>
      </w:r>
    </w:p>
    <w:p w:rsidR="00216C9A" w:rsidRDefault="00216C9A" w:rsidP="00216C9A">
      <w:pPr>
        <w:numPr>
          <w:ilvl w:val="12"/>
          <w:numId w:val="0"/>
        </w:numPr>
        <w:spacing w:before="120"/>
      </w:pPr>
      <w:r>
        <w:tab/>
        <w:t>Domieszki chemiczne do betonu powinny być stosowane jeśli przewiduje je dokumentacja projektowa, SST lub wskazania Inżyniera. Domieszki chemiczne powinny odpowiadać wymaganiom PN-B-23010 [5].</w:t>
      </w:r>
    </w:p>
    <w:p w:rsidR="00216C9A" w:rsidRDefault="00216C9A" w:rsidP="00216C9A">
      <w:pPr>
        <w:numPr>
          <w:ilvl w:val="12"/>
          <w:numId w:val="0"/>
        </w:numPr>
      </w:pPr>
      <w:r>
        <w:tab/>
        <w:t>W betonie niezbrojonym zaleca się stosować domieszki napowietrzające, a w betonie zbrojonym dodatkowo domieszki uplastyczniające lub upłynniające.</w:t>
      </w:r>
    </w:p>
    <w:p w:rsidR="00216C9A" w:rsidRDefault="00216C9A" w:rsidP="00216C9A">
      <w:pPr>
        <w:numPr>
          <w:ilvl w:val="12"/>
          <w:numId w:val="0"/>
        </w:numPr>
        <w:spacing w:before="120"/>
      </w:pPr>
      <w:r>
        <w:rPr>
          <w:b/>
        </w:rPr>
        <w:t xml:space="preserve">2.3.5. </w:t>
      </w:r>
      <w:r>
        <w:t>Pręty zbrojenia</w:t>
      </w:r>
    </w:p>
    <w:p w:rsidR="00216C9A" w:rsidRDefault="00216C9A" w:rsidP="00216C9A">
      <w:pPr>
        <w:numPr>
          <w:ilvl w:val="12"/>
          <w:numId w:val="0"/>
        </w:numPr>
        <w:spacing w:before="120"/>
      </w:pPr>
      <w:r>
        <w:tab/>
        <w:t>Pręty zbrojenia w fundamentach z betonu zbrojonego powinny odpowiadać wymaganiom PN-B-06251 [2].</w:t>
      </w:r>
    </w:p>
    <w:p w:rsidR="00216C9A" w:rsidRDefault="00216C9A" w:rsidP="00216C9A">
      <w:pPr>
        <w:pStyle w:val="Nagwek2"/>
        <w:numPr>
          <w:ilvl w:val="12"/>
          <w:numId w:val="0"/>
        </w:numPr>
      </w:pPr>
      <w:r>
        <w:t>2.4. Konstrukcje wsporcze</w:t>
      </w:r>
    </w:p>
    <w:p w:rsidR="00216C9A" w:rsidRDefault="00216C9A" w:rsidP="00216C9A">
      <w:pPr>
        <w:numPr>
          <w:ilvl w:val="12"/>
          <w:numId w:val="0"/>
        </w:numPr>
      </w:pPr>
      <w:r>
        <w:rPr>
          <w:b/>
        </w:rPr>
        <w:t xml:space="preserve">2.4.1. </w:t>
      </w:r>
      <w:r>
        <w:t>Ogólne charakterystyki konstrukcji</w:t>
      </w:r>
    </w:p>
    <w:p w:rsidR="00216C9A" w:rsidRDefault="00216C9A" w:rsidP="00216C9A">
      <w:pPr>
        <w:numPr>
          <w:ilvl w:val="12"/>
          <w:numId w:val="0"/>
        </w:numPr>
        <w:spacing w:before="120"/>
      </w:pPr>
      <w:r>
        <w:tab/>
        <w:t>Konstrukcje wsporcze znaków pionowych należy wykonać zgodnie z dokumentacją projektową i SST, a w przypadku braku wystarczających ustaleń, zgodnie z propozycją Wykonawcy zaakceptowaną przez Inżyniera.</w:t>
      </w:r>
    </w:p>
    <w:p w:rsidR="00216C9A" w:rsidRDefault="00216C9A" w:rsidP="00216C9A">
      <w:pPr>
        <w:numPr>
          <w:ilvl w:val="12"/>
          <w:numId w:val="0"/>
        </w:numPr>
      </w:pPr>
      <w:r>
        <w:tab/>
        <w:t>Konstrukcje wsporcze można wykonać z ocynkowanych rur lub kątowników względnie innych kształtowników, zaakceptowanych przez Inżyniera.</w:t>
      </w:r>
    </w:p>
    <w:p w:rsidR="00216C9A" w:rsidRDefault="00216C9A" w:rsidP="00216C9A">
      <w:pPr>
        <w:numPr>
          <w:ilvl w:val="12"/>
          <w:numId w:val="0"/>
        </w:numPr>
      </w:pPr>
      <w:r>
        <w:tab/>
        <w:t>Wymiary i najważniejsze charakterystyki elementów konstrukcji wsporczej z rur i kątowników podano w tablicy 1 i 2.</w:t>
      </w:r>
    </w:p>
    <w:p w:rsidR="00216C9A" w:rsidRDefault="00216C9A" w:rsidP="00216C9A">
      <w:pPr>
        <w:numPr>
          <w:ilvl w:val="12"/>
          <w:numId w:val="0"/>
        </w:numPr>
      </w:pPr>
    </w:p>
    <w:p w:rsidR="00216C9A" w:rsidRDefault="00216C9A" w:rsidP="00216C9A">
      <w:pPr>
        <w:numPr>
          <w:ilvl w:val="12"/>
          <w:numId w:val="0"/>
        </w:numPr>
      </w:pPr>
    </w:p>
    <w:p w:rsidR="008028C9" w:rsidRDefault="008028C9" w:rsidP="00216C9A">
      <w:pPr>
        <w:numPr>
          <w:ilvl w:val="12"/>
          <w:numId w:val="0"/>
        </w:numPr>
      </w:pPr>
    </w:p>
    <w:p w:rsidR="008028C9" w:rsidRDefault="008028C9" w:rsidP="00216C9A">
      <w:pPr>
        <w:numPr>
          <w:ilvl w:val="12"/>
          <w:numId w:val="0"/>
        </w:numPr>
      </w:pPr>
    </w:p>
    <w:p w:rsidR="008028C9" w:rsidRDefault="008028C9" w:rsidP="00216C9A">
      <w:pPr>
        <w:numPr>
          <w:ilvl w:val="12"/>
          <w:numId w:val="0"/>
        </w:numPr>
      </w:pPr>
    </w:p>
    <w:p w:rsidR="00216C9A" w:rsidRDefault="00216C9A" w:rsidP="00216C9A">
      <w:pPr>
        <w:numPr>
          <w:ilvl w:val="12"/>
          <w:numId w:val="0"/>
        </w:numPr>
      </w:pPr>
    </w:p>
    <w:p w:rsidR="00216C9A" w:rsidRDefault="00216C9A" w:rsidP="00216C9A">
      <w:pPr>
        <w:numPr>
          <w:ilvl w:val="12"/>
          <w:numId w:val="0"/>
        </w:numPr>
        <w:spacing w:after="120"/>
      </w:pPr>
      <w:r>
        <w:t>Tablica 1. Rury stalowe okrągłe bez szwu walcowane na gorąco wg PN-H-74219 [9]</w:t>
      </w:r>
    </w:p>
    <w:tbl>
      <w:tblPr>
        <w:tblW w:w="0" w:type="auto"/>
        <w:tblLayout w:type="fixed"/>
        <w:tblCellMar>
          <w:left w:w="70" w:type="dxa"/>
          <w:right w:w="70" w:type="dxa"/>
        </w:tblCellMar>
        <w:tblLook w:val="04A0" w:firstRow="1" w:lastRow="0" w:firstColumn="1" w:lastColumn="0" w:noHBand="0" w:noVBand="1"/>
      </w:tblPr>
      <w:tblGrid>
        <w:gridCol w:w="1204"/>
        <w:gridCol w:w="1843"/>
        <w:gridCol w:w="1985"/>
        <w:gridCol w:w="1241"/>
        <w:gridCol w:w="1241"/>
      </w:tblGrid>
      <w:tr w:rsidR="00216C9A" w:rsidTr="00216C9A">
        <w:tc>
          <w:tcPr>
            <w:tcW w:w="1204" w:type="dxa"/>
            <w:tcBorders>
              <w:top w:val="single" w:sz="6" w:space="0" w:color="auto"/>
              <w:left w:val="single" w:sz="6" w:space="0" w:color="auto"/>
              <w:bottom w:val="nil"/>
              <w:right w:val="nil"/>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Średnica</w:t>
            </w:r>
          </w:p>
        </w:tc>
        <w:tc>
          <w:tcPr>
            <w:tcW w:w="1843" w:type="dxa"/>
            <w:tcBorders>
              <w:top w:val="single" w:sz="6" w:space="0" w:color="auto"/>
              <w:left w:val="single" w:sz="6" w:space="0" w:color="auto"/>
              <w:bottom w:val="nil"/>
              <w:right w:val="nil"/>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Grubość</w:t>
            </w:r>
          </w:p>
        </w:tc>
        <w:tc>
          <w:tcPr>
            <w:tcW w:w="1985" w:type="dxa"/>
            <w:tcBorders>
              <w:top w:val="single" w:sz="6" w:space="0" w:color="auto"/>
              <w:left w:val="single" w:sz="6" w:space="0" w:color="auto"/>
              <w:bottom w:val="nil"/>
              <w:right w:val="nil"/>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Masa 1 m</w:t>
            </w:r>
          </w:p>
        </w:tc>
        <w:tc>
          <w:tcPr>
            <w:tcW w:w="2477" w:type="dxa"/>
            <w:gridSpan w:val="2"/>
            <w:tcBorders>
              <w:top w:val="single" w:sz="6" w:space="0" w:color="auto"/>
              <w:left w:val="single" w:sz="6" w:space="0" w:color="auto"/>
              <w:bottom w:val="single" w:sz="6" w:space="0" w:color="auto"/>
              <w:right w:val="single" w:sz="6" w:space="0" w:color="auto"/>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Dopuszczalne odchyłki</w:t>
            </w:r>
          </w:p>
        </w:tc>
      </w:tr>
      <w:tr w:rsidR="00216C9A" w:rsidTr="00216C9A">
        <w:tc>
          <w:tcPr>
            <w:tcW w:w="1204" w:type="dxa"/>
            <w:tcBorders>
              <w:top w:val="nil"/>
              <w:left w:val="single" w:sz="6" w:space="0" w:color="auto"/>
              <w:bottom w:val="double" w:sz="6" w:space="0" w:color="auto"/>
              <w:right w:val="single" w:sz="6" w:space="0" w:color="auto"/>
            </w:tcBorders>
            <w:hideMark/>
          </w:tcPr>
          <w:p w:rsidR="00216C9A" w:rsidRDefault="00216C9A">
            <w:pPr>
              <w:numPr>
                <w:ilvl w:val="12"/>
                <w:numId w:val="0"/>
              </w:numPr>
              <w:spacing w:line="276" w:lineRule="auto"/>
              <w:jc w:val="center"/>
              <w:rPr>
                <w:lang w:eastAsia="en-US"/>
              </w:rPr>
            </w:pPr>
            <w:r>
              <w:rPr>
                <w:lang w:eastAsia="en-US"/>
              </w:rPr>
              <w:t>zewnętrzna</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mm</w:t>
            </w:r>
          </w:p>
        </w:tc>
        <w:tc>
          <w:tcPr>
            <w:tcW w:w="1843" w:type="dxa"/>
            <w:tcBorders>
              <w:top w:val="nil"/>
              <w:left w:val="nil"/>
              <w:bottom w:val="double" w:sz="6" w:space="0" w:color="auto"/>
              <w:right w:val="nil"/>
            </w:tcBorders>
            <w:hideMark/>
          </w:tcPr>
          <w:p w:rsidR="00216C9A" w:rsidRDefault="00216C9A">
            <w:pPr>
              <w:numPr>
                <w:ilvl w:val="12"/>
                <w:numId w:val="0"/>
              </w:numPr>
              <w:spacing w:line="276" w:lineRule="auto"/>
              <w:jc w:val="center"/>
              <w:rPr>
                <w:lang w:eastAsia="en-US"/>
              </w:rPr>
            </w:pPr>
            <w:r>
              <w:rPr>
                <w:lang w:eastAsia="en-US"/>
              </w:rPr>
              <w:t>ścianki</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mm</w:t>
            </w:r>
          </w:p>
        </w:tc>
        <w:tc>
          <w:tcPr>
            <w:tcW w:w="1985" w:type="dxa"/>
            <w:tcBorders>
              <w:top w:val="nil"/>
              <w:left w:val="single" w:sz="6" w:space="0" w:color="auto"/>
              <w:bottom w:val="double" w:sz="6" w:space="0" w:color="auto"/>
              <w:right w:val="nil"/>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kg/m</w:t>
            </w:r>
          </w:p>
        </w:tc>
        <w:tc>
          <w:tcPr>
            <w:tcW w:w="1241" w:type="dxa"/>
            <w:tcBorders>
              <w:top w:val="single" w:sz="6" w:space="0" w:color="auto"/>
              <w:left w:val="single" w:sz="6" w:space="0" w:color="auto"/>
              <w:bottom w:val="double" w:sz="6" w:space="0" w:color="auto"/>
              <w:right w:val="single" w:sz="6" w:space="0" w:color="auto"/>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średnicy zewnętrznej</w:t>
            </w:r>
          </w:p>
        </w:tc>
        <w:tc>
          <w:tcPr>
            <w:tcW w:w="1241" w:type="dxa"/>
            <w:tcBorders>
              <w:top w:val="single" w:sz="6" w:space="0" w:color="auto"/>
              <w:left w:val="single" w:sz="6" w:space="0" w:color="auto"/>
              <w:bottom w:val="double" w:sz="6" w:space="0" w:color="auto"/>
              <w:right w:val="single" w:sz="6" w:space="0" w:color="auto"/>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grubości ścianki</w:t>
            </w:r>
          </w:p>
        </w:tc>
      </w:tr>
      <w:tr w:rsidR="00216C9A" w:rsidTr="00216C9A">
        <w:tc>
          <w:tcPr>
            <w:tcW w:w="1204" w:type="dxa"/>
            <w:tcBorders>
              <w:top w:val="nil"/>
              <w:left w:val="single" w:sz="6" w:space="0" w:color="auto"/>
              <w:bottom w:val="single" w:sz="6" w:space="0" w:color="auto"/>
              <w:right w:val="single" w:sz="6" w:space="0" w:color="auto"/>
            </w:tcBorders>
            <w:hideMark/>
          </w:tcPr>
          <w:p w:rsidR="00216C9A" w:rsidRDefault="00216C9A">
            <w:pPr>
              <w:numPr>
                <w:ilvl w:val="12"/>
                <w:numId w:val="0"/>
              </w:numPr>
              <w:spacing w:line="276" w:lineRule="auto"/>
              <w:jc w:val="center"/>
              <w:rPr>
                <w:lang w:eastAsia="en-US"/>
              </w:rPr>
            </w:pPr>
            <w:r>
              <w:rPr>
                <w:lang w:eastAsia="en-US"/>
              </w:rPr>
              <w:t>44,5</w:t>
            </w:r>
          </w:p>
          <w:p w:rsidR="00216C9A" w:rsidRDefault="00216C9A">
            <w:pPr>
              <w:numPr>
                <w:ilvl w:val="12"/>
                <w:numId w:val="0"/>
              </w:numPr>
              <w:spacing w:line="276" w:lineRule="auto"/>
              <w:jc w:val="center"/>
              <w:rPr>
                <w:lang w:eastAsia="en-US"/>
              </w:rPr>
            </w:pPr>
            <w:r>
              <w:rPr>
                <w:lang w:eastAsia="en-US"/>
              </w:rPr>
              <w:t>48,3</w:t>
            </w:r>
          </w:p>
          <w:p w:rsidR="00216C9A" w:rsidRDefault="00216C9A">
            <w:pPr>
              <w:numPr>
                <w:ilvl w:val="12"/>
                <w:numId w:val="0"/>
              </w:numPr>
              <w:spacing w:line="276" w:lineRule="auto"/>
              <w:jc w:val="center"/>
              <w:rPr>
                <w:lang w:eastAsia="en-US"/>
              </w:rPr>
            </w:pPr>
            <w:r>
              <w:rPr>
                <w:lang w:eastAsia="en-US"/>
              </w:rPr>
              <w:t>51,0</w:t>
            </w:r>
          </w:p>
          <w:p w:rsidR="00216C9A" w:rsidRDefault="00216C9A">
            <w:pPr>
              <w:numPr>
                <w:ilvl w:val="12"/>
                <w:numId w:val="0"/>
              </w:numPr>
              <w:spacing w:line="276" w:lineRule="auto"/>
              <w:jc w:val="center"/>
              <w:rPr>
                <w:lang w:eastAsia="en-US"/>
              </w:rPr>
            </w:pPr>
            <w:r>
              <w:rPr>
                <w:lang w:eastAsia="en-US"/>
              </w:rPr>
              <w:lastRenderedPageBreak/>
              <w:t>54,0</w:t>
            </w:r>
          </w:p>
          <w:p w:rsidR="00216C9A" w:rsidRDefault="00216C9A">
            <w:pPr>
              <w:numPr>
                <w:ilvl w:val="12"/>
                <w:numId w:val="0"/>
              </w:numPr>
              <w:spacing w:line="276" w:lineRule="auto"/>
              <w:jc w:val="center"/>
              <w:rPr>
                <w:lang w:eastAsia="en-US"/>
              </w:rPr>
            </w:pPr>
            <w:r>
              <w:rPr>
                <w:lang w:eastAsia="en-US"/>
              </w:rPr>
              <w:t>57,0</w:t>
            </w:r>
          </w:p>
          <w:p w:rsidR="00216C9A" w:rsidRDefault="00216C9A">
            <w:pPr>
              <w:numPr>
                <w:ilvl w:val="12"/>
                <w:numId w:val="0"/>
              </w:numPr>
              <w:spacing w:line="276" w:lineRule="auto"/>
              <w:jc w:val="center"/>
              <w:rPr>
                <w:lang w:eastAsia="en-US"/>
              </w:rPr>
            </w:pPr>
            <w:r>
              <w:rPr>
                <w:lang w:eastAsia="en-US"/>
              </w:rPr>
              <w:t>60,3</w:t>
            </w:r>
          </w:p>
          <w:p w:rsidR="00216C9A" w:rsidRDefault="00216C9A">
            <w:pPr>
              <w:numPr>
                <w:ilvl w:val="12"/>
                <w:numId w:val="0"/>
              </w:numPr>
              <w:spacing w:line="276" w:lineRule="auto"/>
              <w:jc w:val="center"/>
              <w:rPr>
                <w:lang w:eastAsia="en-US"/>
              </w:rPr>
            </w:pPr>
            <w:r>
              <w:rPr>
                <w:lang w:eastAsia="en-US"/>
              </w:rPr>
              <w:t>63,5</w:t>
            </w:r>
          </w:p>
          <w:p w:rsidR="00216C9A" w:rsidRDefault="00216C9A">
            <w:pPr>
              <w:numPr>
                <w:ilvl w:val="12"/>
                <w:numId w:val="0"/>
              </w:numPr>
              <w:spacing w:line="276" w:lineRule="auto"/>
              <w:jc w:val="center"/>
              <w:rPr>
                <w:lang w:eastAsia="en-US"/>
              </w:rPr>
            </w:pPr>
            <w:r>
              <w:rPr>
                <w:lang w:eastAsia="en-US"/>
              </w:rPr>
              <w:t>70,0</w:t>
            </w:r>
          </w:p>
          <w:p w:rsidR="00216C9A" w:rsidRDefault="00216C9A">
            <w:pPr>
              <w:numPr>
                <w:ilvl w:val="12"/>
                <w:numId w:val="0"/>
              </w:numPr>
              <w:spacing w:line="276" w:lineRule="auto"/>
              <w:jc w:val="center"/>
              <w:rPr>
                <w:lang w:eastAsia="en-US"/>
              </w:rPr>
            </w:pPr>
            <w:r>
              <w:rPr>
                <w:lang w:eastAsia="en-US"/>
              </w:rPr>
              <w:t>76,1</w:t>
            </w:r>
          </w:p>
          <w:p w:rsidR="00216C9A" w:rsidRDefault="00216C9A">
            <w:pPr>
              <w:numPr>
                <w:ilvl w:val="12"/>
                <w:numId w:val="0"/>
              </w:numPr>
              <w:spacing w:line="276" w:lineRule="auto"/>
              <w:jc w:val="center"/>
              <w:rPr>
                <w:lang w:eastAsia="en-US"/>
              </w:rPr>
            </w:pPr>
            <w:r>
              <w:rPr>
                <w:lang w:eastAsia="en-US"/>
              </w:rPr>
              <w:t>82,5</w:t>
            </w:r>
          </w:p>
          <w:p w:rsidR="00216C9A" w:rsidRDefault="00216C9A">
            <w:pPr>
              <w:numPr>
                <w:ilvl w:val="12"/>
                <w:numId w:val="0"/>
              </w:numPr>
              <w:spacing w:line="276" w:lineRule="auto"/>
              <w:jc w:val="center"/>
              <w:rPr>
                <w:lang w:eastAsia="en-US"/>
              </w:rPr>
            </w:pPr>
            <w:r>
              <w:rPr>
                <w:lang w:eastAsia="en-US"/>
              </w:rPr>
              <w:t>88,9</w:t>
            </w:r>
          </w:p>
          <w:p w:rsidR="00216C9A" w:rsidRDefault="00216C9A">
            <w:pPr>
              <w:numPr>
                <w:ilvl w:val="12"/>
                <w:numId w:val="0"/>
              </w:numPr>
              <w:spacing w:line="276" w:lineRule="auto"/>
              <w:jc w:val="center"/>
              <w:rPr>
                <w:lang w:eastAsia="en-US"/>
              </w:rPr>
            </w:pPr>
            <w:r>
              <w:rPr>
                <w:lang w:eastAsia="en-US"/>
              </w:rPr>
              <w:t>101,6</w:t>
            </w:r>
          </w:p>
          <w:p w:rsidR="00216C9A" w:rsidRDefault="00216C9A">
            <w:pPr>
              <w:numPr>
                <w:ilvl w:val="12"/>
                <w:numId w:val="0"/>
              </w:numPr>
              <w:spacing w:line="276" w:lineRule="auto"/>
              <w:jc w:val="center"/>
              <w:rPr>
                <w:lang w:eastAsia="en-US"/>
              </w:rPr>
            </w:pPr>
            <w:r>
              <w:rPr>
                <w:lang w:eastAsia="en-US"/>
              </w:rPr>
              <w:t>102,0</w:t>
            </w:r>
          </w:p>
          <w:p w:rsidR="00216C9A" w:rsidRDefault="00216C9A">
            <w:pPr>
              <w:numPr>
                <w:ilvl w:val="12"/>
                <w:numId w:val="0"/>
              </w:numPr>
              <w:spacing w:line="276" w:lineRule="auto"/>
              <w:jc w:val="center"/>
              <w:rPr>
                <w:lang w:eastAsia="en-US"/>
              </w:rPr>
            </w:pPr>
            <w:r>
              <w:rPr>
                <w:lang w:eastAsia="en-US"/>
              </w:rPr>
              <w:t>108,0</w:t>
            </w:r>
          </w:p>
          <w:p w:rsidR="00216C9A" w:rsidRDefault="00216C9A">
            <w:pPr>
              <w:numPr>
                <w:ilvl w:val="12"/>
                <w:numId w:val="0"/>
              </w:numPr>
              <w:spacing w:line="276" w:lineRule="auto"/>
              <w:jc w:val="center"/>
              <w:rPr>
                <w:lang w:eastAsia="en-US"/>
              </w:rPr>
            </w:pPr>
            <w:r>
              <w:rPr>
                <w:lang w:eastAsia="en-US"/>
              </w:rPr>
              <w:t>114,0</w:t>
            </w:r>
          </w:p>
          <w:p w:rsidR="00216C9A" w:rsidRDefault="00216C9A">
            <w:pPr>
              <w:numPr>
                <w:ilvl w:val="12"/>
                <w:numId w:val="0"/>
              </w:numPr>
              <w:spacing w:line="276" w:lineRule="auto"/>
              <w:jc w:val="center"/>
              <w:rPr>
                <w:lang w:eastAsia="en-US"/>
              </w:rPr>
            </w:pPr>
            <w:r>
              <w:rPr>
                <w:lang w:eastAsia="en-US"/>
              </w:rPr>
              <w:t>114,3</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121,0</w:t>
            </w:r>
          </w:p>
        </w:tc>
        <w:tc>
          <w:tcPr>
            <w:tcW w:w="1843" w:type="dxa"/>
            <w:tcBorders>
              <w:top w:val="nil"/>
              <w:left w:val="single" w:sz="6" w:space="0" w:color="auto"/>
              <w:bottom w:val="single" w:sz="6" w:space="0" w:color="auto"/>
              <w:right w:val="single" w:sz="6" w:space="0" w:color="auto"/>
            </w:tcBorders>
            <w:hideMark/>
          </w:tcPr>
          <w:p w:rsidR="00216C9A" w:rsidRDefault="00216C9A">
            <w:pPr>
              <w:numPr>
                <w:ilvl w:val="12"/>
                <w:numId w:val="0"/>
              </w:numPr>
              <w:spacing w:line="276" w:lineRule="auto"/>
              <w:jc w:val="center"/>
              <w:rPr>
                <w:lang w:eastAsia="en-US"/>
              </w:rPr>
            </w:pPr>
            <w:r>
              <w:rPr>
                <w:lang w:eastAsia="en-US"/>
              </w:rPr>
              <w:lastRenderedPageBreak/>
              <w:t>od 2,6 do 11,0</w:t>
            </w:r>
          </w:p>
          <w:p w:rsidR="00216C9A" w:rsidRDefault="00216C9A">
            <w:pPr>
              <w:numPr>
                <w:ilvl w:val="12"/>
                <w:numId w:val="0"/>
              </w:numPr>
              <w:spacing w:line="276" w:lineRule="auto"/>
              <w:jc w:val="center"/>
              <w:rPr>
                <w:lang w:eastAsia="en-US"/>
              </w:rPr>
            </w:pPr>
            <w:r>
              <w:rPr>
                <w:lang w:eastAsia="en-US"/>
              </w:rPr>
              <w:t>od 2,6 do 11,0</w:t>
            </w:r>
          </w:p>
          <w:p w:rsidR="00216C9A" w:rsidRDefault="00216C9A">
            <w:pPr>
              <w:numPr>
                <w:ilvl w:val="12"/>
                <w:numId w:val="0"/>
              </w:numPr>
              <w:spacing w:line="276" w:lineRule="auto"/>
              <w:jc w:val="center"/>
              <w:rPr>
                <w:lang w:eastAsia="en-US"/>
              </w:rPr>
            </w:pPr>
            <w:r>
              <w:rPr>
                <w:lang w:eastAsia="en-US"/>
              </w:rPr>
              <w:t>od 2,6 do 12,5</w:t>
            </w:r>
          </w:p>
          <w:p w:rsidR="00216C9A" w:rsidRDefault="00216C9A">
            <w:pPr>
              <w:numPr>
                <w:ilvl w:val="12"/>
                <w:numId w:val="0"/>
              </w:numPr>
              <w:spacing w:line="276" w:lineRule="auto"/>
              <w:jc w:val="center"/>
              <w:rPr>
                <w:lang w:eastAsia="en-US"/>
              </w:rPr>
            </w:pPr>
            <w:r>
              <w:rPr>
                <w:lang w:eastAsia="en-US"/>
              </w:rPr>
              <w:lastRenderedPageBreak/>
              <w:t>od 2,6 do 14,2</w:t>
            </w:r>
          </w:p>
          <w:p w:rsidR="00216C9A" w:rsidRDefault="00216C9A">
            <w:pPr>
              <w:numPr>
                <w:ilvl w:val="12"/>
                <w:numId w:val="0"/>
              </w:numPr>
              <w:spacing w:line="276" w:lineRule="auto"/>
              <w:jc w:val="center"/>
              <w:rPr>
                <w:lang w:eastAsia="en-US"/>
              </w:rPr>
            </w:pPr>
            <w:r>
              <w:rPr>
                <w:lang w:eastAsia="en-US"/>
              </w:rPr>
              <w:t>od 2,9 do 14,2</w:t>
            </w:r>
          </w:p>
          <w:p w:rsidR="00216C9A" w:rsidRDefault="00216C9A">
            <w:pPr>
              <w:numPr>
                <w:ilvl w:val="12"/>
                <w:numId w:val="0"/>
              </w:numPr>
              <w:spacing w:line="276" w:lineRule="auto"/>
              <w:jc w:val="center"/>
              <w:rPr>
                <w:lang w:eastAsia="en-US"/>
              </w:rPr>
            </w:pPr>
            <w:r>
              <w:rPr>
                <w:lang w:eastAsia="en-US"/>
              </w:rPr>
              <w:t>od 2,9 do 14,2</w:t>
            </w:r>
          </w:p>
          <w:p w:rsidR="00216C9A" w:rsidRDefault="00216C9A">
            <w:pPr>
              <w:numPr>
                <w:ilvl w:val="12"/>
                <w:numId w:val="0"/>
              </w:numPr>
              <w:spacing w:line="276" w:lineRule="auto"/>
              <w:jc w:val="center"/>
              <w:rPr>
                <w:lang w:eastAsia="en-US"/>
              </w:rPr>
            </w:pPr>
            <w:r>
              <w:rPr>
                <w:lang w:eastAsia="en-US"/>
              </w:rPr>
              <w:t>od 2,9 do 16,0</w:t>
            </w:r>
          </w:p>
          <w:p w:rsidR="00216C9A" w:rsidRDefault="00216C9A">
            <w:pPr>
              <w:numPr>
                <w:ilvl w:val="12"/>
                <w:numId w:val="0"/>
              </w:numPr>
              <w:spacing w:line="276" w:lineRule="auto"/>
              <w:jc w:val="center"/>
              <w:rPr>
                <w:lang w:eastAsia="en-US"/>
              </w:rPr>
            </w:pPr>
            <w:r>
              <w:rPr>
                <w:lang w:eastAsia="en-US"/>
              </w:rPr>
              <w:t>od 2,9 do 16,0</w:t>
            </w:r>
          </w:p>
          <w:p w:rsidR="00216C9A" w:rsidRDefault="00216C9A">
            <w:pPr>
              <w:numPr>
                <w:ilvl w:val="12"/>
                <w:numId w:val="0"/>
              </w:numPr>
              <w:spacing w:line="276" w:lineRule="auto"/>
              <w:jc w:val="center"/>
              <w:rPr>
                <w:lang w:eastAsia="en-US"/>
              </w:rPr>
            </w:pPr>
            <w:r>
              <w:rPr>
                <w:lang w:eastAsia="en-US"/>
              </w:rPr>
              <w:t>od 2,9 do 20,0</w:t>
            </w:r>
          </w:p>
          <w:p w:rsidR="00216C9A" w:rsidRDefault="00216C9A">
            <w:pPr>
              <w:numPr>
                <w:ilvl w:val="12"/>
                <w:numId w:val="0"/>
              </w:numPr>
              <w:spacing w:line="276" w:lineRule="auto"/>
              <w:jc w:val="center"/>
              <w:rPr>
                <w:lang w:eastAsia="en-US"/>
              </w:rPr>
            </w:pPr>
            <w:r>
              <w:rPr>
                <w:lang w:eastAsia="en-US"/>
              </w:rPr>
              <w:t>od 3,2 do 20,0</w:t>
            </w:r>
          </w:p>
          <w:p w:rsidR="00216C9A" w:rsidRDefault="00216C9A">
            <w:pPr>
              <w:numPr>
                <w:ilvl w:val="12"/>
                <w:numId w:val="0"/>
              </w:numPr>
              <w:spacing w:line="276" w:lineRule="auto"/>
              <w:jc w:val="center"/>
              <w:rPr>
                <w:lang w:eastAsia="en-US"/>
              </w:rPr>
            </w:pPr>
            <w:r>
              <w:rPr>
                <w:lang w:eastAsia="en-US"/>
              </w:rPr>
              <w:t>od 3,2 do 34,0</w:t>
            </w:r>
          </w:p>
          <w:p w:rsidR="00216C9A" w:rsidRDefault="00216C9A">
            <w:pPr>
              <w:numPr>
                <w:ilvl w:val="12"/>
                <w:numId w:val="0"/>
              </w:numPr>
              <w:spacing w:line="276" w:lineRule="auto"/>
              <w:jc w:val="center"/>
              <w:rPr>
                <w:lang w:eastAsia="en-US"/>
              </w:rPr>
            </w:pPr>
            <w:r>
              <w:rPr>
                <w:lang w:eastAsia="en-US"/>
              </w:rPr>
              <w:t>od 3,6 do 20,0</w:t>
            </w:r>
          </w:p>
          <w:p w:rsidR="00216C9A" w:rsidRDefault="00216C9A">
            <w:pPr>
              <w:numPr>
                <w:ilvl w:val="12"/>
                <w:numId w:val="0"/>
              </w:numPr>
              <w:spacing w:line="276" w:lineRule="auto"/>
              <w:jc w:val="center"/>
              <w:rPr>
                <w:lang w:eastAsia="en-US"/>
              </w:rPr>
            </w:pPr>
            <w:r>
              <w:rPr>
                <w:lang w:eastAsia="en-US"/>
              </w:rPr>
              <w:t>od 4,0 do 12,0</w:t>
            </w:r>
          </w:p>
          <w:p w:rsidR="00216C9A" w:rsidRDefault="00216C9A">
            <w:pPr>
              <w:numPr>
                <w:ilvl w:val="12"/>
                <w:numId w:val="0"/>
              </w:numPr>
              <w:spacing w:line="276" w:lineRule="auto"/>
              <w:jc w:val="center"/>
              <w:rPr>
                <w:lang w:eastAsia="en-US"/>
              </w:rPr>
            </w:pPr>
            <w:r>
              <w:rPr>
                <w:lang w:eastAsia="en-US"/>
              </w:rPr>
              <w:t>od 3,6 do 20,0</w:t>
            </w:r>
          </w:p>
          <w:p w:rsidR="00216C9A" w:rsidRDefault="00216C9A">
            <w:pPr>
              <w:numPr>
                <w:ilvl w:val="12"/>
                <w:numId w:val="0"/>
              </w:numPr>
              <w:spacing w:line="276" w:lineRule="auto"/>
              <w:jc w:val="center"/>
              <w:rPr>
                <w:lang w:eastAsia="en-US"/>
              </w:rPr>
            </w:pPr>
            <w:r>
              <w:rPr>
                <w:lang w:eastAsia="en-US"/>
              </w:rPr>
              <w:t>od 4,0 do 14,0</w:t>
            </w:r>
          </w:p>
          <w:p w:rsidR="00216C9A" w:rsidRDefault="00216C9A">
            <w:pPr>
              <w:numPr>
                <w:ilvl w:val="12"/>
                <w:numId w:val="0"/>
              </w:numPr>
              <w:spacing w:line="276" w:lineRule="auto"/>
              <w:jc w:val="center"/>
              <w:rPr>
                <w:lang w:eastAsia="en-US"/>
              </w:rPr>
            </w:pPr>
            <w:r>
              <w:rPr>
                <w:lang w:eastAsia="en-US"/>
              </w:rPr>
              <w:t>od 3,6 do 20,0</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od 4,0 do 16,0</w:t>
            </w:r>
          </w:p>
        </w:tc>
        <w:tc>
          <w:tcPr>
            <w:tcW w:w="1985" w:type="dxa"/>
            <w:tcBorders>
              <w:top w:val="nil"/>
              <w:left w:val="single" w:sz="6" w:space="0" w:color="auto"/>
              <w:bottom w:val="single" w:sz="6" w:space="0" w:color="auto"/>
              <w:right w:val="single" w:sz="6" w:space="0" w:color="auto"/>
            </w:tcBorders>
            <w:hideMark/>
          </w:tcPr>
          <w:p w:rsidR="00216C9A" w:rsidRDefault="00216C9A">
            <w:pPr>
              <w:numPr>
                <w:ilvl w:val="12"/>
                <w:numId w:val="0"/>
              </w:numPr>
              <w:spacing w:line="276" w:lineRule="auto"/>
              <w:jc w:val="center"/>
              <w:rPr>
                <w:lang w:eastAsia="en-US"/>
              </w:rPr>
            </w:pPr>
            <w:r>
              <w:rPr>
                <w:lang w:eastAsia="en-US"/>
              </w:rPr>
              <w:lastRenderedPageBreak/>
              <w:t>od 2,69 do 9,09</w:t>
            </w:r>
          </w:p>
          <w:p w:rsidR="00216C9A" w:rsidRDefault="00216C9A">
            <w:pPr>
              <w:numPr>
                <w:ilvl w:val="12"/>
                <w:numId w:val="0"/>
              </w:numPr>
              <w:spacing w:line="276" w:lineRule="auto"/>
              <w:jc w:val="center"/>
              <w:rPr>
                <w:lang w:eastAsia="en-US"/>
              </w:rPr>
            </w:pPr>
            <w:r>
              <w:rPr>
                <w:lang w:eastAsia="en-US"/>
              </w:rPr>
              <w:t>od 2,93 do 10,01</w:t>
            </w:r>
          </w:p>
          <w:p w:rsidR="00216C9A" w:rsidRDefault="00216C9A">
            <w:pPr>
              <w:numPr>
                <w:ilvl w:val="12"/>
                <w:numId w:val="0"/>
              </w:numPr>
              <w:spacing w:line="276" w:lineRule="auto"/>
              <w:jc w:val="center"/>
              <w:rPr>
                <w:lang w:eastAsia="en-US"/>
              </w:rPr>
            </w:pPr>
            <w:r>
              <w:rPr>
                <w:lang w:eastAsia="en-US"/>
              </w:rPr>
              <w:t>od 3,10 do 11,9</w:t>
            </w:r>
          </w:p>
          <w:p w:rsidR="00216C9A" w:rsidRDefault="00216C9A">
            <w:pPr>
              <w:numPr>
                <w:ilvl w:val="12"/>
                <w:numId w:val="0"/>
              </w:numPr>
              <w:spacing w:line="276" w:lineRule="auto"/>
              <w:jc w:val="center"/>
              <w:rPr>
                <w:lang w:eastAsia="en-US"/>
              </w:rPr>
            </w:pPr>
            <w:r>
              <w:rPr>
                <w:lang w:eastAsia="en-US"/>
              </w:rPr>
              <w:lastRenderedPageBreak/>
              <w:t>od 3,30 do 13,9</w:t>
            </w:r>
          </w:p>
          <w:p w:rsidR="00216C9A" w:rsidRDefault="00216C9A">
            <w:pPr>
              <w:numPr>
                <w:ilvl w:val="12"/>
                <w:numId w:val="0"/>
              </w:numPr>
              <w:spacing w:line="276" w:lineRule="auto"/>
              <w:jc w:val="center"/>
              <w:rPr>
                <w:lang w:eastAsia="en-US"/>
              </w:rPr>
            </w:pPr>
            <w:r>
              <w:rPr>
                <w:lang w:eastAsia="en-US"/>
              </w:rPr>
              <w:t>od 3,87 do 15,0</w:t>
            </w:r>
          </w:p>
          <w:p w:rsidR="00216C9A" w:rsidRDefault="00216C9A">
            <w:pPr>
              <w:numPr>
                <w:ilvl w:val="12"/>
                <w:numId w:val="0"/>
              </w:numPr>
              <w:spacing w:line="276" w:lineRule="auto"/>
              <w:jc w:val="center"/>
              <w:rPr>
                <w:lang w:eastAsia="en-US"/>
              </w:rPr>
            </w:pPr>
            <w:r>
              <w:rPr>
                <w:lang w:eastAsia="en-US"/>
              </w:rPr>
              <w:t>od 4,11 do 16,1</w:t>
            </w:r>
          </w:p>
          <w:p w:rsidR="00216C9A" w:rsidRDefault="00216C9A">
            <w:pPr>
              <w:numPr>
                <w:ilvl w:val="12"/>
                <w:numId w:val="0"/>
              </w:numPr>
              <w:spacing w:line="276" w:lineRule="auto"/>
              <w:jc w:val="center"/>
              <w:rPr>
                <w:lang w:eastAsia="en-US"/>
              </w:rPr>
            </w:pPr>
            <w:r>
              <w:rPr>
                <w:lang w:eastAsia="en-US"/>
              </w:rPr>
              <w:t>od 4,33 do 18,7</w:t>
            </w:r>
          </w:p>
          <w:p w:rsidR="00216C9A" w:rsidRDefault="00216C9A">
            <w:pPr>
              <w:numPr>
                <w:ilvl w:val="12"/>
                <w:numId w:val="0"/>
              </w:numPr>
              <w:spacing w:line="276" w:lineRule="auto"/>
              <w:jc w:val="center"/>
              <w:rPr>
                <w:lang w:eastAsia="en-US"/>
              </w:rPr>
            </w:pPr>
            <w:r>
              <w:rPr>
                <w:lang w:eastAsia="en-US"/>
              </w:rPr>
              <w:t>od 4,80 do 21,3</w:t>
            </w:r>
          </w:p>
          <w:p w:rsidR="00216C9A" w:rsidRDefault="00216C9A">
            <w:pPr>
              <w:numPr>
                <w:ilvl w:val="12"/>
                <w:numId w:val="0"/>
              </w:numPr>
              <w:spacing w:line="276" w:lineRule="auto"/>
              <w:jc w:val="center"/>
              <w:rPr>
                <w:lang w:eastAsia="en-US"/>
              </w:rPr>
            </w:pPr>
            <w:r>
              <w:rPr>
                <w:lang w:eastAsia="en-US"/>
              </w:rPr>
              <w:t>od 5,24 do 27,7</w:t>
            </w:r>
          </w:p>
          <w:p w:rsidR="00216C9A" w:rsidRDefault="00216C9A">
            <w:pPr>
              <w:numPr>
                <w:ilvl w:val="12"/>
                <w:numId w:val="0"/>
              </w:numPr>
              <w:spacing w:line="276" w:lineRule="auto"/>
              <w:jc w:val="center"/>
              <w:rPr>
                <w:lang w:eastAsia="en-US"/>
              </w:rPr>
            </w:pPr>
            <w:r>
              <w:rPr>
                <w:lang w:eastAsia="en-US"/>
              </w:rPr>
              <w:t>od 6,26 do 30,8</w:t>
            </w:r>
          </w:p>
          <w:p w:rsidR="00216C9A" w:rsidRDefault="00216C9A">
            <w:pPr>
              <w:numPr>
                <w:ilvl w:val="12"/>
                <w:numId w:val="0"/>
              </w:numPr>
              <w:spacing w:line="276" w:lineRule="auto"/>
              <w:jc w:val="center"/>
              <w:rPr>
                <w:lang w:eastAsia="en-US"/>
              </w:rPr>
            </w:pPr>
            <w:r>
              <w:rPr>
                <w:lang w:eastAsia="en-US"/>
              </w:rPr>
              <w:t>od 6,76 do 34,0</w:t>
            </w:r>
          </w:p>
          <w:p w:rsidR="00216C9A" w:rsidRDefault="00216C9A">
            <w:pPr>
              <w:numPr>
                <w:ilvl w:val="12"/>
                <w:numId w:val="0"/>
              </w:numPr>
              <w:spacing w:line="276" w:lineRule="auto"/>
              <w:jc w:val="center"/>
              <w:rPr>
                <w:lang w:eastAsia="en-US"/>
              </w:rPr>
            </w:pPr>
            <w:r>
              <w:rPr>
                <w:lang w:eastAsia="en-US"/>
              </w:rPr>
              <w:t>od 8,70 do 40,2</w:t>
            </w:r>
          </w:p>
          <w:p w:rsidR="00216C9A" w:rsidRDefault="00216C9A">
            <w:pPr>
              <w:numPr>
                <w:ilvl w:val="12"/>
                <w:numId w:val="0"/>
              </w:numPr>
              <w:spacing w:line="276" w:lineRule="auto"/>
              <w:jc w:val="center"/>
              <w:rPr>
                <w:lang w:eastAsia="en-US"/>
              </w:rPr>
            </w:pPr>
            <w:r>
              <w:rPr>
                <w:lang w:eastAsia="en-US"/>
              </w:rPr>
              <w:t>od 9,67 do 26,6</w:t>
            </w:r>
          </w:p>
          <w:p w:rsidR="00216C9A" w:rsidRDefault="00216C9A">
            <w:pPr>
              <w:numPr>
                <w:ilvl w:val="12"/>
                <w:numId w:val="0"/>
              </w:numPr>
              <w:spacing w:line="276" w:lineRule="auto"/>
              <w:jc w:val="center"/>
              <w:rPr>
                <w:lang w:eastAsia="en-US"/>
              </w:rPr>
            </w:pPr>
            <w:r>
              <w:rPr>
                <w:lang w:eastAsia="en-US"/>
              </w:rPr>
              <w:t>od 9,27 do 43,4</w:t>
            </w:r>
          </w:p>
          <w:p w:rsidR="00216C9A" w:rsidRDefault="00216C9A">
            <w:pPr>
              <w:numPr>
                <w:ilvl w:val="12"/>
                <w:numId w:val="0"/>
              </w:numPr>
              <w:spacing w:line="276" w:lineRule="auto"/>
              <w:jc w:val="center"/>
              <w:rPr>
                <w:lang w:eastAsia="en-US"/>
              </w:rPr>
            </w:pPr>
            <w:r>
              <w:rPr>
                <w:lang w:eastAsia="en-US"/>
              </w:rPr>
              <w:t>od 10,9 do 34,5</w:t>
            </w:r>
          </w:p>
          <w:p w:rsidR="00216C9A" w:rsidRDefault="00216C9A">
            <w:pPr>
              <w:numPr>
                <w:ilvl w:val="12"/>
                <w:numId w:val="0"/>
              </w:numPr>
              <w:spacing w:line="276" w:lineRule="auto"/>
              <w:jc w:val="center"/>
              <w:rPr>
                <w:lang w:eastAsia="en-US"/>
              </w:rPr>
            </w:pPr>
            <w:r>
              <w:rPr>
                <w:lang w:eastAsia="en-US"/>
              </w:rPr>
              <w:t>od 9,83 do 46,5</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od 11,5 do 41,4</w:t>
            </w:r>
          </w:p>
        </w:tc>
        <w:tc>
          <w:tcPr>
            <w:tcW w:w="1241" w:type="dxa"/>
            <w:tcBorders>
              <w:top w:val="nil"/>
              <w:left w:val="single" w:sz="6" w:space="0" w:color="auto"/>
              <w:bottom w:val="single" w:sz="6" w:space="0" w:color="auto"/>
              <w:right w:val="single" w:sz="6" w:space="0" w:color="auto"/>
            </w:tcBorders>
          </w:tcPr>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sym w:font="Symbol" w:char="F0B1"/>
            </w:r>
            <w:r>
              <w:rPr>
                <w:lang w:eastAsia="en-US"/>
              </w:rPr>
              <w:t xml:space="preserve"> 1,25 %</w:t>
            </w:r>
          </w:p>
        </w:tc>
        <w:tc>
          <w:tcPr>
            <w:tcW w:w="1241" w:type="dxa"/>
            <w:tcBorders>
              <w:top w:val="nil"/>
              <w:left w:val="single" w:sz="6" w:space="0" w:color="auto"/>
              <w:bottom w:val="single" w:sz="6" w:space="0" w:color="auto"/>
              <w:right w:val="single" w:sz="6" w:space="0" w:color="auto"/>
            </w:tcBorders>
          </w:tcPr>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spacing w:line="276" w:lineRule="auto"/>
              <w:jc w:val="center"/>
              <w:rPr>
                <w:lang w:eastAsia="en-US"/>
              </w:rPr>
            </w:pP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sym w:font="Symbol" w:char="F0B1"/>
            </w:r>
            <w:r>
              <w:rPr>
                <w:lang w:eastAsia="en-US"/>
              </w:rPr>
              <w:t xml:space="preserve"> 15 %</w:t>
            </w:r>
          </w:p>
        </w:tc>
      </w:tr>
    </w:tbl>
    <w:p w:rsidR="00216C9A" w:rsidRDefault="00216C9A" w:rsidP="00216C9A">
      <w:pPr>
        <w:numPr>
          <w:ilvl w:val="12"/>
          <w:numId w:val="0"/>
        </w:numPr>
        <w:spacing w:before="360" w:after="120"/>
      </w:pPr>
      <w:r>
        <w:lastRenderedPageBreak/>
        <w:t>Tablica 2. Kątowniki równoramienne wg PN-H-93401 [18]</w:t>
      </w:r>
    </w:p>
    <w:tbl>
      <w:tblPr>
        <w:tblW w:w="0" w:type="auto"/>
        <w:tblLayout w:type="fixed"/>
        <w:tblCellMar>
          <w:left w:w="70" w:type="dxa"/>
          <w:right w:w="70" w:type="dxa"/>
        </w:tblCellMar>
        <w:tblLook w:val="04A0" w:firstRow="1" w:lastRow="0" w:firstColumn="1" w:lastColumn="0" w:noHBand="0" w:noVBand="1"/>
      </w:tblPr>
      <w:tblGrid>
        <w:gridCol w:w="1204"/>
        <w:gridCol w:w="1843"/>
        <w:gridCol w:w="1985"/>
        <w:gridCol w:w="1241"/>
        <w:gridCol w:w="1241"/>
        <w:gridCol w:w="1440"/>
      </w:tblGrid>
      <w:tr w:rsidR="00216C9A" w:rsidTr="00216C9A">
        <w:tc>
          <w:tcPr>
            <w:tcW w:w="1204" w:type="dxa"/>
            <w:tcBorders>
              <w:top w:val="single" w:sz="6" w:space="0" w:color="auto"/>
              <w:left w:val="single" w:sz="6" w:space="0" w:color="auto"/>
              <w:bottom w:val="nil"/>
              <w:right w:val="nil"/>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Wymiary</w:t>
            </w:r>
          </w:p>
        </w:tc>
        <w:tc>
          <w:tcPr>
            <w:tcW w:w="1843" w:type="dxa"/>
            <w:tcBorders>
              <w:top w:val="single" w:sz="6" w:space="0" w:color="auto"/>
              <w:left w:val="single" w:sz="6" w:space="0" w:color="auto"/>
              <w:bottom w:val="nil"/>
              <w:right w:val="nil"/>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Grubość</w:t>
            </w:r>
          </w:p>
        </w:tc>
        <w:tc>
          <w:tcPr>
            <w:tcW w:w="1985" w:type="dxa"/>
            <w:tcBorders>
              <w:top w:val="single" w:sz="6" w:space="0" w:color="auto"/>
              <w:left w:val="single" w:sz="6" w:space="0" w:color="auto"/>
              <w:bottom w:val="nil"/>
              <w:right w:val="nil"/>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Masa 1 m</w:t>
            </w:r>
          </w:p>
        </w:tc>
        <w:tc>
          <w:tcPr>
            <w:tcW w:w="2477" w:type="dxa"/>
            <w:gridSpan w:val="2"/>
            <w:tcBorders>
              <w:top w:val="single" w:sz="6" w:space="0" w:color="auto"/>
              <w:left w:val="single" w:sz="6" w:space="0" w:color="auto"/>
              <w:bottom w:val="single" w:sz="6" w:space="0" w:color="auto"/>
              <w:right w:val="single" w:sz="6" w:space="0" w:color="auto"/>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Dopuszczalne odchyłki</w:t>
            </w:r>
          </w:p>
        </w:tc>
        <w:tc>
          <w:tcPr>
            <w:tcW w:w="1440" w:type="dxa"/>
          </w:tcPr>
          <w:p w:rsidR="00216C9A" w:rsidRDefault="00216C9A">
            <w:pPr>
              <w:numPr>
                <w:ilvl w:val="12"/>
                <w:numId w:val="0"/>
              </w:numPr>
              <w:overflowPunct w:val="0"/>
              <w:autoSpaceDE w:val="0"/>
              <w:autoSpaceDN w:val="0"/>
              <w:adjustRightInd w:val="0"/>
              <w:spacing w:line="276" w:lineRule="auto"/>
              <w:jc w:val="both"/>
              <w:rPr>
                <w:lang w:eastAsia="en-US"/>
              </w:rPr>
            </w:pPr>
          </w:p>
        </w:tc>
      </w:tr>
      <w:tr w:rsidR="00216C9A" w:rsidTr="00216C9A">
        <w:trPr>
          <w:gridAfter w:val="1"/>
          <w:wAfter w:w="1435" w:type="dxa"/>
        </w:trPr>
        <w:tc>
          <w:tcPr>
            <w:tcW w:w="1204" w:type="dxa"/>
            <w:tcBorders>
              <w:top w:val="nil"/>
              <w:left w:val="single" w:sz="6" w:space="0" w:color="auto"/>
              <w:bottom w:val="nil"/>
              <w:right w:val="single" w:sz="6" w:space="0" w:color="auto"/>
            </w:tcBorders>
            <w:hideMark/>
          </w:tcPr>
          <w:p w:rsidR="00216C9A" w:rsidRDefault="00216C9A">
            <w:pPr>
              <w:numPr>
                <w:ilvl w:val="12"/>
                <w:numId w:val="0"/>
              </w:numPr>
              <w:spacing w:line="276" w:lineRule="auto"/>
              <w:jc w:val="center"/>
              <w:rPr>
                <w:lang w:eastAsia="en-US"/>
              </w:rPr>
            </w:pPr>
            <w:r>
              <w:rPr>
                <w:lang w:eastAsia="en-US"/>
              </w:rPr>
              <w:t>ramion</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mm</w:t>
            </w:r>
          </w:p>
        </w:tc>
        <w:tc>
          <w:tcPr>
            <w:tcW w:w="1843" w:type="dxa"/>
            <w:hideMark/>
          </w:tcPr>
          <w:p w:rsidR="00216C9A" w:rsidRDefault="00216C9A">
            <w:pPr>
              <w:numPr>
                <w:ilvl w:val="12"/>
                <w:numId w:val="0"/>
              </w:numPr>
              <w:spacing w:line="276" w:lineRule="auto"/>
              <w:jc w:val="center"/>
              <w:rPr>
                <w:lang w:eastAsia="en-US"/>
              </w:rPr>
            </w:pPr>
            <w:r>
              <w:rPr>
                <w:lang w:eastAsia="en-US"/>
              </w:rPr>
              <w:t>ramienia</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mm</w:t>
            </w:r>
          </w:p>
        </w:tc>
        <w:tc>
          <w:tcPr>
            <w:tcW w:w="1985" w:type="dxa"/>
            <w:tcBorders>
              <w:top w:val="nil"/>
              <w:left w:val="single" w:sz="6" w:space="0" w:color="auto"/>
              <w:bottom w:val="nil"/>
              <w:right w:val="nil"/>
            </w:tcBorders>
            <w:hideMark/>
          </w:tcPr>
          <w:p w:rsidR="00216C9A" w:rsidRDefault="00216C9A">
            <w:pPr>
              <w:numPr>
                <w:ilvl w:val="12"/>
                <w:numId w:val="0"/>
              </w:numPr>
              <w:spacing w:line="276" w:lineRule="auto"/>
              <w:jc w:val="center"/>
              <w:rPr>
                <w:lang w:eastAsia="en-US"/>
              </w:rPr>
            </w:pPr>
            <w:r>
              <w:rPr>
                <w:lang w:eastAsia="en-US"/>
              </w:rPr>
              <w:t>kątownika</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kg/m</w:t>
            </w:r>
          </w:p>
        </w:tc>
        <w:tc>
          <w:tcPr>
            <w:tcW w:w="1241" w:type="dxa"/>
            <w:tcBorders>
              <w:top w:val="single" w:sz="6" w:space="0" w:color="auto"/>
              <w:left w:val="single" w:sz="6" w:space="0" w:color="auto"/>
              <w:bottom w:val="nil"/>
              <w:right w:val="single" w:sz="6" w:space="0" w:color="auto"/>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długości ramienia</w:t>
            </w:r>
          </w:p>
        </w:tc>
        <w:tc>
          <w:tcPr>
            <w:tcW w:w="1241" w:type="dxa"/>
            <w:tcBorders>
              <w:top w:val="single" w:sz="6" w:space="0" w:color="auto"/>
              <w:left w:val="single" w:sz="6" w:space="0" w:color="auto"/>
              <w:bottom w:val="nil"/>
              <w:right w:val="single" w:sz="6" w:space="0" w:color="auto"/>
            </w:tcBorders>
            <w:hideMark/>
          </w:tcPr>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grubości ramion</w:t>
            </w:r>
          </w:p>
        </w:tc>
      </w:tr>
      <w:tr w:rsidR="00216C9A" w:rsidTr="00216C9A">
        <w:trPr>
          <w:gridAfter w:val="1"/>
          <w:wAfter w:w="1435" w:type="dxa"/>
        </w:trPr>
        <w:tc>
          <w:tcPr>
            <w:tcW w:w="1204" w:type="dxa"/>
            <w:tcBorders>
              <w:top w:val="double" w:sz="6" w:space="0" w:color="auto"/>
              <w:left w:val="single" w:sz="6" w:space="0" w:color="auto"/>
              <w:bottom w:val="single" w:sz="6" w:space="0" w:color="auto"/>
              <w:right w:val="single" w:sz="6" w:space="0" w:color="auto"/>
            </w:tcBorders>
            <w:hideMark/>
          </w:tcPr>
          <w:p w:rsidR="00216C9A" w:rsidRDefault="00216C9A">
            <w:pPr>
              <w:numPr>
                <w:ilvl w:val="12"/>
                <w:numId w:val="0"/>
              </w:numPr>
              <w:spacing w:before="60" w:line="276" w:lineRule="auto"/>
              <w:jc w:val="center"/>
              <w:rPr>
                <w:lang w:eastAsia="en-US"/>
              </w:rPr>
            </w:pPr>
            <w:r>
              <w:rPr>
                <w:lang w:eastAsia="en-US"/>
              </w:rPr>
              <w:t>40 x 40</w:t>
            </w:r>
          </w:p>
          <w:p w:rsidR="00216C9A" w:rsidRDefault="00216C9A">
            <w:pPr>
              <w:numPr>
                <w:ilvl w:val="12"/>
                <w:numId w:val="0"/>
              </w:numPr>
              <w:spacing w:line="276" w:lineRule="auto"/>
              <w:jc w:val="center"/>
              <w:rPr>
                <w:lang w:eastAsia="en-US"/>
              </w:rPr>
            </w:pPr>
            <w:r>
              <w:rPr>
                <w:lang w:eastAsia="en-US"/>
              </w:rPr>
              <w:t>45 x 45</w:t>
            </w:r>
          </w:p>
          <w:p w:rsidR="00216C9A" w:rsidRDefault="00216C9A">
            <w:pPr>
              <w:numPr>
                <w:ilvl w:val="12"/>
                <w:numId w:val="0"/>
              </w:numPr>
              <w:spacing w:line="276" w:lineRule="auto"/>
              <w:jc w:val="center"/>
              <w:rPr>
                <w:lang w:eastAsia="en-US"/>
              </w:rPr>
            </w:pPr>
            <w:r>
              <w:rPr>
                <w:lang w:eastAsia="en-US"/>
              </w:rPr>
              <w:t>50 x 50</w:t>
            </w:r>
          </w:p>
          <w:p w:rsidR="00216C9A" w:rsidRDefault="00216C9A">
            <w:pPr>
              <w:numPr>
                <w:ilvl w:val="12"/>
                <w:numId w:val="0"/>
              </w:numPr>
              <w:spacing w:line="276" w:lineRule="auto"/>
              <w:jc w:val="center"/>
              <w:rPr>
                <w:lang w:eastAsia="en-US"/>
              </w:rPr>
            </w:pPr>
            <w:r>
              <w:rPr>
                <w:lang w:eastAsia="en-US"/>
              </w:rPr>
              <w:t>60 x 60</w:t>
            </w:r>
          </w:p>
          <w:p w:rsidR="00216C9A" w:rsidRDefault="00216C9A">
            <w:pPr>
              <w:numPr>
                <w:ilvl w:val="12"/>
                <w:numId w:val="0"/>
              </w:numPr>
              <w:spacing w:line="276" w:lineRule="auto"/>
              <w:jc w:val="center"/>
              <w:rPr>
                <w:lang w:eastAsia="en-US"/>
              </w:rPr>
            </w:pPr>
            <w:r>
              <w:rPr>
                <w:lang w:eastAsia="en-US"/>
              </w:rPr>
              <w:t>65 x 65</w:t>
            </w:r>
          </w:p>
          <w:p w:rsidR="00216C9A" w:rsidRDefault="00216C9A">
            <w:pPr>
              <w:numPr>
                <w:ilvl w:val="12"/>
                <w:numId w:val="0"/>
              </w:numPr>
              <w:spacing w:line="276" w:lineRule="auto"/>
              <w:jc w:val="center"/>
              <w:rPr>
                <w:lang w:eastAsia="en-US"/>
              </w:rPr>
            </w:pPr>
            <w:r>
              <w:rPr>
                <w:lang w:eastAsia="en-US"/>
              </w:rPr>
              <w:t>75 x 75</w:t>
            </w:r>
          </w:p>
          <w:p w:rsidR="00216C9A" w:rsidRDefault="00216C9A">
            <w:pPr>
              <w:numPr>
                <w:ilvl w:val="12"/>
                <w:numId w:val="0"/>
              </w:numPr>
              <w:spacing w:line="276" w:lineRule="auto"/>
              <w:jc w:val="center"/>
              <w:rPr>
                <w:lang w:eastAsia="en-US"/>
              </w:rPr>
            </w:pPr>
            <w:r>
              <w:rPr>
                <w:lang w:eastAsia="en-US"/>
              </w:rPr>
              <w:t>80 x 80</w:t>
            </w:r>
          </w:p>
          <w:p w:rsidR="00216C9A" w:rsidRDefault="00216C9A">
            <w:pPr>
              <w:numPr>
                <w:ilvl w:val="12"/>
                <w:numId w:val="0"/>
              </w:numPr>
              <w:spacing w:line="276" w:lineRule="auto"/>
              <w:jc w:val="center"/>
              <w:rPr>
                <w:lang w:eastAsia="en-US"/>
              </w:rPr>
            </w:pPr>
            <w:r>
              <w:rPr>
                <w:lang w:eastAsia="en-US"/>
              </w:rPr>
              <w:t>90 x 90</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100 x 100</w:t>
            </w:r>
          </w:p>
        </w:tc>
        <w:tc>
          <w:tcPr>
            <w:tcW w:w="1843" w:type="dxa"/>
            <w:tcBorders>
              <w:top w:val="double" w:sz="6" w:space="0" w:color="auto"/>
              <w:left w:val="nil"/>
              <w:bottom w:val="single" w:sz="6" w:space="0" w:color="auto"/>
              <w:right w:val="nil"/>
            </w:tcBorders>
            <w:hideMark/>
          </w:tcPr>
          <w:p w:rsidR="00216C9A" w:rsidRDefault="00216C9A">
            <w:pPr>
              <w:numPr>
                <w:ilvl w:val="12"/>
                <w:numId w:val="0"/>
              </w:numPr>
              <w:spacing w:before="60" w:line="276" w:lineRule="auto"/>
              <w:jc w:val="center"/>
              <w:rPr>
                <w:lang w:eastAsia="en-US"/>
              </w:rPr>
            </w:pPr>
            <w:r>
              <w:rPr>
                <w:lang w:eastAsia="en-US"/>
              </w:rPr>
              <w:t>od 4 do 5</w:t>
            </w:r>
          </w:p>
          <w:p w:rsidR="00216C9A" w:rsidRDefault="00216C9A">
            <w:pPr>
              <w:numPr>
                <w:ilvl w:val="12"/>
                <w:numId w:val="0"/>
              </w:numPr>
              <w:spacing w:line="276" w:lineRule="auto"/>
              <w:jc w:val="center"/>
              <w:rPr>
                <w:lang w:eastAsia="en-US"/>
              </w:rPr>
            </w:pPr>
            <w:r>
              <w:rPr>
                <w:lang w:eastAsia="en-US"/>
              </w:rPr>
              <w:t>od 4 do 5</w:t>
            </w:r>
          </w:p>
          <w:p w:rsidR="00216C9A" w:rsidRDefault="00216C9A">
            <w:pPr>
              <w:numPr>
                <w:ilvl w:val="12"/>
                <w:numId w:val="0"/>
              </w:numPr>
              <w:spacing w:line="276" w:lineRule="auto"/>
              <w:jc w:val="center"/>
              <w:rPr>
                <w:lang w:eastAsia="en-US"/>
              </w:rPr>
            </w:pPr>
            <w:r>
              <w:rPr>
                <w:lang w:eastAsia="en-US"/>
              </w:rPr>
              <w:t>od 4 do 6</w:t>
            </w:r>
          </w:p>
          <w:p w:rsidR="00216C9A" w:rsidRDefault="00216C9A">
            <w:pPr>
              <w:numPr>
                <w:ilvl w:val="12"/>
                <w:numId w:val="0"/>
              </w:numPr>
              <w:spacing w:line="276" w:lineRule="auto"/>
              <w:jc w:val="center"/>
              <w:rPr>
                <w:lang w:eastAsia="en-US"/>
              </w:rPr>
            </w:pPr>
            <w:r>
              <w:rPr>
                <w:lang w:eastAsia="en-US"/>
              </w:rPr>
              <w:t>od 5 do 8</w:t>
            </w:r>
          </w:p>
          <w:p w:rsidR="00216C9A" w:rsidRDefault="00216C9A">
            <w:pPr>
              <w:numPr>
                <w:ilvl w:val="12"/>
                <w:numId w:val="0"/>
              </w:numPr>
              <w:spacing w:line="276" w:lineRule="auto"/>
              <w:jc w:val="center"/>
              <w:rPr>
                <w:lang w:eastAsia="en-US"/>
              </w:rPr>
            </w:pPr>
            <w:r>
              <w:rPr>
                <w:lang w:eastAsia="en-US"/>
              </w:rPr>
              <w:t>od 6 do 9</w:t>
            </w:r>
          </w:p>
          <w:p w:rsidR="00216C9A" w:rsidRDefault="00216C9A">
            <w:pPr>
              <w:numPr>
                <w:ilvl w:val="12"/>
                <w:numId w:val="0"/>
              </w:numPr>
              <w:spacing w:line="276" w:lineRule="auto"/>
              <w:jc w:val="center"/>
              <w:rPr>
                <w:lang w:eastAsia="en-US"/>
              </w:rPr>
            </w:pPr>
            <w:r>
              <w:rPr>
                <w:lang w:eastAsia="en-US"/>
              </w:rPr>
              <w:t>od 5 do 9</w:t>
            </w:r>
          </w:p>
          <w:p w:rsidR="00216C9A" w:rsidRDefault="00216C9A">
            <w:pPr>
              <w:numPr>
                <w:ilvl w:val="12"/>
                <w:numId w:val="0"/>
              </w:numPr>
              <w:spacing w:line="276" w:lineRule="auto"/>
              <w:jc w:val="center"/>
              <w:rPr>
                <w:lang w:eastAsia="en-US"/>
              </w:rPr>
            </w:pPr>
            <w:r>
              <w:rPr>
                <w:lang w:eastAsia="en-US"/>
              </w:rPr>
              <w:t>od 6 do 10</w:t>
            </w:r>
          </w:p>
          <w:p w:rsidR="00216C9A" w:rsidRDefault="00216C9A">
            <w:pPr>
              <w:numPr>
                <w:ilvl w:val="12"/>
                <w:numId w:val="0"/>
              </w:numPr>
              <w:spacing w:line="276" w:lineRule="auto"/>
              <w:jc w:val="center"/>
              <w:rPr>
                <w:lang w:eastAsia="en-US"/>
              </w:rPr>
            </w:pPr>
            <w:r>
              <w:rPr>
                <w:lang w:eastAsia="en-US"/>
              </w:rPr>
              <w:t>od 6 do 11</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od 8 do 12</w:t>
            </w:r>
          </w:p>
        </w:tc>
        <w:tc>
          <w:tcPr>
            <w:tcW w:w="1985" w:type="dxa"/>
            <w:tcBorders>
              <w:top w:val="double" w:sz="6" w:space="0" w:color="auto"/>
              <w:left w:val="single" w:sz="6" w:space="0" w:color="auto"/>
              <w:bottom w:val="single" w:sz="6" w:space="0" w:color="auto"/>
              <w:right w:val="nil"/>
            </w:tcBorders>
            <w:hideMark/>
          </w:tcPr>
          <w:p w:rsidR="00216C9A" w:rsidRDefault="00216C9A">
            <w:pPr>
              <w:numPr>
                <w:ilvl w:val="12"/>
                <w:numId w:val="0"/>
              </w:numPr>
              <w:spacing w:before="60" w:line="276" w:lineRule="auto"/>
              <w:jc w:val="center"/>
              <w:rPr>
                <w:lang w:eastAsia="en-US"/>
              </w:rPr>
            </w:pPr>
            <w:r>
              <w:rPr>
                <w:lang w:eastAsia="en-US"/>
              </w:rPr>
              <w:t>od 2,42 do 2,97</w:t>
            </w:r>
          </w:p>
          <w:p w:rsidR="00216C9A" w:rsidRDefault="00216C9A">
            <w:pPr>
              <w:numPr>
                <w:ilvl w:val="12"/>
                <w:numId w:val="0"/>
              </w:numPr>
              <w:spacing w:line="276" w:lineRule="auto"/>
              <w:jc w:val="center"/>
              <w:rPr>
                <w:lang w:eastAsia="en-US"/>
              </w:rPr>
            </w:pPr>
            <w:r>
              <w:rPr>
                <w:lang w:eastAsia="en-US"/>
              </w:rPr>
              <w:t>od 2,74 do 3,38</w:t>
            </w:r>
          </w:p>
          <w:p w:rsidR="00216C9A" w:rsidRDefault="00216C9A">
            <w:pPr>
              <w:numPr>
                <w:ilvl w:val="12"/>
                <w:numId w:val="0"/>
              </w:numPr>
              <w:spacing w:line="276" w:lineRule="auto"/>
              <w:jc w:val="center"/>
              <w:rPr>
                <w:lang w:eastAsia="en-US"/>
              </w:rPr>
            </w:pPr>
            <w:r>
              <w:rPr>
                <w:lang w:eastAsia="en-US"/>
              </w:rPr>
              <w:t>od 3,06 do 4,47</w:t>
            </w:r>
          </w:p>
          <w:p w:rsidR="00216C9A" w:rsidRDefault="00216C9A">
            <w:pPr>
              <w:numPr>
                <w:ilvl w:val="12"/>
                <w:numId w:val="0"/>
              </w:numPr>
              <w:spacing w:line="276" w:lineRule="auto"/>
              <w:jc w:val="center"/>
              <w:rPr>
                <w:lang w:eastAsia="en-US"/>
              </w:rPr>
            </w:pPr>
            <w:r>
              <w:rPr>
                <w:lang w:eastAsia="en-US"/>
              </w:rPr>
              <w:t>od 4,57 do 7,09</w:t>
            </w:r>
          </w:p>
          <w:p w:rsidR="00216C9A" w:rsidRDefault="00216C9A">
            <w:pPr>
              <w:numPr>
                <w:ilvl w:val="12"/>
                <w:numId w:val="0"/>
              </w:numPr>
              <w:spacing w:line="276" w:lineRule="auto"/>
              <w:jc w:val="center"/>
              <w:rPr>
                <w:lang w:eastAsia="en-US"/>
              </w:rPr>
            </w:pPr>
            <w:r>
              <w:rPr>
                <w:lang w:eastAsia="en-US"/>
              </w:rPr>
              <w:t>od 5,91 do 8,62</w:t>
            </w:r>
          </w:p>
          <w:p w:rsidR="00216C9A" w:rsidRDefault="00216C9A">
            <w:pPr>
              <w:numPr>
                <w:ilvl w:val="12"/>
                <w:numId w:val="0"/>
              </w:numPr>
              <w:spacing w:line="276" w:lineRule="auto"/>
              <w:jc w:val="center"/>
              <w:rPr>
                <w:lang w:eastAsia="en-US"/>
              </w:rPr>
            </w:pPr>
            <w:r>
              <w:rPr>
                <w:lang w:eastAsia="en-US"/>
              </w:rPr>
              <w:t>od 5,76 do 10,00</w:t>
            </w:r>
          </w:p>
          <w:p w:rsidR="00216C9A" w:rsidRDefault="00216C9A">
            <w:pPr>
              <w:numPr>
                <w:ilvl w:val="12"/>
                <w:numId w:val="0"/>
              </w:numPr>
              <w:spacing w:line="276" w:lineRule="auto"/>
              <w:jc w:val="center"/>
              <w:rPr>
                <w:lang w:eastAsia="en-US"/>
              </w:rPr>
            </w:pPr>
            <w:r>
              <w:rPr>
                <w:lang w:eastAsia="en-US"/>
              </w:rPr>
              <w:t>od 7,34 do 11,90</w:t>
            </w:r>
          </w:p>
          <w:p w:rsidR="00216C9A" w:rsidRDefault="00216C9A">
            <w:pPr>
              <w:numPr>
                <w:ilvl w:val="12"/>
                <w:numId w:val="0"/>
              </w:numPr>
              <w:spacing w:line="276" w:lineRule="auto"/>
              <w:jc w:val="center"/>
              <w:rPr>
                <w:lang w:eastAsia="en-US"/>
              </w:rPr>
            </w:pPr>
            <w:r>
              <w:rPr>
                <w:lang w:eastAsia="en-US"/>
              </w:rPr>
              <w:t>od 8,30 do 14,70</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t>od 12,20 do 17,80</w:t>
            </w:r>
          </w:p>
        </w:tc>
        <w:tc>
          <w:tcPr>
            <w:tcW w:w="1241" w:type="dxa"/>
            <w:tcBorders>
              <w:top w:val="double" w:sz="6" w:space="0" w:color="auto"/>
              <w:left w:val="single" w:sz="6" w:space="0" w:color="auto"/>
              <w:bottom w:val="single" w:sz="6" w:space="0" w:color="auto"/>
              <w:right w:val="single" w:sz="6" w:space="0" w:color="auto"/>
            </w:tcBorders>
            <w:hideMark/>
          </w:tcPr>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1,5</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sym w:font="Symbol" w:char="F0B1"/>
            </w:r>
            <w:r>
              <w:rPr>
                <w:lang w:eastAsia="en-US"/>
              </w:rPr>
              <w:t xml:space="preserve"> 2</w:t>
            </w:r>
          </w:p>
        </w:tc>
        <w:tc>
          <w:tcPr>
            <w:tcW w:w="1241" w:type="dxa"/>
            <w:tcBorders>
              <w:top w:val="double" w:sz="6" w:space="0" w:color="auto"/>
              <w:left w:val="single" w:sz="6" w:space="0" w:color="auto"/>
              <w:bottom w:val="single" w:sz="6" w:space="0" w:color="auto"/>
              <w:right w:val="single" w:sz="6" w:space="0" w:color="auto"/>
            </w:tcBorders>
            <w:hideMark/>
          </w:tcPr>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0,4</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0,4</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0,5</w:t>
            </w:r>
          </w:p>
          <w:p w:rsidR="00216C9A" w:rsidRDefault="00216C9A">
            <w:pPr>
              <w:numPr>
                <w:ilvl w:val="12"/>
                <w:numId w:val="0"/>
              </w:numPr>
              <w:spacing w:line="276" w:lineRule="auto"/>
              <w:jc w:val="center"/>
              <w:rPr>
                <w:lang w:eastAsia="en-US"/>
              </w:rPr>
            </w:pPr>
            <w:r>
              <w:rPr>
                <w:lang w:eastAsia="en-US"/>
              </w:rPr>
              <w:sym w:font="Symbol" w:char="F0B1"/>
            </w:r>
            <w:r>
              <w:rPr>
                <w:lang w:eastAsia="en-US"/>
              </w:rPr>
              <w:t xml:space="preserve"> 0,5</w:t>
            </w:r>
          </w:p>
          <w:p w:rsidR="00216C9A" w:rsidRDefault="00216C9A">
            <w:pPr>
              <w:numPr>
                <w:ilvl w:val="12"/>
                <w:numId w:val="0"/>
              </w:numPr>
              <w:overflowPunct w:val="0"/>
              <w:autoSpaceDE w:val="0"/>
              <w:autoSpaceDN w:val="0"/>
              <w:adjustRightInd w:val="0"/>
              <w:spacing w:line="276" w:lineRule="auto"/>
              <w:jc w:val="center"/>
              <w:rPr>
                <w:lang w:eastAsia="en-US"/>
              </w:rPr>
            </w:pPr>
            <w:r>
              <w:rPr>
                <w:lang w:eastAsia="en-US"/>
              </w:rPr>
              <w:sym w:font="Symbol" w:char="F0B1"/>
            </w:r>
            <w:r>
              <w:rPr>
                <w:lang w:eastAsia="en-US"/>
              </w:rPr>
              <w:t xml:space="preserve"> 0,6</w:t>
            </w:r>
          </w:p>
        </w:tc>
      </w:tr>
    </w:tbl>
    <w:p w:rsidR="00216C9A" w:rsidRDefault="00216C9A" w:rsidP="00216C9A">
      <w:pPr>
        <w:numPr>
          <w:ilvl w:val="12"/>
          <w:numId w:val="0"/>
        </w:numPr>
      </w:pPr>
    </w:p>
    <w:p w:rsidR="00216C9A" w:rsidRDefault="00216C9A" w:rsidP="00216C9A">
      <w:pPr>
        <w:numPr>
          <w:ilvl w:val="12"/>
          <w:numId w:val="0"/>
        </w:numPr>
        <w:spacing w:before="120"/>
      </w:pPr>
      <w:r>
        <w:rPr>
          <w:b/>
        </w:rPr>
        <w:t xml:space="preserve">2.4.2. </w:t>
      </w:r>
      <w:r>
        <w:t>Rury</w:t>
      </w:r>
    </w:p>
    <w:p w:rsidR="00216C9A" w:rsidRDefault="00216C9A" w:rsidP="00216C9A">
      <w:pPr>
        <w:numPr>
          <w:ilvl w:val="12"/>
          <w:numId w:val="0"/>
        </w:numPr>
        <w:spacing w:before="120"/>
      </w:pPr>
      <w:r>
        <w:tab/>
        <w:t>Rury powinny odpowiadać wymaganiom PN-H-74219 [9], PN-H-74220 [10] lub innej normy zaakceptowanej przez Inżyniera.</w:t>
      </w:r>
    </w:p>
    <w:p w:rsidR="00216C9A" w:rsidRDefault="00216C9A" w:rsidP="00216C9A">
      <w:pPr>
        <w:numPr>
          <w:ilvl w:val="12"/>
          <w:numId w:val="0"/>
        </w:numPr>
      </w:pPr>
      <w: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16C9A" w:rsidRDefault="00216C9A" w:rsidP="00216C9A">
      <w:pPr>
        <w:numPr>
          <w:ilvl w:val="12"/>
          <w:numId w:val="0"/>
        </w:numPr>
      </w:pPr>
      <w:r>
        <w:tab/>
        <w:t>Końce rur powinny być obcięte równo i prostopadle do osi rury.</w:t>
      </w:r>
    </w:p>
    <w:p w:rsidR="00216C9A" w:rsidRDefault="00216C9A" w:rsidP="00216C9A">
      <w:pPr>
        <w:numPr>
          <w:ilvl w:val="12"/>
          <w:numId w:val="0"/>
        </w:numPr>
      </w:pPr>
      <w:r>
        <w:tab/>
        <w:t>Pożądane jest, aby rury były dostarczane o długościach:</w:t>
      </w:r>
    </w:p>
    <w:p w:rsidR="00216C9A" w:rsidRDefault="00216C9A" w:rsidP="00216C9A">
      <w:pPr>
        <w:numPr>
          <w:ilvl w:val="0"/>
          <w:numId w:val="191"/>
        </w:numPr>
        <w:overflowPunct w:val="0"/>
        <w:autoSpaceDE w:val="0"/>
        <w:autoSpaceDN w:val="0"/>
        <w:adjustRightInd w:val="0"/>
        <w:jc w:val="both"/>
      </w:pPr>
      <w:r>
        <w:t xml:space="preserve">dokładnych, zgodnych z zamówieniem; z dopuszczalną odchyłką </w:t>
      </w:r>
      <w:r>
        <w:sym w:font="Symbol" w:char="F0B1"/>
      </w:r>
      <w:r>
        <w:t xml:space="preserve"> 10 mm,</w:t>
      </w:r>
    </w:p>
    <w:p w:rsidR="00216C9A" w:rsidRDefault="00216C9A" w:rsidP="00216C9A">
      <w:pPr>
        <w:numPr>
          <w:ilvl w:val="0"/>
          <w:numId w:val="191"/>
        </w:numPr>
        <w:overflowPunct w:val="0"/>
        <w:autoSpaceDE w:val="0"/>
        <w:autoSpaceDN w:val="0"/>
        <w:adjustRightInd w:val="0"/>
        <w:jc w:val="both"/>
      </w:pPr>
      <w:r>
        <w:t>wielokrotnych w stosunku do zamówionych długości dokładnych poniżej 3 m z naddatkiem 5 mm na każde cięcie i z dopuszczalną odchyłką dla całej długości wielokrotnej, jak dla długości dokładnych.</w:t>
      </w:r>
    </w:p>
    <w:p w:rsidR="00216C9A" w:rsidRDefault="00216C9A" w:rsidP="00216C9A">
      <w:r>
        <w:tab/>
        <w:t>Rury powinny być proste. Dopuszczalna miejscowa krzywizna nie powinna przekraczać 1,5 mm na 1 m długości rury.</w:t>
      </w:r>
    </w:p>
    <w:p w:rsidR="00216C9A" w:rsidRDefault="00216C9A" w:rsidP="00216C9A">
      <w:r>
        <w:tab/>
        <w:t>Rury powinny być wykonane ze stali w gatunkach dopuszczonych przez normy (np. R 55, R 65, 18G2A): PN-H-84023-07 [15], PN-H-84018 [12], PN-H-84019 [13], PN-H-84030-02 [16] lub inne normy.</w:t>
      </w:r>
    </w:p>
    <w:p w:rsidR="00216C9A" w:rsidRDefault="00216C9A" w:rsidP="00216C9A">
      <w:r>
        <w:tab/>
        <w:t>Do ocynkowania rur stosuje się gatunek cynku Raf według PN-H-82200 [11].</w:t>
      </w:r>
    </w:p>
    <w:p w:rsidR="00216C9A" w:rsidRDefault="00216C9A" w:rsidP="00216C9A">
      <w:r>
        <w:tab/>
        <w:t>Rury powinny być dostarczone bez opakowania w wiązkach lub luzem względnie w opakowaniu uzgodnionym 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znak wytwórcy, znak stali i numer wytopu.</w:t>
      </w:r>
    </w:p>
    <w:p w:rsidR="00216C9A" w:rsidRDefault="00216C9A" w:rsidP="00216C9A">
      <w:pPr>
        <w:spacing w:before="120"/>
      </w:pPr>
      <w:r>
        <w:rPr>
          <w:b/>
        </w:rPr>
        <w:t xml:space="preserve">2.4.3. </w:t>
      </w:r>
      <w:r>
        <w:t>Kształtowniki</w:t>
      </w:r>
    </w:p>
    <w:p w:rsidR="00216C9A" w:rsidRDefault="00216C9A" w:rsidP="00216C9A">
      <w:pPr>
        <w:spacing w:before="120"/>
      </w:pPr>
      <w:r>
        <w:lastRenderedPageBreak/>
        <w:tab/>
        <w:t>Kształtowniki powinny odpowiadać wymaganiom PN-H-93010 [17].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16C9A" w:rsidRDefault="00216C9A" w:rsidP="00216C9A">
      <w:r>
        <w:tab/>
        <w:t>Kształtowniki powinny być obcięte prostopadle do osi wzdłużnej kształtownika. Powierzchnia końców kształtownika nie powinna wykazywać rzadzizn, rozwarstwień, pęknięć i śladów jamy skurczowej widocznych nie uzbrojonym okiem.</w:t>
      </w:r>
    </w:p>
    <w:p w:rsidR="00216C9A" w:rsidRDefault="00216C9A" w:rsidP="00216C9A">
      <w:r>
        <w:tab/>
        <w:t>Kształtowniki powinny być ze stali St3W lub St4W oraz mieć własności mechaniczne według PN-H-84020 [14] - tablica 3 lub innej uzgodnionej stali i normy pomiędzy Zamawiającym i wytwórcą.</w:t>
      </w:r>
    </w:p>
    <w:p w:rsidR="00216C9A" w:rsidRDefault="00216C9A" w:rsidP="00216C9A">
      <w:r>
        <w:tab/>
        <w:t>Kształtowniki mogą być dostarczone luzem lub w wiązkach z tym, że kształtowniki o masie do 25 kg/m dostarcza się tylko w wiązkach.</w:t>
      </w:r>
    </w:p>
    <w:p w:rsidR="00216C9A" w:rsidRDefault="00216C9A" w:rsidP="00216C9A"/>
    <w:p w:rsidR="00216C9A" w:rsidRDefault="00216C9A" w:rsidP="00216C9A"/>
    <w:p w:rsidR="00216C9A" w:rsidRDefault="00216C9A" w:rsidP="00216C9A">
      <w:pPr>
        <w:spacing w:after="120"/>
      </w:pPr>
      <w:r>
        <w:t>Tablica 3. Podstawowe własności kształtowników według PN-H-84020 [14]</w:t>
      </w:r>
    </w:p>
    <w:tbl>
      <w:tblPr>
        <w:tblW w:w="0" w:type="auto"/>
        <w:tblLayout w:type="fixed"/>
        <w:tblCellMar>
          <w:left w:w="70" w:type="dxa"/>
          <w:right w:w="70" w:type="dxa"/>
        </w:tblCellMar>
        <w:tblLook w:val="04A0" w:firstRow="1" w:lastRow="0" w:firstColumn="1" w:lastColumn="0" w:noHBand="0" w:noVBand="1"/>
      </w:tblPr>
      <w:tblGrid>
        <w:gridCol w:w="637"/>
        <w:gridCol w:w="851"/>
        <w:gridCol w:w="850"/>
        <w:gridCol w:w="851"/>
        <w:gridCol w:w="850"/>
        <w:gridCol w:w="851"/>
        <w:gridCol w:w="850"/>
        <w:gridCol w:w="884"/>
        <w:gridCol w:w="885"/>
      </w:tblGrid>
      <w:tr w:rsidR="00216C9A" w:rsidTr="00216C9A">
        <w:tc>
          <w:tcPr>
            <w:tcW w:w="637" w:type="dxa"/>
            <w:tcBorders>
              <w:top w:val="single" w:sz="6" w:space="0" w:color="auto"/>
              <w:left w:val="single" w:sz="6" w:space="0" w:color="auto"/>
              <w:bottom w:val="nil"/>
              <w:right w:val="nil"/>
            </w:tcBorders>
          </w:tcPr>
          <w:p w:rsidR="00216C9A" w:rsidRDefault="00216C9A">
            <w:pPr>
              <w:spacing w:line="276" w:lineRule="auto"/>
              <w:jc w:val="center"/>
              <w:rPr>
                <w:lang w:eastAsia="en-US"/>
              </w:rPr>
            </w:pP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Stal</w:t>
            </w:r>
          </w:p>
        </w:tc>
        <w:tc>
          <w:tcPr>
            <w:tcW w:w="5103" w:type="dxa"/>
            <w:gridSpan w:val="6"/>
            <w:tcBorders>
              <w:top w:val="single" w:sz="6" w:space="0" w:color="auto"/>
              <w:left w:val="single" w:sz="6" w:space="0" w:color="auto"/>
              <w:bottom w:val="single" w:sz="6" w:space="0" w:color="auto"/>
              <w:right w:val="single" w:sz="6" w:space="0" w:color="auto"/>
            </w:tcBorders>
            <w:hideMark/>
          </w:tcPr>
          <w:p w:rsidR="00216C9A" w:rsidRDefault="00216C9A">
            <w:pPr>
              <w:overflowPunct w:val="0"/>
              <w:autoSpaceDE w:val="0"/>
              <w:autoSpaceDN w:val="0"/>
              <w:adjustRightInd w:val="0"/>
              <w:spacing w:before="120" w:line="276" w:lineRule="auto"/>
              <w:jc w:val="center"/>
              <w:rPr>
                <w:lang w:eastAsia="en-US"/>
              </w:rPr>
            </w:pPr>
            <w:r>
              <w:rPr>
                <w:lang w:eastAsia="en-US"/>
              </w:rPr>
              <w:t xml:space="preserve">Granica plastyczności, </w:t>
            </w:r>
            <w:proofErr w:type="spellStart"/>
            <w:r>
              <w:rPr>
                <w:lang w:eastAsia="en-US"/>
              </w:rPr>
              <w:t>MPa</w:t>
            </w:r>
            <w:proofErr w:type="spellEnd"/>
            <w:r>
              <w:rPr>
                <w:lang w:eastAsia="en-US"/>
              </w:rPr>
              <w:t>, minimum dla wyrobów                      o grubości lub średnicy, w mm</w:t>
            </w:r>
          </w:p>
        </w:tc>
        <w:tc>
          <w:tcPr>
            <w:tcW w:w="1769" w:type="dxa"/>
            <w:gridSpan w:val="2"/>
            <w:tcBorders>
              <w:top w:val="single" w:sz="6" w:space="0" w:color="auto"/>
              <w:left w:val="single" w:sz="6" w:space="0" w:color="auto"/>
              <w:bottom w:val="single" w:sz="6" w:space="0" w:color="auto"/>
              <w:right w:val="single" w:sz="6" w:space="0" w:color="auto"/>
            </w:tcBorders>
            <w:hideMark/>
          </w:tcPr>
          <w:p w:rsidR="00216C9A" w:rsidRDefault="00216C9A">
            <w:pPr>
              <w:overflowPunct w:val="0"/>
              <w:autoSpaceDE w:val="0"/>
              <w:autoSpaceDN w:val="0"/>
              <w:adjustRightInd w:val="0"/>
              <w:spacing w:line="276" w:lineRule="auto"/>
              <w:jc w:val="center"/>
              <w:rPr>
                <w:lang w:eastAsia="en-US"/>
              </w:rPr>
            </w:pPr>
            <w:r>
              <w:rPr>
                <w:sz w:val="16"/>
                <w:lang w:eastAsia="en-US"/>
              </w:rPr>
              <w:t xml:space="preserve">Wytrzymałość na </w:t>
            </w:r>
            <w:proofErr w:type="spellStart"/>
            <w:r>
              <w:rPr>
                <w:sz w:val="16"/>
                <w:lang w:eastAsia="en-US"/>
              </w:rPr>
              <w:t>roz</w:t>
            </w:r>
            <w:proofErr w:type="spellEnd"/>
            <w:r>
              <w:rPr>
                <w:sz w:val="16"/>
                <w:lang w:eastAsia="en-US"/>
              </w:rPr>
              <w:t xml:space="preserve">-  ciąganie, </w:t>
            </w:r>
            <w:proofErr w:type="spellStart"/>
            <w:r>
              <w:rPr>
                <w:sz w:val="16"/>
                <w:lang w:eastAsia="en-US"/>
              </w:rPr>
              <w:t>MPa</w:t>
            </w:r>
            <w:proofErr w:type="spellEnd"/>
            <w:r>
              <w:rPr>
                <w:sz w:val="16"/>
                <w:lang w:eastAsia="en-US"/>
              </w:rPr>
              <w:t xml:space="preserve">, dla wy- </w:t>
            </w:r>
            <w:proofErr w:type="spellStart"/>
            <w:r>
              <w:rPr>
                <w:sz w:val="16"/>
                <w:lang w:eastAsia="en-US"/>
              </w:rPr>
              <w:t>robów</w:t>
            </w:r>
            <w:proofErr w:type="spellEnd"/>
            <w:r>
              <w:rPr>
                <w:sz w:val="16"/>
                <w:lang w:eastAsia="en-US"/>
              </w:rPr>
              <w:t xml:space="preserve"> o grub. lub </w:t>
            </w:r>
            <w:proofErr w:type="spellStart"/>
            <w:r>
              <w:rPr>
                <w:sz w:val="16"/>
                <w:lang w:eastAsia="en-US"/>
              </w:rPr>
              <w:t>śred</w:t>
            </w:r>
            <w:proofErr w:type="spellEnd"/>
            <w:r>
              <w:rPr>
                <w:sz w:val="16"/>
                <w:lang w:eastAsia="en-US"/>
              </w:rPr>
              <w:t>.  w mm</w:t>
            </w:r>
          </w:p>
        </w:tc>
      </w:tr>
      <w:tr w:rsidR="00216C9A" w:rsidTr="00216C9A">
        <w:tc>
          <w:tcPr>
            <w:tcW w:w="637" w:type="dxa"/>
            <w:tcBorders>
              <w:top w:val="nil"/>
              <w:left w:val="single" w:sz="6" w:space="0" w:color="auto"/>
              <w:bottom w:val="double" w:sz="6" w:space="0" w:color="auto"/>
              <w:right w:val="nil"/>
            </w:tcBorders>
          </w:tcPr>
          <w:p w:rsidR="00216C9A" w:rsidRDefault="00216C9A">
            <w:pPr>
              <w:overflowPunct w:val="0"/>
              <w:autoSpaceDE w:val="0"/>
              <w:autoSpaceDN w:val="0"/>
              <w:adjustRightInd w:val="0"/>
              <w:spacing w:line="276" w:lineRule="auto"/>
              <w:jc w:val="both"/>
              <w:rPr>
                <w:lang w:eastAsia="en-US"/>
              </w:rPr>
            </w:pPr>
          </w:p>
        </w:tc>
        <w:tc>
          <w:tcPr>
            <w:tcW w:w="851" w:type="dxa"/>
            <w:tcBorders>
              <w:top w:val="single" w:sz="6" w:space="0" w:color="auto"/>
              <w:left w:val="single" w:sz="6" w:space="0" w:color="auto"/>
              <w:bottom w:val="double" w:sz="6" w:space="0" w:color="auto"/>
              <w:right w:val="single" w:sz="6" w:space="0" w:color="auto"/>
            </w:tcBorders>
            <w:hideMark/>
          </w:tcPr>
          <w:p w:rsidR="00216C9A" w:rsidRDefault="00216C9A">
            <w:pPr>
              <w:overflowPunct w:val="0"/>
              <w:autoSpaceDE w:val="0"/>
              <w:autoSpaceDN w:val="0"/>
              <w:adjustRightInd w:val="0"/>
              <w:spacing w:before="120" w:line="276" w:lineRule="auto"/>
              <w:jc w:val="center"/>
              <w:rPr>
                <w:lang w:eastAsia="en-US"/>
              </w:rPr>
            </w:pPr>
            <w:r>
              <w:rPr>
                <w:lang w:eastAsia="en-US"/>
              </w:rPr>
              <w:t>do 40</w:t>
            </w:r>
          </w:p>
        </w:tc>
        <w:tc>
          <w:tcPr>
            <w:tcW w:w="850" w:type="dxa"/>
            <w:tcBorders>
              <w:top w:val="single" w:sz="6" w:space="0" w:color="auto"/>
              <w:left w:val="single" w:sz="6" w:space="0" w:color="auto"/>
              <w:bottom w:val="double" w:sz="6" w:space="0" w:color="auto"/>
              <w:right w:val="single" w:sz="6" w:space="0" w:color="auto"/>
            </w:tcBorders>
            <w:hideMark/>
          </w:tcPr>
          <w:p w:rsidR="00216C9A" w:rsidRDefault="00216C9A">
            <w:pPr>
              <w:spacing w:line="276" w:lineRule="auto"/>
              <w:jc w:val="center"/>
              <w:rPr>
                <w:lang w:eastAsia="en-US"/>
              </w:rPr>
            </w:pPr>
            <w:r>
              <w:rPr>
                <w:lang w:eastAsia="en-US"/>
              </w:rPr>
              <w:t xml:space="preserve">od 40 </w:t>
            </w:r>
          </w:p>
          <w:p w:rsidR="00216C9A" w:rsidRDefault="00216C9A">
            <w:pPr>
              <w:overflowPunct w:val="0"/>
              <w:autoSpaceDE w:val="0"/>
              <w:autoSpaceDN w:val="0"/>
              <w:adjustRightInd w:val="0"/>
              <w:spacing w:line="276" w:lineRule="auto"/>
              <w:jc w:val="center"/>
              <w:rPr>
                <w:lang w:eastAsia="en-US"/>
              </w:rPr>
            </w:pPr>
            <w:r>
              <w:rPr>
                <w:lang w:eastAsia="en-US"/>
              </w:rPr>
              <w:t>do 65</w:t>
            </w:r>
          </w:p>
        </w:tc>
        <w:tc>
          <w:tcPr>
            <w:tcW w:w="851" w:type="dxa"/>
            <w:tcBorders>
              <w:top w:val="single" w:sz="6" w:space="0" w:color="auto"/>
              <w:left w:val="single" w:sz="6" w:space="0" w:color="auto"/>
              <w:bottom w:val="double" w:sz="6" w:space="0" w:color="auto"/>
              <w:right w:val="single" w:sz="6" w:space="0" w:color="auto"/>
            </w:tcBorders>
            <w:hideMark/>
          </w:tcPr>
          <w:p w:rsidR="00216C9A" w:rsidRDefault="00216C9A">
            <w:pPr>
              <w:spacing w:line="276" w:lineRule="auto"/>
              <w:jc w:val="center"/>
              <w:rPr>
                <w:lang w:eastAsia="en-US"/>
              </w:rPr>
            </w:pPr>
            <w:r>
              <w:rPr>
                <w:lang w:eastAsia="en-US"/>
              </w:rPr>
              <w:t xml:space="preserve">od 65 </w:t>
            </w:r>
          </w:p>
          <w:p w:rsidR="00216C9A" w:rsidRDefault="00216C9A">
            <w:pPr>
              <w:overflowPunct w:val="0"/>
              <w:autoSpaceDE w:val="0"/>
              <w:autoSpaceDN w:val="0"/>
              <w:adjustRightInd w:val="0"/>
              <w:spacing w:line="276" w:lineRule="auto"/>
              <w:jc w:val="center"/>
              <w:rPr>
                <w:lang w:eastAsia="en-US"/>
              </w:rPr>
            </w:pPr>
            <w:r>
              <w:rPr>
                <w:lang w:eastAsia="en-US"/>
              </w:rPr>
              <w:t>do 80</w:t>
            </w:r>
          </w:p>
        </w:tc>
        <w:tc>
          <w:tcPr>
            <w:tcW w:w="850" w:type="dxa"/>
            <w:tcBorders>
              <w:top w:val="single" w:sz="6" w:space="0" w:color="auto"/>
              <w:left w:val="single" w:sz="6" w:space="0" w:color="auto"/>
              <w:bottom w:val="double" w:sz="6" w:space="0" w:color="auto"/>
              <w:right w:val="single" w:sz="6" w:space="0" w:color="auto"/>
            </w:tcBorders>
            <w:hideMark/>
          </w:tcPr>
          <w:p w:rsidR="00216C9A" w:rsidRDefault="00216C9A">
            <w:pPr>
              <w:spacing w:line="276" w:lineRule="auto"/>
              <w:jc w:val="center"/>
              <w:rPr>
                <w:lang w:eastAsia="en-US"/>
              </w:rPr>
            </w:pPr>
            <w:r>
              <w:rPr>
                <w:lang w:eastAsia="en-US"/>
              </w:rPr>
              <w:t>od 80</w:t>
            </w:r>
          </w:p>
          <w:p w:rsidR="00216C9A" w:rsidRDefault="00216C9A">
            <w:pPr>
              <w:overflowPunct w:val="0"/>
              <w:autoSpaceDE w:val="0"/>
              <w:autoSpaceDN w:val="0"/>
              <w:adjustRightInd w:val="0"/>
              <w:spacing w:line="276" w:lineRule="auto"/>
              <w:jc w:val="center"/>
              <w:rPr>
                <w:lang w:eastAsia="en-US"/>
              </w:rPr>
            </w:pPr>
            <w:r>
              <w:rPr>
                <w:lang w:eastAsia="en-US"/>
              </w:rPr>
              <w:t>do 100</w:t>
            </w:r>
          </w:p>
        </w:tc>
        <w:tc>
          <w:tcPr>
            <w:tcW w:w="851" w:type="dxa"/>
            <w:tcBorders>
              <w:top w:val="single" w:sz="6" w:space="0" w:color="auto"/>
              <w:left w:val="single" w:sz="6" w:space="0" w:color="auto"/>
              <w:bottom w:val="double" w:sz="6" w:space="0" w:color="auto"/>
              <w:right w:val="single" w:sz="6" w:space="0" w:color="auto"/>
            </w:tcBorders>
            <w:hideMark/>
          </w:tcPr>
          <w:p w:rsidR="00216C9A" w:rsidRDefault="00216C9A">
            <w:pPr>
              <w:spacing w:line="276" w:lineRule="auto"/>
              <w:jc w:val="center"/>
              <w:rPr>
                <w:lang w:eastAsia="en-US"/>
              </w:rPr>
            </w:pPr>
            <w:r>
              <w:rPr>
                <w:lang w:eastAsia="en-US"/>
              </w:rPr>
              <w:t>od 100</w:t>
            </w:r>
          </w:p>
          <w:p w:rsidR="00216C9A" w:rsidRDefault="00216C9A">
            <w:pPr>
              <w:overflowPunct w:val="0"/>
              <w:autoSpaceDE w:val="0"/>
              <w:autoSpaceDN w:val="0"/>
              <w:adjustRightInd w:val="0"/>
              <w:spacing w:line="276" w:lineRule="auto"/>
              <w:jc w:val="center"/>
              <w:rPr>
                <w:lang w:eastAsia="en-US"/>
              </w:rPr>
            </w:pPr>
            <w:r>
              <w:rPr>
                <w:lang w:eastAsia="en-US"/>
              </w:rPr>
              <w:t>do 150</w:t>
            </w:r>
          </w:p>
        </w:tc>
        <w:tc>
          <w:tcPr>
            <w:tcW w:w="850" w:type="dxa"/>
            <w:tcBorders>
              <w:top w:val="single" w:sz="6" w:space="0" w:color="auto"/>
              <w:left w:val="single" w:sz="6" w:space="0" w:color="auto"/>
              <w:bottom w:val="double" w:sz="6" w:space="0" w:color="auto"/>
              <w:right w:val="single" w:sz="6" w:space="0" w:color="auto"/>
            </w:tcBorders>
            <w:hideMark/>
          </w:tcPr>
          <w:p w:rsidR="00216C9A" w:rsidRDefault="00216C9A">
            <w:pPr>
              <w:spacing w:line="276" w:lineRule="auto"/>
              <w:jc w:val="center"/>
              <w:rPr>
                <w:lang w:eastAsia="en-US"/>
              </w:rPr>
            </w:pPr>
            <w:r>
              <w:rPr>
                <w:lang w:eastAsia="en-US"/>
              </w:rPr>
              <w:t>od 150</w:t>
            </w:r>
          </w:p>
          <w:p w:rsidR="00216C9A" w:rsidRDefault="00216C9A">
            <w:pPr>
              <w:overflowPunct w:val="0"/>
              <w:autoSpaceDE w:val="0"/>
              <w:autoSpaceDN w:val="0"/>
              <w:adjustRightInd w:val="0"/>
              <w:spacing w:line="276" w:lineRule="auto"/>
              <w:jc w:val="center"/>
              <w:rPr>
                <w:lang w:eastAsia="en-US"/>
              </w:rPr>
            </w:pPr>
            <w:r>
              <w:rPr>
                <w:lang w:eastAsia="en-US"/>
              </w:rPr>
              <w:t>do 200</w:t>
            </w:r>
          </w:p>
        </w:tc>
        <w:tc>
          <w:tcPr>
            <w:tcW w:w="884" w:type="dxa"/>
            <w:tcBorders>
              <w:top w:val="single" w:sz="6" w:space="0" w:color="auto"/>
              <w:left w:val="single" w:sz="6" w:space="0" w:color="auto"/>
              <w:bottom w:val="double" w:sz="6" w:space="0" w:color="auto"/>
              <w:right w:val="single" w:sz="6" w:space="0" w:color="auto"/>
            </w:tcBorders>
            <w:hideMark/>
          </w:tcPr>
          <w:p w:rsidR="00216C9A" w:rsidRDefault="00216C9A">
            <w:pPr>
              <w:overflowPunct w:val="0"/>
              <w:autoSpaceDE w:val="0"/>
              <w:autoSpaceDN w:val="0"/>
              <w:adjustRightInd w:val="0"/>
              <w:spacing w:before="120" w:line="276" w:lineRule="auto"/>
              <w:jc w:val="center"/>
              <w:rPr>
                <w:lang w:eastAsia="en-US"/>
              </w:rPr>
            </w:pPr>
            <w:r>
              <w:rPr>
                <w:lang w:eastAsia="en-US"/>
              </w:rPr>
              <w:t>do 100</w:t>
            </w:r>
          </w:p>
        </w:tc>
        <w:tc>
          <w:tcPr>
            <w:tcW w:w="885" w:type="dxa"/>
            <w:tcBorders>
              <w:top w:val="single" w:sz="6" w:space="0" w:color="auto"/>
              <w:left w:val="single" w:sz="6" w:space="0" w:color="auto"/>
              <w:bottom w:val="double" w:sz="6" w:space="0" w:color="auto"/>
              <w:right w:val="single" w:sz="6" w:space="0" w:color="auto"/>
            </w:tcBorders>
            <w:hideMark/>
          </w:tcPr>
          <w:p w:rsidR="00216C9A" w:rsidRDefault="00216C9A">
            <w:pPr>
              <w:spacing w:line="276" w:lineRule="auto"/>
              <w:jc w:val="center"/>
              <w:rPr>
                <w:lang w:eastAsia="en-US"/>
              </w:rPr>
            </w:pPr>
            <w:r>
              <w:rPr>
                <w:lang w:eastAsia="en-US"/>
              </w:rPr>
              <w:t>od 100</w:t>
            </w:r>
          </w:p>
          <w:p w:rsidR="00216C9A" w:rsidRDefault="00216C9A">
            <w:pPr>
              <w:overflowPunct w:val="0"/>
              <w:autoSpaceDE w:val="0"/>
              <w:autoSpaceDN w:val="0"/>
              <w:adjustRightInd w:val="0"/>
              <w:spacing w:line="276" w:lineRule="auto"/>
              <w:jc w:val="center"/>
              <w:rPr>
                <w:lang w:eastAsia="en-US"/>
              </w:rPr>
            </w:pPr>
            <w:r>
              <w:rPr>
                <w:lang w:eastAsia="en-US"/>
              </w:rPr>
              <w:t>do 200</w:t>
            </w:r>
          </w:p>
        </w:tc>
      </w:tr>
      <w:tr w:rsidR="00216C9A" w:rsidTr="00216C9A">
        <w:tc>
          <w:tcPr>
            <w:tcW w:w="637" w:type="dxa"/>
            <w:tcBorders>
              <w:top w:val="nil"/>
              <w:left w:val="single" w:sz="6" w:space="0" w:color="auto"/>
              <w:bottom w:val="single" w:sz="6" w:space="0" w:color="auto"/>
              <w:right w:val="nil"/>
            </w:tcBorders>
          </w:tcPr>
          <w:p w:rsidR="00216C9A" w:rsidRDefault="00216C9A">
            <w:pPr>
              <w:spacing w:line="276" w:lineRule="auto"/>
              <w:jc w:val="center"/>
              <w:rPr>
                <w:lang w:eastAsia="en-US"/>
              </w:rPr>
            </w:pPr>
            <w:r>
              <w:rPr>
                <w:lang w:eastAsia="en-US"/>
              </w:rPr>
              <w:t>St3W</w:t>
            </w: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St4W</w:t>
            </w:r>
          </w:p>
        </w:tc>
        <w:tc>
          <w:tcPr>
            <w:tcW w:w="851" w:type="dxa"/>
            <w:tcBorders>
              <w:top w:val="nil"/>
              <w:left w:val="single" w:sz="6" w:space="0" w:color="auto"/>
              <w:bottom w:val="single" w:sz="6" w:space="0" w:color="auto"/>
              <w:right w:val="single" w:sz="6" w:space="0" w:color="auto"/>
            </w:tcBorders>
          </w:tcPr>
          <w:p w:rsidR="00216C9A" w:rsidRDefault="00216C9A">
            <w:pPr>
              <w:spacing w:line="276" w:lineRule="auto"/>
              <w:jc w:val="center"/>
              <w:rPr>
                <w:lang w:eastAsia="en-US"/>
              </w:rPr>
            </w:pPr>
            <w:r>
              <w:rPr>
                <w:lang w:eastAsia="en-US"/>
              </w:rPr>
              <w:t>225</w:t>
            </w: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265</w:t>
            </w:r>
          </w:p>
        </w:tc>
        <w:tc>
          <w:tcPr>
            <w:tcW w:w="850" w:type="dxa"/>
            <w:tcBorders>
              <w:top w:val="nil"/>
              <w:left w:val="single" w:sz="6" w:space="0" w:color="auto"/>
              <w:bottom w:val="single" w:sz="6" w:space="0" w:color="auto"/>
              <w:right w:val="single" w:sz="6" w:space="0" w:color="auto"/>
            </w:tcBorders>
          </w:tcPr>
          <w:p w:rsidR="00216C9A" w:rsidRDefault="00216C9A">
            <w:pPr>
              <w:spacing w:line="276" w:lineRule="auto"/>
              <w:jc w:val="center"/>
              <w:rPr>
                <w:lang w:eastAsia="en-US"/>
              </w:rPr>
            </w:pPr>
            <w:r>
              <w:rPr>
                <w:lang w:eastAsia="en-US"/>
              </w:rPr>
              <w:t>215</w:t>
            </w: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255</w:t>
            </w:r>
          </w:p>
        </w:tc>
        <w:tc>
          <w:tcPr>
            <w:tcW w:w="851" w:type="dxa"/>
            <w:tcBorders>
              <w:top w:val="nil"/>
              <w:left w:val="single" w:sz="6" w:space="0" w:color="auto"/>
              <w:bottom w:val="single" w:sz="6" w:space="0" w:color="auto"/>
              <w:right w:val="single" w:sz="6" w:space="0" w:color="auto"/>
            </w:tcBorders>
          </w:tcPr>
          <w:p w:rsidR="00216C9A" w:rsidRDefault="00216C9A">
            <w:pPr>
              <w:spacing w:line="276" w:lineRule="auto"/>
              <w:jc w:val="center"/>
              <w:rPr>
                <w:lang w:eastAsia="en-US"/>
              </w:rPr>
            </w:pPr>
            <w:r>
              <w:rPr>
                <w:lang w:eastAsia="en-US"/>
              </w:rPr>
              <w:t>205</w:t>
            </w: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245</w:t>
            </w:r>
          </w:p>
        </w:tc>
        <w:tc>
          <w:tcPr>
            <w:tcW w:w="850" w:type="dxa"/>
            <w:tcBorders>
              <w:top w:val="nil"/>
              <w:left w:val="single" w:sz="6" w:space="0" w:color="auto"/>
              <w:bottom w:val="single" w:sz="6" w:space="0" w:color="auto"/>
              <w:right w:val="single" w:sz="6" w:space="0" w:color="auto"/>
            </w:tcBorders>
          </w:tcPr>
          <w:p w:rsidR="00216C9A" w:rsidRDefault="00216C9A">
            <w:pPr>
              <w:spacing w:line="276" w:lineRule="auto"/>
              <w:jc w:val="center"/>
              <w:rPr>
                <w:lang w:eastAsia="en-US"/>
              </w:rPr>
            </w:pPr>
            <w:r>
              <w:rPr>
                <w:lang w:eastAsia="en-US"/>
              </w:rPr>
              <w:t>205</w:t>
            </w: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235</w:t>
            </w:r>
          </w:p>
        </w:tc>
        <w:tc>
          <w:tcPr>
            <w:tcW w:w="851" w:type="dxa"/>
            <w:tcBorders>
              <w:top w:val="nil"/>
              <w:left w:val="single" w:sz="6" w:space="0" w:color="auto"/>
              <w:bottom w:val="single" w:sz="6" w:space="0" w:color="auto"/>
              <w:right w:val="single" w:sz="6" w:space="0" w:color="auto"/>
            </w:tcBorders>
          </w:tcPr>
          <w:p w:rsidR="00216C9A" w:rsidRDefault="00216C9A">
            <w:pPr>
              <w:spacing w:line="276" w:lineRule="auto"/>
              <w:jc w:val="center"/>
              <w:rPr>
                <w:lang w:eastAsia="en-US"/>
              </w:rPr>
            </w:pPr>
            <w:r>
              <w:rPr>
                <w:lang w:eastAsia="en-US"/>
              </w:rPr>
              <w:t>195</w:t>
            </w: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225</w:t>
            </w:r>
          </w:p>
        </w:tc>
        <w:tc>
          <w:tcPr>
            <w:tcW w:w="850" w:type="dxa"/>
            <w:tcBorders>
              <w:top w:val="nil"/>
              <w:left w:val="single" w:sz="6" w:space="0" w:color="auto"/>
              <w:bottom w:val="single" w:sz="6" w:space="0" w:color="auto"/>
              <w:right w:val="single" w:sz="6" w:space="0" w:color="auto"/>
            </w:tcBorders>
          </w:tcPr>
          <w:p w:rsidR="00216C9A" w:rsidRDefault="00216C9A">
            <w:pPr>
              <w:spacing w:line="276" w:lineRule="auto"/>
              <w:jc w:val="center"/>
              <w:rPr>
                <w:lang w:eastAsia="en-US"/>
              </w:rPr>
            </w:pPr>
            <w:r>
              <w:rPr>
                <w:lang w:eastAsia="en-US"/>
              </w:rPr>
              <w:t>185</w:t>
            </w:r>
          </w:p>
          <w:p w:rsidR="00216C9A" w:rsidRDefault="00216C9A">
            <w:pPr>
              <w:spacing w:line="276" w:lineRule="auto"/>
              <w:jc w:val="center"/>
              <w:rPr>
                <w:lang w:eastAsia="en-US"/>
              </w:rPr>
            </w:pPr>
          </w:p>
          <w:p w:rsidR="00216C9A" w:rsidRDefault="00216C9A">
            <w:pPr>
              <w:overflowPunct w:val="0"/>
              <w:autoSpaceDE w:val="0"/>
              <w:autoSpaceDN w:val="0"/>
              <w:adjustRightInd w:val="0"/>
              <w:spacing w:line="276" w:lineRule="auto"/>
              <w:jc w:val="center"/>
              <w:rPr>
                <w:lang w:eastAsia="en-US"/>
              </w:rPr>
            </w:pPr>
            <w:r>
              <w:rPr>
                <w:lang w:eastAsia="en-US"/>
              </w:rPr>
              <w:t>215</w:t>
            </w:r>
          </w:p>
        </w:tc>
        <w:tc>
          <w:tcPr>
            <w:tcW w:w="884" w:type="dxa"/>
            <w:tcBorders>
              <w:top w:val="nil"/>
              <w:left w:val="single" w:sz="6" w:space="0" w:color="auto"/>
              <w:bottom w:val="single" w:sz="6" w:space="0" w:color="auto"/>
              <w:right w:val="single" w:sz="6" w:space="0" w:color="auto"/>
            </w:tcBorders>
            <w:hideMark/>
          </w:tcPr>
          <w:p w:rsidR="00216C9A" w:rsidRDefault="00216C9A">
            <w:pPr>
              <w:spacing w:line="276" w:lineRule="auto"/>
              <w:jc w:val="center"/>
              <w:rPr>
                <w:lang w:eastAsia="en-US"/>
              </w:rPr>
            </w:pPr>
            <w:r>
              <w:rPr>
                <w:lang w:eastAsia="en-US"/>
              </w:rPr>
              <w:t>od 360</w:t>
            </w:r>
          </w:p>
          <w:p w:rsidR="00216C9A" w:rsidRDefault="00216C9A">
            <w:pPr>
              <w:spacing w:line="276" w:lineRule="auto"/>
              <w:jc w:val="center"/>
              <w:rPr>
                <w:lang w:eastAsia="en-US"/>
              </w:rPr>
            </w:pPr>
            <w:r>
              <w:rPr>
                <w:lang w:eastAsia="en-US"/>
              </w:rPr>
              <w:t>do 490</w:t>
            </w:r>
          </w:p>
          <w:p w:rsidR="00216C9A" w:rsidRDefault="00216C9A">
            <w:pPr>
              <w:spacing w:line="276" w:lineRule="auto"/>
              <w:jc w:val="center"/>
              <w:rPr>
                <w:lang w:eastAsia="en-US"/>
              </w:rPr>
            </w:pPr>
            <w:r>
              <w:rPr>
                <w:lang w:eastAsia="en-US"/>
              </w:rPr>
              <w:t>od 420</w:t>
            </w:r>
          </w:p>
          <w:p w:rsidR="00216C9A" w:rsidRDefault="00216C9A">
            <w:pPr>
              <w:overflowPunct w:val="0"/>
              <w:autoSpaceDE w:val="0"/>
              <w:autoSpaceDN w:val="0"/>
              <w:adjustRightInd w:val="0"/>
              <w:spacing w:line="276" w:lineRule="auto"/>
              <w:jc w:val="center"/>
              <w:rPr>
                <w:lang w:eastAsia="en-US"/>
              </w:rPr>
            </w:pPr>
            <w:r>
              <w:rPr>
                <w:lang w:eastAsia="en-US"/>
              </w:rPr>
              <w:t>do 550</w:t>
            </w:r>
          </w:p>
        </w:tc>
        <w:tc>
          <w:tcPr>
            <w:tcW w:w="885" w:type="dxa"/>
            <w:tcBorders>
              <w:top w:val="nil"/>
              <w:left w:val="single" w:sz="6" w:space="0" w:color="auto"/>
              <w:bottom w:val="single" w:sz="6" w:space="0" w:color="auto"/>
              <w:right w:val="single" w:sz="6" w:space="0" w:color="auto"/>
            </w:tcBorders>
            <w:hideMark/>
          </w:tcPr>
          <w:p w:rsidR="00216C9A" w:rsidRDefault="00216C9A">
            <w:pPr>
              <w:spacing w:line="276" w:lineRule="auto"/>
              <w:jc w:val="center"/>
              <w:rPr>
                <w:lang w:eastAsia="en-US"/>
              </w:rPr>
            </w:pPr>
            <w:r>
              <w:rPr>
                <w:lang w:eastAsia="en-US"/>
              </w:rPr>
              <w:t>od 340</w:t>
            </w:r>
          </w:p>
          <w:p w:rsidR="00216C9A" w:rsidRDefault="00216C9A">
            <w:pPr>
              <w:spacing w:line="276" w:lineRule="auto"/>
              <w:jc w:val="center"/>
              <w:rPr>
                <w:lang w:eastAsia="en-US"/>
              </w:rPr>
            </w:pPr>
            <w:r>
              <w:rPr>
                <w:lang w:eastAsia="en-US"/>
              </w:rPr>
              <w:t>do 490</w:t>
            </w:r>
          </w:p>
          <w:p w:rsidR="00216C9A" w:rsidRDefault="00216C9A">
            <w:pPr>
              <w:spacing w:line="276" w:lineRule="auto"/>
              <w:jc w:val="center"/>
              <w:rPr>
                <w:lang w:eastAsia="en-US"/>
              </w:rPr>
            </w:pPr>
            <w:r>
              <w:rPr>
                <w:lang w:eastAsia="en-US"/>
              </w:rPr>
              <w:t>od 400</w:t>
            </w:r>
          </w:p>
          <w:p w:rsidR="00216C9A" w:rsidRDefault="00216C9A">
            <w:pPr>
              <w:overflowPunct w:val="0"/>
              <w:autoSpaceDE w:val="0"/>
              <w:autoSpaceDN w:val="0"/>
              <w:adjustRightInd w:val="0"/>
              <w:spacing w:line="276" w:lineRule="auto"/>
              <w:jc w:val="center"/>
              <w:rPr>
                <w:lang w:eastAsia="en-US"/>
              </w:rPr>
            </w:pPr>
            <w:r>
              <w:rPr>
                <w:lang w:eastAsia="en-US"/>
              </w:rPr>
              <w:t>do 550</w:t>
            </w:r>
          </w:p>
        </w:tc>
      </w:tr>
    </w:tbl>
    <w:p w:rsidR="00216C9A" w:rsidRDefault="00216C9A" w:rsidP="00216C9A"/>
    <w:p w:rsidR="00216C9A" w:rsidRDefault="00216C9A" w:rsidP="00216C9A">
      <w:pPr>
        <w:spacing w:before="120"/>
      </w:pPr>
      <w:r>
        <w:rPr>
          <w:b/>
        </w:rPr>
        <w:t xml:space="preserve">2.4.4. </w:t>
      </w:r>
      <w:r>
        <w:t>Elektrody lub drut spawalniczy</w:t>
      </w:r>
    </w:p>
    <w:p w:rsidR="00216C9A" w:rsidRDefault="00216C9A" w:rsidP="00216C9A">
      <w:pPr>
        <w:spacing w:before="120"/>
      </w:pPr>
      <w:r>
        <w:tab/>
        <w:t xml:space="preserve">Jeśli dokumentacja projektowa, SST lub Inżynier przewidują wykonanie spawanych połączeń elementów, to elektroda powinna spełniać wymagania BN-82/4131-03 [26] lub PN-M-69430 [22], względnie innej uzgodnionej normy, a drut spawalniczy powinien spełniać wymagania PN-M-69420 [21], odpowiednio dla spawania gazowego </w:t>
      </w:r>
      <w:proofErr w:type="spellStart"/>
      <w:r>
        <w:t>acetylenowo-tlenowego</w:t>
      </w:r>
      <w:proofErr w:type="spellEnd"/>
      <w:r>
        <w:t xml:space="preserve"> lub innego zaakceptowanego przez Inżyniera.</w:t>
      </w:r>
    </w:p>
    <w:p w:rsidR="00216C9A" w:rsidRDefault="00216C9A" w:rsidP="00216C9A">
      <w:pPr>
        <w:ind w:firstLine="709"/>
      </w:pPr>
      <w:r>
        <w:t>Średnica elektrody lub drutu powinna wynosić połowę grubości elementów łączonych lub 6 do 8 mm, gdy elementy łączone są grubsze niż 15 mm.</w:t>
      </w:r>
    </w:p>
    <w:p w:rsidR="00216C9A" w:rsidRDefault="00216C9A" w:rsidP="00216C9A">
      <w:pPr>
        <w:ind w:firstLine="709"/>
      </w:pPr>
      <w:r>
        <w:t>Powierzchnia elektrody lub drutu powinna być czysta i gładka, bez rdzy, zgorzeliny, brudu lub smarów.</w:t>
      </w:r>
    </w:p>
    <w:p w:rsidR="00216C9A" w:rsidRDefault="00216C9A" w:rsidP="00216C9A">
      <w:pPr>
        <w:ind w:firstLine="709"/>
      </w:pPr>
      <w:r>
        <w:t>Do każdej partii elektrod lub drutów wytwórca powinien dostarczyć zaświadczenie, w którym podane są następujące wyniki badań: oględziny zewnętrzne, sprawdzenie wymiarów, sprawdzenie składu chemicznego, sprawdzenie wytrzymałości na rozciąganie, sprawdzenie pakowania oraz stwierdzenie zgodności własności elektrod lub drutów z normą.</w:t>
      </w:r>
    </w:p>
    <w:p w:rsidR="00216C9A" w:rsidRDefault="00216C9A" w:rsidP="00216C9A">
      <w:pPr>
        <w:ind w:firstLine="709"/>
      </w:pPr>
      <w:r>
        <w:t>Elektrody, druty i pręty powinny być przechowywane w suchych pomieszczeniach wolnych od czynników wywołujących korozję.</w:t>
      </w:r>
    </w:p>
    <w:p w:rsidR="00216C9A" w:rsidRDefault="00216C9A" w:rsidP="00216C9A">
      <w:pPr>
        <w:spacing w:before="120"/>
      </w:pPr>
      <w:r>
        <w:rPr>
          <w:b/>
        </w:rPr>
        <w:t xml:space="preserve">2.4.5. </w:t>
      </w:r>
      <w:r>
        <w:t>Powłoki metalizacyjne cynkowe</w:t>
      </w:r>
    </w:p>
    <w:p w:rsidR="00216C9A" w:rsidRDefault="00216C9A" w:rsidP="00216C9A">
      <w:pPr>
        <w:spacing w:before="120"/>
      </w:pPr>
      <w:r>
        <w:tab/>
        <w:t>W przypadku zastosowania powłoki metalizacyjnej cynkowej na konstrukcjach stalowych, powinna ona być z cynku o czystości nie mniejszej niż 99,5 % i odpowiadać wymaganiom BN-89/1076-02 [25]. Minimalna grubość powłoki cynkowej powinna być zgodna z wymaganiami tablicy 4.</w:t>
      </w:r>
    </w:p>
    <w:p w:rsidR="00216C9A" w:rsidRDefault="00216C9A" w:rsidP="00216C9A">
      <w:r>
        <w:tab/>
        <w:t>Powierzchnia powłoki powinna być jednorodna pod względem ziarnistości. Nie może ona wykazywać widocznych wad jak rysy, pęknięcia, pęcherze lub odstawanie powłoki od podłoża.</w:t>
      </w:r>
    </w:p>
    <w:p w:rsidR="00216C9A" w:rsidRDefault="00216C9A" w:rsidP="00216C9A">
      <w:pPr>
        <w:spacing w:before="120"/>
      </w:pPr>
    </w:p>
    <w:p w:rsidR="00216C9A" w:rsidRDefault="00216C9A" w:rsidP="00216C9A">
      <w:pPr>
        <w:spacing w:before="120"/>
      </w:pPr>
    </w:p>
    <w:p w:rsidR="00216C9A" w:rsidRDefault="00216C9A" w:rsidP="00216C9A">
      <w:pPr>
        <w:spacing w:before="120"/>
      </w:pPr>
      <w:r>
        <w:t>Tablica 4. Minimalna grubość powłoki metalizacyjnej cynkowej narażonej na działanie</w:t>
      </w:r>
    </w:p>
    <w:p w:rsidR="00216C9A" w:rsidRDefault="00216C9A" w:rsidP="00216C9A">
      <w:pPr>
        <w:spacing w:after="120"/>
      </w:pPr>
      <w:r>
        <w:tab/>
        <w:t xml:space="preserve">    korozji atmosferycznej według BN-89/1076-02 [25]</w:t>
      </w:r>
    </w:p>
    <w:tbl>
      <w:tblPr>
        <w:tblW w:w="0" w:type="auto"/>
        <w:tblLayout w:type="fixed"/>
        <w:tblCellMar>
          <w:left w:w="70" w:type="dxa"/>
          <w:right w:w="70" w:type="dxa"/>
        </w:tblCellMar>
        <w:tblLook w:val="04A0" w:firstRow="1" w:lastRow="0" w:firstColumn="1" w:lastColumn="0" w:noHBand="0" w:noVBand="1"/>
      </w:tblPr>
      <w:tblGrid>
        <w:gridCol w:w="2480"/>
        <w:gridCol w:w="2515"/>
        <w:gridCol w:w="2516"/>
      </w:tblGrid>
      <w:tr w:rsidR="00216C9A" w:rsidTr="00216C9A">
        <w:tc>
          <w:tcPr>
            <w:tcW w:w="2480" w:type="dxa"/>
            <w:tcBorders>
              <w:top w:val="single" w:sz="6" w:space="0" w:color="auto"/>
              <w:left w:val="single" w:sz="6" w:space="0" w:color="auto"/>
              <w:bottom w:val="nil"/>
              <w:right w:val="nil"/>
            </w:tcBorders>
            <w:hideMark/>
          </w:tcPr>
          <w:p w:rsidR="00216C9A" w:rsidRDefault="00216C9A">
            <w:pPr>
              <w:overflowPunct w:val="0"/>
              <w:autoSpaceDE w:val="0"/>
              <w:autoSpaceDN w:val="0"/>
              <w:adjustRightInd w:val="0"/>
              <w:spacing w:line="276" w:lineRule="auto"/>
              <w:jc w:val="center"/>
              <w:rPr>
                <w:lang w:eastAsia="en-US"/>
              </w:rPr>
            </w:pPr>
            <w:r>
              <w:rPr>
                <w:lang w:eastAsia="en-US"/>
              </w:rPr>
              <w:t>Agresywność korozyjna atmosfery</w:t>
            </w:r>
          </w:p>
        </w:tc>
        <w:tc>
          <w:tcPr>
            <w:tcW w:w="5031" w:type="dxa"/>
            <w:gridSpan w:val="2"/>
            <w:tcBorders>
              <w:top w:val="single" w:sz="6" w:space="0" w:color="auto"/>
              <w:left w:val="single" w:sz="6" w:space="0" w:color="auto"/>
              <w:bottom w:val="single" w:sz="6" w:space="0" w:color="auto"/>
              <w:right w:val="single" w:sz="6" w:space="0" w:color="auto"/>
            </w:tcBorders>
            <w:hideMark/>
          </w:tcPr>
          <w:p w:rsidR="00216C9A" w:rsidRDefault="00216C9A">
            <w:pPr>
              <w:spacing w:line="276" w:lineRule="auto"/>
              <w:jc w:val="center"/>
              <w:rPr>
                <w:lang w:eastAsia="en-US"/>
              </w:rPr>
            </w:pPr>
            <w:r>
              <w:rPr>
                <w:lang w:eastAsia="en-US"/>
              </w:rPr>
              <w:t xml:space="preserve">Minimalna grubość powłoki,  </w:t>
            </w:r>
            <w:r>
              <w:rPr>
                <w:lang w:eastAsia="en-US"/>
              </w:rPr>
              <w:sym w:font="Symbol" w:char="F06D"/>
            </w:r>
            <w:r>
              <w:rPr>
                <w:lang w:eastAsia="en-US"/>
              </w:rPr>
              <w:t>m,</w:t>
            </w:r>
          </w:p>
          <w:p w:rsidR="00216C9A" w:rsidRDefault="00216C9A">
            <w:pPr>
              <w:overflowPunct w:val="0"/>
              <w:autoSpaceDE w:val="0"/>
              <w:autoSpaceDN w:val="0"/>
              <w:adjustRightInd w:val="0"/>
              <w:spacing w:line="276" w:lineRule="auto"/>
              <w:jc w:val="center"/>
              <w:rPr>
                <w:lang w:eastAsia="en-US"/>
              </w:rPr>
            </w:pPr>
            <w:r>
              <w:rPr>
                <w:lang w:eastAsia="en-US"/>
              </w:rPr>
              <w:t xml:space="preserve"> przy wymaganej trwałości w latach</w:t>
            </w:r>
          </w:p>
        </w:tc>
      </w:tr>
      <w:tr w:rsidR="00216C9A" w:rsidTr="00216C9A">
        <w:tc>
          <w:tcPr>
            <w:tcW w:w="2480" w:type="dxa"/>
            <w:tcBorders>
              <w:top w:val="nil"/>
              <w:left w:val="single" w:sz="6" w:space="0" w:color="auto"/>
              <w:bottom w:val="double" w:sz="6" w:space="0" w:color="auto"/>
              <w:right w:val="nil"/>
            </w:tcBorders>
            <w:hideMark/>
          </w:tcPr>
          <w:p w:rsidR="00216C9A" w:rsidRDefault="00216C9A">
            <w:pPr>
              <w:overflowPunct w:val="0"/>
              <w:autoSpaceDE w:val="0"/>
              <w:autoSpaceDN w:val="0"/>
              <w:adjustRightInd w:val="0"/>
              <w:spacing w:line="276" w:lineRule="auto"/>
              <w:jc w:val="center"/>
              <w:rPr>
                <w:lang w:eastAsia="en-US"/>
              </w:rPr>
            </w:pPr>
            <w:r>
              <w:rPr>
                <w:lang w:eastAsia="en-US"/>
              </w:rPr>
              <w:t>według PN-H-04651 [8]</w:t>
            </w:r>
          </w:p>
        </w:tc>
        <w:tc>
          <w:tcPr>
            <w:tcW w:w="2515" w:type="dxa"/>
            <w:tcBorders>
              <w:top w:val="single" w:sz="6" w:space="0" w:color="auto"/>
              <w:left w:val="single" w:sz="6" w:space="0" w:color="auto"/>
              <w:bottom w:val="double" w:sz="6" w:space="0" w:color="auto"/>
              <w:right w:val="single" w:sz="6" w:space="0" w:color="auto"/>
            </w:tcBorders>
            <w:hideMark/>
          </w:tcPr>
          <w:p w:rsidR="00216C9A" w:rsidRDefault="00216C9A">
            <w:pPr>
              <w:overflowPunct w:val="0"/>
              <w:autoSpaceDE w:val="0"/>
              <w:autoSpaceDN w:val="0"/>
              <w:adjustRightInd w:val="0"/>
              <w:spacing w:line="276" w:lineRule="auto"/>
              <w:jc w:val="center"/>
              <w:rPr>
                <w:lang w:eastAsia="en-US"/>
              </w:rPr>
            </w:pPr>
            <w:r>
              <w:rPr>
                <w:lang w:eastAsia="en-US"/>
              </w:rPr>
              <w:t>10</w:t>
            </w:r>
          </w:p>
        </w:tc>
        <w:tc>
          <w:tcPr>
            <w:tcW w:w="2516" w:type="dxa"/>
            <w:tcBorders>
              <w:top w:val="single" w:sz="6" w:space="0" w:color="auto"/>
              <w:left w:val="single" w:sz="6" w:space="0" w:color="auto"/>
              <w:bottom w:val="double" w:sz="6" w:space="0" w:color="auto"/>
              <w:right w:val="single" w:sz="6" w:space="0" w:color="auto"/>
            </w:tcBorders>
            <w:hideMark/>
          </w:tcPr>
          <w:p w:rsidR="00216C9A" w:rsidRDefault="00216C9A">
            <w:pPr>
              <w:overflowPunct w:val="0"/>
              <w:autoSpaceDE w:val="0"/>
              <w:autoSpaceDN w:val="0"/>
              <w:adjustRightInd w:val="0"/>
              <w:spacing w:line="276" w:lineRule="auto"/>
              <w:jc w:val="center"/>
              <w:rPr>
                <w:lang w:eastAsia="en-US"/>
              </w:rPr>
            </w:pPr>
            <w:r>
              <w:rPr>
                <w:lang w:eastAsia="en-US"/>
              </w:rPr>
              <w:t>20</w:t>
            </w:r>
          </w:p>
        </w:tc>
      </w:tr>
      <w:tr w:rsidR="00216C9A" w:rsidTr="00216C9A">
        <w:tc>
          <w:tcPr>
            <w:tcW w:w="2480" w:type="dxa"/>
            <w:tcBorders>
              <w:top w:val="nil"/>
              <w:left w:val="single" w:sz="6" w:space="0" w:color="auto"/>
              <w:bottom w:val="single" w:sz="6" w:space="0" w:color="auto"/>
              <w:right w:val="single" w:sz="6" w:space="0" w:color="auto"/>
            </w:tcBorders>
            <w:hideMark/>
          </w:tcPr>
          <w:p w:rsidR="00216C9A" w:rsidRDefault="00216C9A">
            <w:pPr>
              <w:spacing w:before="60" w:line="276" w:lineRule="auto"/>
              <w:rPr>
                <w:lang w:eastAsia="en-US"/>
              </w:rPr>
            </w:pPr>
            <w:r>
              <w:rPr>
                <w:lang w:eastAsia="en-US"/>
              </w:rPr>
              <w:lastRenderedPageBreak/>
              <w:t>Umiarkowana</w:t>
            </w:r>
          </w:p>
          <w:p w:rsidR="00216C9A" w:rsidRDefault="00216C9A">
            <w:pPr>
              <w:overflowPunct w:val="0"/>
              <w:autoSpaceDE w:val="0"/>
              <w:autoSpaceDN w:val="0"/>
              <w:adjustRightInd w:val="0"/>
              <w:spacing w:line="276" w:lineRule="auto"/>
              <w:jc w:val="both"/>
              <w:rPr>
                <w:lang w:eastAsia="en-US"/>
              </w:rPr>
            </w:pPr>
            <w:r>
              <w:rPr>
                <w:lang w:eastAsia="en-US"/>
              </w:rPr>
              <w:t>Ciężka</w:t>
            </w:r>
          </w:p>
        </w:tc>
        <w:tc>
          <w:tcPr>
            <w:tcW w:w="2515" w:type="dxa"/>
            <w:tcBorders>
              <w:top w:val="nil"/>
              <w:left w:val="single" w:sz="6" w:space="0" w:color="auto"/>
              <w:bottom w:val="single" w:sz="6" w:space="0" w:color="auto"/>
              <w:right w:val="single" w:sz="6" w:space="0" w:color="auto"/>
            </w:tcBorders>
            <w:hideMark/>
          </w:tcPr>
          <w:p w:rsidR="00216C9A" w:rsidRDefault="00216C9A">
            <w:pPr>
              <w:spacing w:before="60" w:line="276" w:lineRule="auto"/>
              <w:jc w:val="center"/>
              <w:rPr>
                <w:lang w:eastAsia="en-US"/>
              </w:rPr>
            </w:pPr>
            <w:r>
              <w:rPr>
                <w:lang w:eastAsia="en-US"/>
              </w:rPr>
              <w:t>120</w:t>
            </w:r>
          </w:p>
          <w:p w:rsidR="00216C9A" w:rsidRDefault="00216C9A">
            <w:pPr>
              <w:overflowPunct w:val="0"/>
              <w:autoSpaceDE w:val="0"/>
              <w:autoSpaceDN w:val="0"/>
              <w:adjustRightInd w:val="0"/>
              <w:spacing w:line="276" w:lineRule="auto"/>
              <w:jc w:val="center"/>
              <w:rPr>
                <w:lang w:eastAsia="en-US"/>
              </w:rPr>
            </w:pPr>
            <w:r>
              <w:rPr>
                <w:lang w:eastAsia="en-US"/>
              </w:rPr>
              <w:t>160 M</w:t>
            </w:r>
          </w:p>
        </w:tc>
        <w:tc>
          <w:tcPr>
            <w:tcW w:w="2516" w:type="dxa"/>
            <w:tcBorders>
              <w:top w:val="nil"/>
              <w:left w:val="single" w:sz="6" w:space="0" w:color="auto"/>
              <w:bottom w:val="single" w:sz="6" w:space="0" w:color="auto"/>
              <w:right w:val="single" w:sz="6" w:space="0" w:color="auto"/>
            </w:tcBorders>
            <w:hideMark/>
          </w:tcPr>
          <w:p w:rsidR="00216C9A" w:rsidRDefault="00216C9A">
            <w:pPr>
              <w:spacing w:before="60" w:line="276" w:lineRule="auto"/>
              <w:jc w:val="center"/>
              <w:rPr>
                <w:lang w:eastAsia="en-US"/>
              </w:rPr>
            </w:pPr>
            <w:r>
              <w:rPr>
                <w:lang w:eastAsia="en-US"/>
              </w:rPr>
              <w:t>160</w:t>
            </w:r>
          </w:p>
          <w:p w:rsidR="00216C9A" w:rsidRDefault="00216C9A">
            <w:pPr>
              <w:overflowPunct w:val="0"/>
              <w:autoSpaceDE w:val="0"/>
              <w:autoSpaceDN w:val="0"/>
              <w:adjustRightInd w:val="0"/>
              <w:spacing w:after="60" w:line="276" w:lineRule="auto"/>
              <w:jc w:val="center"/>
              <w:rPr>
                <w:lang w:eastAsia="en-US"/>
              </w:rPr>
            </w:pPr>
            <w:r>
              <w:rPr>
                <w:lang w:eastAsia="en-US"/>
              </w:rPr>
              <w:t>200 M</w:t>
            </w:r>
          </w:p>
        </w:tc>
      </w:tr>
      <w:tr w:rsidR="00216C9A" w:rsidTr="00216C9A">
        <w:tc>
          <w:tcPr>
            <w:tcW w:w="7511" w:type="dxa"/>
            <w:gridSpan w:val="3"/>
            <w:tcBorders>
              <w:top w:val="single" w:sz="6" w:space="0" w:color="auto"/>
              <w:left w:val="single" w:sz="6" w:space="0" w:color="auto"/>
              <w:bottom w:val="single" w:sz="6" w:space="0" w:color="auto"/>
              <w:right w:val="single" w:sz="6" w:space="0" w:color="auto"/>
            </w:tcBorders>
            <w:hideMark/>
          </w:tcPr>
          <w:p w:rsidR="00216C9A" w:rsidRDefault="00216C9A">
            <w:pPr>
              <w:overflowPunct w:val="0"/>
              <w:autoSpaceDE w:val="0"/>
              <w:autoSpaceDN w:val="0"/>
              <w:adjustRightInd w:val="0"/>
              <w:spacing w:before="60" w:after="60" w:line="276" w:lineRule="auto"/>
              <w:jc w:val="both"/>
              <w:rPr>
                <w:lang w:eastAsia="en-US"/>
              </w:rPr>
            </w:pPr>
            <w:r>
              <w:rPr>
                <w:lang w:eastAsia="en-US"/>
              </w:rPr>
              <w:t>M - powłoka pokryta dwoma lub większą liczbą warstw powłoki malarskiej</w:t>
            </w:r>
          </w:p>
        </w:tc>
      </w:tr>
    </w:tbl>
    <w:p w:rsidR="00216C9A" w:rsidRDefault="00216C9A" w:rsidP="00216C9A"/>
    <w:p w:rsidR="00216C9A" w:rsidRDefault="00216C9A" w:rsidP="00216C9A">
      <w:pPr>
        <w:spacing w:before="120"/>
      </w:pPr>
      <w:r>
        <w:rPr>
          <w:b/>
        </w:rPr>
        <w:t xml:space="preserve">2.4.6. </w:t>
      </w:r>
      <w:r>
        <w:t>Gwarancja producenta lub dostawcy na konstrukcję wsporczą</w:t>
      </w:r>
    </w:p>
    <w:p w:rsidR="00216C9A" w:rsidRDefault="00216C9A" w:rsidP="00216C9A">
      <w:pPr>
        <w:spacing w:before="120"/>
      </w:pPr>
      <w: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16C9A" w:rsidRDefault="00216C9A" w:rsidP="00216C9A">
      <w: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w:t>
      </w:r>
    </w:p>
    <w:p w:rsidR="00216C9A" w:rsidRDefault="00216C9A" w:rsidP="00216C9A">
      <w:pPr>
        <w:pStyle w:val="Nagwek2"/>
      </w:pPr>
      <w:r>
        <w:t>2.5. Tarcza znaku</w:t>
      </w:r>
    </w:p>
    <w:p w:rsidR="00216C9A" w:rsidRDefault="00216C9A" w:rsidP="00216C9A">
      <w:r>
        <w:rPr>
          <w:b/>
        </w:rPr>
        <w:t xml:space="preserve">2.5.1. </w:t>
      </w:r>
      <w:r>
        <w:t xml:space="preserve"> Trwałość materiałów na wpływy zewnętrzne</w:t>
      </w:r>
    </w:p>
    <w:p w:rsidR="00216C9A" w:rsidRDefault="00216C9A" w:rsidP="00216C9A">
      <w:pPr>
        <w:spacing w:before="120"/>
      </w:pPr>
      <w:r>
        <w:tab/>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216C9A" w:rsidRDefault="00216C9A" w:rsidP="00216C9A">
      <w:pPr>
        <w:spacing w:before="120"/>
      </w:pPr>
      <w:r>
        <w:rPr>
          <w:b/>
        </w:rPr>
        <w:t xml:space="preserve">2.5.2. </w:t>
      </w:r>
      <w:r>
        <w:t>Warunki gwarancyjne producenta lub dostawcy znaku</w:t>
      </w:r>
    </w:p>
    <w:p w:rsidR="00216C9A" w:rsidRDefault="00216C9A" w:rsidP="00216C9A">
      <w:pPr>
        <w:spacing w:before="120"/>
      </w:pPr>
      <w:r>
        <w:tab/>
        <w:t>Producent lub dostawca znaku obowiązany jest przy dostawie określić, uzgodnioną z odbiorcą, trwałość znaku oraz warunki gwarancyjne dla znaku, a także udostępnić na życzenie odbiorcy:</w:t>
      </w:r>
    </w:p>
    <w:p w:rsidR="00216C9A" w:rsidRDefault="00216C9A" w:rsidP="00216C9A">
      <w:pPr>
        <w:numPr>
          <w:ilvl w:val="0"/>
          <w:numId w:val="192"/>
        </w:numPr>
        <w:overflowPunct w:val="0"/>
        <w:autoSpaceDE w:val="0"/>
        <w:autoSpaceDN w:val="0"/>
        <w:adjustRightInd w:val="0"/>
        <w:jc w:val="both"/>
      </w:pPr>
      <w:r>
        <w:t>instrukcję montażu znaku,</w:t>
      </w:r>
    </w:p>
    <w:p w:rsidR="00216C9A" w:rsidRDefault="00216C9A" w:rsidP="00216C9A">
      <w:pPr>
        <w:numPr>
          <w:ilvl w:val="0"/>
          <w:numId w:val="192"/>
        </w:numPr>
        <w:overflowPunct w:val="0"/>
        <w:autoSpaceDE w:val="0"/>
        <w:autoSpaceDN w:val="0"/>
        <w:adjustRightInd w:val="0"/>
        <w:jc w:val="both"/>
      </w:pPr>
      <w:r>
        <w:t>dane szczegółowe o ewentualnych ograniczeniach w stosowaniu znaku,</w:t>
      </w:r>
    </w:p>
    <w:p w:rsidR="00216C9A" w:rsidRDefault="00216C9A" w:rsidP="00216C9A">
      <w:pPr>
        <w:numPr>
          <w:ilvl w:val="0"/>
          <w:numId w:val="192"/>
        </w:numPr>
        <w:overflowPunct w:val="0"/>
        <w:autoSpaceDE w:val="0"/>
        <w:autoSpaceDN w:val="0"/>
        <w:adjustRightInd w:val="0"/>
        <w:jc w:val="both"/>
      </w:pPr>
      <w:r>
        <w:t>instrukcję utrzymania znaku.</w:t>
      </w:r>
    </w:p>
    <w:p w:rsidR="00216C9A" w:rsidRDefault="00216C9A" w:rsidP="00216C9A"/>
    <w:p w:rsidR="00216C9A" w:rsidRDefault="00216C9A" w:rsidP="00216C9A">
      <w:pPr>
        <w:keepNext/>
      </w:pPr>
      <w:r>
        <w:rPr>
          <w:b/>
        </w:rPr>
        <w:t xml:space="preserve">2.5.3. </w:t>
      </w:r>
      <w:r>
        <w:t>Materiały do wykonania tarczy znaku</w:t>
      </w:r>
    </w:p>
    <w:p w:rsidR="00216C9A" w:rsidRDefault="00216C9A" w:rsidP="00216C9A">
      <w:pPr>
        <w:spacing w:before="120"/>
      </w:pPr>
      <w:r>
        <w:tab/>
        <w:t>Materiałami stosowanymi do wykonania tarczy znaku drogowego są:</w:t>
      </w:r>
    </w:p>
    <w:p w:rsidR="00216C9A" w:rsidRDefault="00216C9A" w:rsidP="00216C9A">
      <w:pPr>
        <w:numPr>
          <w:ilvl w:val="0"/>
          <w:numId w:val="191"/>
        </w:numPr>
        <w:overflowPunct w:val="0"/>
        <w:autoSpaceDE w:val="0"/>
        <w:autoSpaceDN w:val="0"/>
        <w:adjustRightInd w:val="0"/>
        <w:ind w:left="283"/>
        <w:jc w:val="both"/>
      </w:pPr>
      <w:r>
        <w:t>blacha z aluminium lub stopów z aluminium,</w:t>
      </w:r>
    </w:p>
    <w:p w:rsidR="00216C9A" w:rsidRDefault="00216C9A" w:rsidP="00216C9A">
      <w:pPr>
        <w:spacing w:before="120"/>
      </w:pPr>
      <w:r>
        <w:rPr>
          <w:b/>
        </w:rPr>
        <w:t xml:space="preserve">2.5.5. </w:t>
      </w:r>
      <w:r>
        <w:t>Tarcza znaku z blachy aluminiowej</w:t>
      </w:r>
    </w:p>
    <w:p w:rsidR="00216C9A" w:rsidRDefault="00216C9A" w:rsidP="00216C9A">
      <w:pPr>
        <w:numPr>
          <w:ilvl w:val="12"/>
          <w:numId w:val="0"/>
        </w:numPr>
        <w:spacing w:before="120"/>
      </w:pPr>
      <w:r>
        <w:tab/>
        <w:t>Blacha z aluminium lub stopów aluminium powinna  być odporna na korozję w warunkach zasolenia.</w:t>
      </w:r>
    </w:p>
    <w:p w:rsidR="00216C9A" w:rsidRDefault="00216C9A" w:rsidP="00216C9A">
      <w:pPr>
        <w:numPr>
          <w:ilvl w:val="12"/>
          <w:numId w:val="0"/>
        </w:numPr>
      </w:pPr>
      <w:r>
        <w:tab/>
        <w:t>Wymagane grubości:</w:t>
      </w:r>
    </w:p>
    <w:p w:rsidR="00216C9A" w:rsidRDefault="00216C9A" w:rsidP="00216C9A">
      <w:pPr>
        <w:numPr>
          <w:ilvl w:val="0"/>
          <w:numId w:val="191"/>
        </w:numPr>
        <w:overflowPunct w:val="0"/>
        <w:autoSpaceDE w:val="0"/>
        <w:autoSpaceDN w:val="0"/>
        <w:adjustRightInd w:val="0"/>
        <w:ind w:left="283"/>
        <w:jc w:val="both"/>
      </w:pPr>
      <w:r>
        <w:t>z blachy z aluminium dla tarcz znaków wzmocnionych przetłoczeniami lub osadzonych w ramach co najmniej 1,5 mm,</w:t>
      </w:r>
    </w:p>
    <w:p w:rsidR="00216C9A" w:rsidRDefault="00216C9A" w:rsidP="00216C9A">
      <w:pPr>
        <w:numPr>
          <w:ilvl w:val="0"/>
          <w:numId w:val="191"/>
        </w:numPr>
        <w:overflowPunct w:val="0"/>
        <w:autoSpaceDE w:val="0"/>
        <w:autoSpaceDN w:val="0"/>
        <w:adjustRightInd w:val="0"/>
        <w:ind w:left="283"/>
        <w:jc w:val="both"/>
      </w:pPr>
      <w:r>
        <w:t>z blachy z aluminium dla tarcz płaskich co najmniej 2,0 mm.</w:t>
      </w:r>
    </w:p>
    <w:p w:rsidR="00216C9A" w:rsidRDefault="00216C9A" w:rsidP="00216C9A">
      <w:r>
        <w:tab/>
        <w:t>Powierzchnie tarczy nie przykryte folią lub farbami powinny być zabezpieczone przed korozją przy zastosowaniu farby ochronnej lub powłoki z tworzyw sztucznych.</w:t>
      </w:r>
    </w:p>
    <w:p w:rsidR="00216C9A" w:rsidRDefault="00216C9A" w:rsidP="00216C9A">
      <w:pPr>
        <w:numPr>
          <w:ilvl w:val="12"/>
          <w:numId w:val="0"/>
        </w:numPr>
      </w:pPr>
      <w:r>
        <w:tab/>
        <w:t>Wytrzymałość dla tarcz z aluminium i stopów z aluminium powinna wynosić:</w:t>
      </w:r>
    </w:p>
    <w:p w:rsidR="00216C9A" w:rsidRDefault="00216C9A" w:rsidP="00216C9A">
      <w:pPr>
        <w:numPr>
          <w:ilvl w:val="0"/>
          <w:numId w:val="191"/>
        </w:numPr>
        <w:overflowPunct w:val="0"/>
        <w:autoSpaceDE w:val="0"/>
        <w:autoSpaceDN w:val="0"/>
        <w:adjustRightInd w:val="0"/>
        <w:ind w:left="283"/>
        <w:jc w:val="both"/>
      </w:pPr>
      <w:r>
        <w:t xml:space="preserve">dla tarcz wzmocnionych przetłoczeniem lub osadzonych w ramach, co najmniej                    155 </w:t>
      </w:r>
      <w:proofErr w:type="spellStart"/>
      <w:r>
        <w:t>MPa</w:t>
      </w:r>
      <w:proofErr w:type="spellEnd"/>
      <w:r>
        <w:t>,</w:t>
      </w:r>
    </w:p>
    <w:p w:rsidR="00216C9A" w:rsidRDefault="00216C9A" w:rsidP="00216C9A">
      <w:pPr>
        <w:numPr>
          <w:ilvl w:val="0"/>
          <w:numId w:val="191"/>
        </w:numPr>
        <w:overflowPunct w:val="0"/>
        <w:autoSpaceDE w:val="0"/>
        <w:autoSpaceDN w:val="0"/>
        <w:adjustRightInd w:val="0"/>
        <w:ind w:left="283"/>
        <w:jc w:val="both"/>
      </w:pPr>
      <w:r>
        <w:t xml:space="preserve">dla tarcz płaskich, co najmniej 200 </w:t>
      </w:r>
      <w:proofErr w:type="spellStart"/>
      <w:r>
        <w:t>MPa</w:t>
      </w:r>
      <w:proofErr w:type="spellEnd"/>
      <w:r>
        <w:t>.</w:t>
      </w:r>
    </w:p>
    <w:p w:rsidR="00216C9A" w:rsidRDefault="00216C9A" w:rsidP="00216C9A">
      <w:pPr>
        <w:spacing w:before="120"/>
      </w:pPr>
      <w:r>
        <w:rPr>
          <w:b/>
        </w:rPr>
        <w:t xml:space="preserve">2.5.6. </w:t>
      </w:r>
      <w:r>
        <w:t>Warunki wykonania tarczy znaku</w:t>
      </w:r>
    </w:p>
    <w:p w:rsidR="00216C9A" w:rsidRDefault="00216C9A" w:rsidP="00216C9A">
      <w:pPr>
        <w:numPr>
          <w:ilvl w:val="12"/>
          <w:numId w:val="0"/>
        </w:numPr>
        <w:spacing w:before="120"/>
      </w:pPr>
      <w:r>
        <w:tab/>
        <w:t>Tarcza znaku musi być równa i gładka - bez odkształceń płaszczyzny znaku, w tym pofałdowań, wgięć, lokalnych wgnieceń lub nierówności itp. Odchylenie płaszczyzny tarczy znaku (zwichrowanie, pofałdowanie itp.) nie może wynosić więcej niż 1,5 % największego wymiaru znaku.</w:t>
      </w:r>
    </w:p>
    <w:p w:rsidR="00216C9A" w:rsidRDefault="00216C9A" w:rsidP="00216C9A">
      <w:pPr>
        <w:numPr>
          <w:ilvl w:val="12"/>
          <w:numId w:val="0"/>
        </w:numPr>
      </w:pPr>
      <w:r>
        <w:tab/>
        <w:t>Krawędzie tarczy znaku muszą być równe i nieostre. Zniekształcenia krawędzi tarczy znaku, pozostałe po tłoczeniu lub innych procesach technologicznych, którym tarcza ta (w znakach drogowych składanych - segmenty tarczy) była poddana, muszą być usunięte.</w:t>
      </w:r>
    </w:p>
    <w:p w:rsidR="00216C9A" w:rsidRDefault="00216C9A" w:rsidP="00216C9A">
      <w:pPr>
        <w:numPr>
          <w:ilvl w:val="12"/>
          <w:numId w:val="0"/>
        </w:numPr>
      </w:pPr>
      <w:r>
        <w:tab/>
        <w:t xml:space="preserve">Tarcze znaków drogowych składanych mogą być wykonane z modułowych kształtowników aluminiowych lub odpowiednio ukształtowanych segmentów stalowych. Dopuszcza się stosowanie modułowych kształtowników z tworzyw syntetycznych lub sklejki wodoodpornej, pod warunkiem uzyskania odpowiedniej </w:t>
      </w:r>
      <w:r>
        <w:lastRenderedPageBreak/>
        <w:t>aprobaty technicznej. Szczeliny między sąsiednimi segmentami znaku składanego nie mogą być większe od                 0,8 mm.</w:t>
      </w:r>
    </w:p>
    <w:p w:rsidR="00216C9A" w:rsidRDefault="00216C9A" w:rsidP="00216C9A">
      <w:pPr>
        <w:pStyle w:val="Nagwek2"/>
        <w:numPr>
          <w:ilvl w:val="12"/>
          <w:numId w:val="0"/>
        </w:numPr>
      </w:pPr>
      <w:r>
        <w:t>2.6. Znaki odblaskowe</w:t>
      </w:r>
    </w:p>
    <w:p w:rsidR="00216C9A" w:rsidRDefault="00216C9A" w:rsidP="00216C9A">
      <w:pPr>
        <w:numPr>
          <w:ilvl w:val="12"/>
          <w:numId w:val="0"/>
        </w:numPr>
      </w:pPr>
      <w:r>
        <w:rPr>
          <w:b/>
        </w:rPr>
        <w:t xml:space="preserve">2.6.1. </w:t>
      </w:r>
      <w:r>
        <w:t>Wymagania dotyczące powierzchni odblaskowej</w:t>
      </w:r>
    </w:p>
    <w:p w:rsidR="00216C9A" w:rsidRDefault="00216C9A" w:rsidP="00216C9A">
      <w:pPr>
        <w:numPr>
          <w:ilvl w:val="12"/>
          <w:numId w:val="0"/>
        </w:numPr>
        <w:spacing w:before="120"/>
      </w:pPr>
      <w:r>
        <w:tab/>
        <w:t>Znaki drogowe odblaskowe wykonuje się z zasady przez oklejenie tarczy znaku materiałem odblaskowym.</w:t>
      </w:r>
    </w:p>
    <w:p w:rsidR="00216C9A" w:rsidRDefault="00216C9A" w:rsidP="00216C9A">
      <w:pPr>
        <w:numPr>
          <w:ilvl w:val="12"/>
          <w:numId w:val="0"/>
        </w:numPr>
      </w:pPr>
      <w:r>
        <w:tab/>
        <w:t>Właściwości folii odblaskowej (odbijającej powrotnie) powinny spełniać wymagania określone w aprobacie technicznej.</w:t>
      </w:r>
    </w:p>
    <w:p w:rsidR="00216C9A" w:rsidRDefault="00216C9A" w:rsidP="00216C9A">
      <w:pPr>
        <w:numPr>
          <w:ilvl w:val="12"/>
          <w:numId w:val="0"/>
        </w:numPr>
        <w:spacing w:before="120"/>
      </w:pPr>
      <w:r>
        <w:rPr>
          <w:b/>
        </w:rPr>
        <w:t xml:space="preserve">2.6.2. </w:t>
      </w:r>
      <w:r>
        <w:t>Wymagania jakościowe znaku odblaskowego</w:t>
      </w:r>
    </w:p>
    <w:p w:rsidR="00216C9A" w:rsidRDefault="00216C9A" w:rsidP="00216C9A">
      <w:pPr>
        <w:numPr>
          <w:ilvl w:val="12"/>
          <w:numId w:val="0"/>
        </w:numPr>
        <w:spacing w:before="120"/>
      </w:pPr>
      <w:r>
        <w:tab/>
        <w:t xml:space="preserve">Folie odblaskowe użyte do wykonania lica znaku powinny wykazywać pełne związanie z tarczą znaku przez cały okres wymaganej trwałości znaku. Niedopuszczalne są lokalne </w:t>
      </w:r>
      <w:proofErr w:type="spellStart"/>
      <w:r>
        <w:t>niedoklejenia</w:t>
      </w:r>
      <w:proofErr w:type="spellEnd"/>
      <w:r>
        <w:t>, odklejania, złuszczenia lub odstawanie folii na krawędziach tarczy znaku oraz na jego powierzchni.</w:t>
      </w:r>
    </w:p>
    <w:p w:rsidR="00216C9A" w:rsidRDefault="00216C9A" w:rsidP="00216C9A">
      <w:pPr>
        <w:numPr>
          <w:ilvl w:val="12"/>
          <w:numId w:val="0"/>
        </w:numPr>
      </w:pPr>
      <w:r>
        <w:tab/>
        <w:t>Sposób połączenia folii z powierzchnią tarczy znaku powinien uniemożliwiać jej odłączenie od tarczy bez jej zniszczenia.</w:t>
      </w:r>
    </w:p>
    <w:p w:rsidR="00216C9A" w:rsidRDefault="00216C9A" w:rsidP="00216C9A">
      <w:pPr>
        <w:numPr>
          <w:ilvl w:val="12"/>
          <w:numId w:val="0"/>
        </w:numPr>
      </w:pPr>
      <w:r>
        <w:tab/>
        <w:t>Przy malowaniu lub klejeniu symboli lub obrzeży znaków na folii odblaskowej, technologia malowania lub klejenia oraz stosowane w tym celu materiały powinny być uzgodnione z producentem folii.</w:t>
      </w:r>
    </w:p>
    <w:p w:rsidR="00216C9A" w:rsidRDefault="00216C9A" w:rsidP="00216C9A">
      <w:pPr>
        <w:numPr>
          <w:ilvl w:val="12"/>
          <w:numId w:val="0"/>
        </w:numPr>
      </w:pPr>
      <w:r>
        <w:tab/>
        <w:t>Okres trwałości znaku wykonanego przy użyciu folii odblaskowych powinien wynosić od 7 do 10 lat, w zależności od rodzaju materiału.</w:t>
      </w:r>
    </w:p>
    <w:p w:rsidR="00216C9A" w:rsidRDefault="00216C9A" w:rsidP="00216C9A">
      <w:pPr>
        <w:numPr>
          <w:ilvl w:val="12"/>
          <w:numId w:val="0"/>
        </w:numPr>
      </w:pPr>
      <w:r>
        <w:tab/>
        <w:t>Powierzchnia lica znaku powinna być równa i gładka, nie mogą na niej występować lokalne nierówności i pofałdowania. Niedopuszczalne jest występowanie jakichkolwiek ognisk korozji, zarówno na powierzchni jak i na obrzeżach tarczy znaku.</w:t>
      </w:r>
    </w:p>
    <w:p w:rsidR="00216C9A" w:rsidRDefault="00216C9A" w:rsidP="00216C9A">
      <w:pPr>
        <w:numPr>
          <w:ilvl w:val="12"/>
          <w:numId w:val="0"/>
        </w:numPr>
      </w:pPr>
      <w:r>
        <w:tab/>
        <w:t>Dokładność rysunku znaku powinna być taka, aby wady konturów znaku, które mogą powstać przy nanoszeniu farby na odblaskową powierzchnię znaku, nie były większe niż:</w:t>
      </w:r>
    </w:p>
    <w:p w:rsidR="00216C9A" w:rsidRDefault="00216C9A" w:rsidP="00216C9A">
      <w:pPr>
        <w:numPr>
          <w:ilvl w:val="0"/>
          <w:numId w:val="191"/>
        </w:numPr>
        <w:overflowPunct w:val="0"/>
        <w:autoSpaceDE w:val="0"/>
        <w:autoSpaceDN w:val="0"/>
        <w:adjustRightInd w:val="0"/>
        <w:ind w:left="0" w:firstLine="0"/>
        <w:jc w:val="both"/>
      </w:pPr>
      <w:r>
        <w:t>2 mm dla znaków małych i średnich,</w:t>
      </w:r>
    </w:p>
    <w:p w:rsidR="00216C9A" w:rsidRDefault="00216C9A" w:rsidP="00216C9A">
      <w:pPr>
        <w:numPr>
          <w:ilvl w:val="0"/>
          <w:numId w:val="191"/>
        </w:numPr>
        <w:overflowPunct w:val="0"/>
        <w:autoSpaceDE w:val="0"/>
        <w:autoSpaceDN w:val="0"/>
        <w:adjustRightInd w:val="0"/>
        <w:ind w:left="0" w:firstLine="0"/>
        <w:jc w:val="both"/>
      </w:pPr>
      <w:r>
        <w:t>3 mm dla znaków dużych i wielkich.</w:t>
      </w:r>
    </w:p>
    <w:p w:rsidR="00216C9A" w:rsidRDefault="00216C9A" w:rsidP="00216C9A">
      <w:r>
        <w:tab/>
        <w:t>Powstałe zacieki przy nanoszeniu farby na odblaskową część znaku nie powinny być większe w każdym kierunku niż:</w:t>
      </w:r>
    </w:p>
    <w:p w:rsidR="00216C9A" w:rsidRDefault="00216C9A" w:rsidP="00216C9A">
      <w:pPr>
        <w:numPr>
          <w:ilvl w:val="0"/>
          <w:numId w:val="191"/>
        </w:numPr>
        <w:overflowPunct w:val="0"/>
        <w:autoSpaceDE w:val="0"/>
        <w:autoSpaceDN w:val="0"/>
        <w:adjustRightInd w:val="0"/>
        <w:ind w:left="0" w:firstLine="0"/>
        <w:jc w:val="both"/>
      </w:pPr>
      <w:r>
        <w:t>2 mm dla znaków małych i średnich,</w:t>
      </w:r>
    </w:p>
    <w:p w:rsidR="00216C9A" w:rsidRDefault="00216C9A" w:rsidP="00216C9A">
      <w:pPr>
        <w:numPr>
          <w:ilvl w:val="0"/>
          <w:numId w:val="191"/>
        </w:numPr>
        <w:overflowPunct w:val="0"/>
        <w:autoSpaceDE w:val="0"/>
        <w:autoSpaceDN w:val="0"/>
        <w:adjustRightInd w:val="0"/>
        <w:ind w:left="0" w:firstLine="0"/>
        <w:jc w:val="both"/>
      </w:pPr>
      <w:r>
        <w:t>3 mm dla znaków dużych i wielkich.</w:t>
      </w:r>
    </w:p>
    <w:p w:rsidR="00216C9A" w:rsidRDefault="00216C9A" w:rsidP="00216C9A">
      <w: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16C9A" w:rsidRDefault="00216C9A" w:rsidP="00216C9A">
      <w:pPr>
        <w:numPr>
          <w:ilvl w:val="12"/>
          <w:numId w:val="0"/>
        </w:numPr>
      </w:pPr>
      <w:r>
        <w:tab/>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16C9A" w:rsidRDefault="00216C9A" w:rsidP="00216C9A">
      <w:pPr>
        <w:numPr>
          <w:ilvl w:val="12"/>
          <w:numId w:val="0"/>
        </w:numPr>
      </w:pPr>
      <w:r>
        <w:tab/>
        <w:t>W znakach użytkowanych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 x 1200 mm.</w:t>
      </w:r>
    </w:p>
    <w:p w:rsidR="00216C9A" w:rsidRDefault="00216C9A" w:rsidP="00216C9A">
      <w:pPr>
        <w:numPr>
          <w:ilvl w:val="12"/>
          <w:numId w:val="0"/>
        </w:numPr>
      </w:pPr>
      <w:r>
        <w:tab/>
        <w:t>Uszkodzenia folii nie mogą zniekształcać treści znaku - w przypadku występowania takiego zniekształcenia znak musi być bezzwłocznie wymieniony.</w:t>
      </w:r>
    </w:p>
    <w:p w:rsidR="00216C9A" w:rsidRDefault="00216C9A" w:rsidP="00216C9A">
      <w:pPr>
        <w:numPr>
          <w:ilvl w:val="12"/>
          <w:numId w:val="0"/>
        </w:numPr>
      </w:pPr>
      <w:r>
        <w:tab/>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216C9A" w:rsidRDefault="00216C9A" w:rsidP="00216C9A">
      <w:pPr>
        <w:numPr>
          <w:ilvl w:val="12"/>
          <w:numId w:val="0"/>
        </w:numPr>
      </w:pPr>
      <w:r>
        <w:tab/>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216C9A" w:rsidRDefault="00216C9A" w:rsidP="00216C9A">
      <w:pPr>
        <w:numPr>
          <w:ilvl w:val="12"/>
          <w:numId w:val="0"/>
        </w:numPr>
      </w:pPr>
      <w:r>
        <w:tab/>
        <w:t>Wymagana jest taka wytrzymałość połączenia folii odblaskowej z tarczą znaku, by po zgięciu tarczy o 90</w:t>
      </w:r>
      <w:r>
        <w:rPr>
          <w:vertAlign w:val="superscript"/>
        </w:rPr>
        <w:t>o</w:t>
      </w:r>
      <w:r>
        <w:t xml:space="preserve"> przy promieniu łuku zgięcia do 10 mm w żadnym miejscu nie uległo ono zniszczeniu.</w:t>
      </w:r>
    </w:p>
    <w:p w:rsidR="00216C9A" w:rsidRDefault="00216C9A" w:rsidP="00216C9A">
      <w:pPr>
        <w:numPr>
          <w:ilvl w:val="12"/>
          <w:numId w:val="0"/>
        </w:numPr>
      </w:pPr>
      <w:r>
        <w:tab/>
        <w:t xml:space="preserve">Tylna strona tarczy znaków odblaskowych musi być zabezpieczona matową farbą </w:t>
      </w:r>
      <w:proofErr w:type="spellStart"/>
      <w:r>
        <w:t>nieodblaskową</w:t>
      </w:r>
      <w:proofErr w:type="spellEnd"/>
      <w:r>
        <w:t xml:space="preserve"> barwy ciemno-szarej (szarej naturalnej) o współczynniku luminancji 0,08 do 0,10 - według wzorca stanowiącego załącznik do „Instrukcji o znakach drogowych pionowych” [28]. Grubość powłoki farby nie może być mniejsza od 20 </w:t>
      </w:r>
      <w:r>
        <w:sym w:font="Symbol" w:char="F06D"/>
      </w:r>
      <w:r>
        <w:t>m. Gdy tarcza znaku jest wykonana z aluminium lub ze stali cynkowanej ogniowo i cynkowanie to jest wykonywane po ukształtowaniu tarczy - jej krawędzie mogą pozostać niezabezpieczone farbą ochronną.</w:t>
      </w:r>
    </w:p>
    <w:p w:rsidR="00216C9A" w:rsidRDefault="00216C9A" w:rsidP="00216C9A">
      <w:pPr>
        <w:numPr>
          <w:ilvl w:val="12"/>
          <w:numId w:val="0"/>
        </w:numPr>
      </w:pPr>
      <w:r>
        <w:lastRenderedPageBreak/>
        <w:t>Należy zastosować folie I generacji</w:t>
      </w:r>
    </w:p>
    <w:p w:rsidR="00216C9A" w:rsidRDefault="00216C9A" w:rsidP="00216C9A">
      <w:pPr>
        <w:numPr>
          <w:ilvl w:val="12"/>
          <w:numId w:val="0"/>
        </w:numPr>
        <w:spacing w:before="120"/>
      </w:pPr>
    </w:p>
    <w:p w:rsidR="00216C9A" w:rsidRDefault="00216C9A" w:rsidP="00216C9A">
      <w:pPr>
        <w:numPr>
          <w:ilvl w:val="12"/>
          <w:numId w:val="0"/>
        </w:numPr>
        <w:spacing w:before="120"/>
      </w:pPr>
      <w:r>
        <w:rPr>
          <w:b/>
        </w:rPr>
        <w:t xml:space="preserve">2.7.6. </w:t>
      </w:r>
      <w:r>
        <w:t>Wymagania jakościowe dla znaków oklejanych</w:t>
      </w:r>
    </w:p>
    <w:p w:rsidR="00216C9A" w:rsidRDefault="00216C9A" w:rsidP="00216C9A">
      <w:pPr>
        <w:numPr>
          <w:ilvl w:val="12"/>
          <w:numId w:val="0"/>
        </w:numPr>
        <w:spacing w:before="120"/>
      </w:pPr>
      <w:r>
        <w:tab/>
        <w:t>Powierzchnia tarczy znaku oklejanego musi być równa i gładka; nie mogą na niej występować lokalne nierówności i pofałdowania.</w:t>
      </w:r>
    </w:p>
    <w:p w:rsidR="00216C9A" w:rsidRDefault="00216C9A" w:rsidP="00216C9A">
      <w:pPr>
        <w:numPr>
          <w:ilvl w:val="12"/>
          <w:numId w:val="0"/>
        </w:numPr>
      </w:pPr>
      <w:r>
        <w:tab/>
        <w:t>W znakach nowych na każdym z fragmentów powierzchni znaku o wymiarach            4 x 4 cm nie może występować więcej niż 0,7 lokalnych usterek (niewielkie zarysowania o długości nie większej niż 8 mm itp.) o wymiarach nie większych niż 1 mm w każdym kierunku. Niedopuszczalne jest występowanie jakichkolwiek rozległych zarysowań oraz pojedynczych rys dłuższych od 8 mm na powierzchni znaku.</w:t>
      </w:r>
    </w:p>
    <w:p w:rsidR="00216C9A" w:rsidRDefault="00216C9A" w:rsidP="00216C9A">
      <w:pPr>
        <w:numPr>
          <w:ilvl w:val="12"/>
          <w:numId w:val="0"/>
        </w:numPr>
      </w:pPr>
      <w:r>
        <w:tab/>
        <w:t>W znakach użytkowanych w okresie wymaganej trwałości znaku na każdym z fragmentów powierzchni znaku o wymiarach 4 x 4 cm dopuszcza się do 2 lokalnych usterek jak wyżej, o wymiarach nie większych od 2 mm w każdym kierunku. Na każdym z tych fragmentów dopuszcza się do 3 zarysowań o szerokości nie większej niż 0,8 mm i całkowitej długości nie większej niż 10 cm. Na całkowitej powierzchni znaku dopuszcza się nie więcej niż 5 zarysowań szerokości nie większej niż 0,8 mm i długości przekraczającej 10 cm lecz nie większej od 20 cm - pod warunkiem, że zarysowania te nie zniekształcają treści znaku.</w:t>
      </w:r>
    </w:p>
    <w:p w:rsidR="00216C9A" w:rsidRDefault="00216C9A" w:rsidP="00216C9A">
      <w:pPr>
        <w:numPr>
          <w:ilvl w:val="12"/>
          <w:numId w:val="0"/>
        </w:numPr>
      </w:pPr>
      <w:r>
        <w:tab/>
        <w:t>W znakach użytkowanych w okresie wymaganej trwałości dopuszcza się również lokalne odklejenia folii o powierzchni nie przekraczającej 8 mm</w:t>
      </w:r>
      <w:r>
        <w:rPr>
          <w:vertAlign w:val="superscript"/>
        </w:rPr>
        <w:t>2</w:t>
      </w:r>
      <w:r>
        <w:t xml:space="preserve"> każde - w liczbie nie większej niż pięć na powierzchni znaku małego lub średniego, oraz o powierzchni nie przekraczającej 10 mm</w:t>
      </w:r>
      <w:r>
        <w:rPr>
          <w:vertAlign w:val="superscript"/>
        </w:rPr>
        <w:t>2</w:t>
      </w:r>
      <w:r>
        <w:t xml:space="preserve"> każde w liczbie nie większej niż 8 na każdym z fragmentów powierzchni znaku dużego lub wielkiego (włączając znaki informacyjne) o wymiarach       1200 x 1200 mm lub na całkowitej powierzchni znaku, jeżeli powierzchnia ta jest mniejsza od 1,44 m</w:t>
      </w:r>
      <w:r>
        <w:rPr>
          <w:vertAlign w:val="superscript"/>
        </w:rPr>
        <w:t>2</w:t>
      </w:r>
      <w:r>
        <w:t>.</w:t>
      </w:r>
    </w:p>
    <w:p w:rsidR="00216C9A" w:rsidRDefault="00216C9A" w:rsidP="00216C9A">
      <w:pPr>
        <w:numPr>
          <w:ilvl w:val="12"/>
          <w:numId w:val="0"/>
        </w:numPr>
      </w:pPr>
      <w:r>
        <w:tab/>
        <w:t>Zarysowania i oderwania folii nie mogą zniekształcać treści znaku - w przypadku występowania takiego zniekształcenia znak musi być bezzwłocznie wymieniony.</w:t>
      </w:r>
    </w:p>
    <w:p w:rsidR="00216C9A" w:rsidRDefault="00216C9A" w:rsidP="00216C9A">
      <w:pPr>
        <w:numPr>
          <w:ilvl w:val="12"/>
          <w:numId w:val="0"/>
        </w:numPr>
      </w:pPr>
      <w:r>
        <w:tab/>
        <w:t>W znakach nowych niedopuszczalne jest występowanie jakichkolwiek zarysowań, sięgających przez warstwę folii do powierzchni tarczy znaku. W znakach użytkowanych istnienie takich rys jest dopuszczalne pod warunkiem, że występujące w ich otoczeniu ogniska korozyjne nie przekroczą wielkości określonych w dalszym ciągu.</w:t>
      </w:r>
    </w:p>
    <w:p w:rsidR="00216C9A" w:rsidRDefault="00216C9A" w:rsidP="00216C9A">
      <w:pPr>
        <w:numPr>
          <w:ilvl w:val="12"/>
          <w:numId w:val="0"/>
        </w:numPr>
      </w:pPr>
      <w:r>
        <w:tab/>
        <w:t>Zachowana musi być co najmniej identyczna dokładność rysunku znaku, jak dla znaków malowanych (pkt 2.7.5).</w:t>
      </w:r>
    </w:p>
    <w:p w:rsidR="00216C9A" w:rsidRDefault="00216C9A" w:rsidP="00216C9A">
      <w:pPr>
        <w:numPr>
          <w:ilvl w:val="12"/>
          <w:numId w:val="0"/>
        </w:numPr>
      </w:pPr>
      <w:r>
        <w:tab/>
        <w:t xml:space="preserve">W znakach nowych folia nie może wykazywać żadnych znamion </w:t>
      </w:r>
      <w:proofErr w:type="spellStart"/>
      <w:r>
        <w:t>odklejeń</w:t>
      </w:r>
      <w:proofErr w:type="spellEnd"/>
      <w:r>
        <w:t>, rozwarstwień, zanieczyszczeń itp. między poszczególnymi warstwami folii lub licem i tarczą znaku. Niedopuszczalne jest występowanie jakichkolwiek ognisk korozji zarówno na powierzchni jak i na obrzeżach tarczy znaku.</w:t>
      </w:r>
    </w:p>
    <w:p w:rsidR="00216C9A" w:rsidRDefault="00216C9A" w:rsidP="00216C9A">
      <w:pPr>
        <w:numPr>
          <w:ilvl w:val="12"/>
          <w:numId w:val="0"/>
        </w:numPr>
      </w:pPr>
      <w:r>
        <w:tab/>
        <w:t xml:space="preserve">W znakach użytkowanych dopuszczalne jest występowanie po okresie wymaganej gwarancji co najwyżej dwóch lokalnych ognisk korozji o wymiarach nie przekraczających 2,0 mm w każdym kierunku na powierzchni każdego  fragmentu znaku o wymiarach                       4 x 4 cm. </w:t>
      </w:r>
    </w:p>
    <w:p w:rsidR="00216C9A" w:rsidRDefault="00216C9A" w:rsidP="00216C9A">
      <w:pPr>
        <w:numPr>
          <w:ilvl w:val="12"/>
          <w:numId w:val="0"/>
        </w:numPr>
        <w:ind w:firstLine="709"/>
      </w:pPr>
      <w:r>
        <w:t>W znakach nowych oraz w znakach znajdujących się w okresie wymaganej gwarancji nie może występować żadna korozja tarczy znaku.</w:t>
      </w:r>
    </w:p>
    <w:p w:rsidR="00216C9A" w:rsidRDefault="00216C9A" w:rsidP="00216C9A">
      <w:pPr>
        <w:numPr>
          <w:ilvl w:val="12"/>
          <w:numId w:val="0"/>
        </w:numPr>
      </w:pPr>
      <w:r>
        <w:tab/>
        <w:t>Wymagana jest taka wytrzymałość połączenia folii z tarczą znaku, by po zgięciu tarczy o 90</w:t>
      </w:r>
      <w:r>
        <w:rPr>
          <w:vertAlign w:val="superscript"/>
        </w:rPr>
        <w:t>o</w:t>
      </w:r>
      <w:r>
        <w:t xml:space="preserve"> przy promieniu łuku zgięcia do 15 mm w żadnym miejscu nie uległo ono zniszczeniu.</w:t>
      </w:r>
    </w:p>
    <w:p w:rsidR="00216C9A" w:rsidRDefault="00216C9A" w:rsidP="00216C9A">
      <w:pPr>
        <w:numPr>
          <w:ilvl w:val="12"/>
          <w:numId w:val="0"/>
        </w:numPr>
      </w:pPr>
      <w:r>
        <w:tab/>
        <w:t>Zabronione jest stosowanie folii, które mogą być bez całkowitego zniszczenia odklejone od tarczy znaku lub od innej folii, na której zostały naklejone.</w:t>
      </w:r>
    </w:p>
    <w:p w:rsidR="00216C9A" w:rsidRDefault="00216C9A" w:rsidP="00216C9A">
      <w:pPr>
        <w:numPr>
          <w:ilvl w:val="12"/>
          <w:numId w:val="0"/>
        </w:numPr>
        <w:spacing w:before="120"/>
      </w:pPr>
      <w:r>
        <w:rPr>
          <w:b/>
        </w:rPr>
        <w:t xml:space="preserve">2.7.7. </w:t>
      </w:r>
      <w:r>
        <w:t xml:space="preserve">Tylna strona znaków </w:t>
      </w:r>
      <w:proofErr w:type="spellStart"/>
      <w:r>
        <w:t>nieodblaskowych</w:t>
      </w:r>
      <w:proofErr w:type="spellEnd"/>
    </w:p>
    <w:p w:rsidR="00216C9A" w:rsidRDefault="00216C9A" w:rsidP="00216C9A">
      <w:pPr>
        <w:numPr>
          <w:ilvl w:val="12"/>
          <w:numId w:val="0"/>
        </w:numPr>
        <w:spacing w:before="120"/>
      </w:pPr>
      <w:r>
        <w:tab/>
        <w:t xml:space="preserve">Tylna strona tarczy znaków musi być zabezpieczona matową farbą </w:t>
      </w:r>
      <w:proofErr w:type="spellStart"/>
      <w:r>
        <w:t>nieodblaskową</w:t>
      </w:r>
      <w:proofErr w:type="spellEnd"/>
      <w:r>
        <w:t xml:space="preserve"> barwy ciemno-szarej (szarej neutralnej) o współczynniku luminancji 0,08 do 0,10 - według wzorca stanowiącego załącznik do „Instrukcji o znakach drogowych pionowych” [28]. Grubość powłoki farby nie może być mniejsza od 20 </w:t>
      </w:r>
      <w:r>
        <w:sym w:font="Symbol" w:char="F06D"/>
      </w:r>
      <w:r>
        <w:t>m. Gdy tarcza znaku jest wykonana z aluminium lub ze stali cynkowanej ogniowo i cynkowanie to jest wykonywane po ukształtowaniu tarczy - jej krawędzie mogą pozostać niezabezpieczone farbą ochronną. W przypadkach wycinania tarczy znaku z blachy stalowej cynkowanej powierzchniowo - krawędzie tarczy należy zabezpieczyć odpowiednią powłoką przeciwkorozyjną.</w:t>
      </w:r>
    </w:p>
    <w:p w:rsidR="00216C9A" w:rsidRDefault="00216C9A" w:rsidP="00216C9A">
      <w:pPr>
        <w:pStyle w:val="Nagwek2"/>
        <w:numPr>
          <w:ilvl w:val="12"/>
          <w:numId w:val="0"/>
        </w:numPr>
      </w:pPr>
      <w:r>
        <w:t>2.11. Materiały do montażu znaków</w:t>
      </w:r>
    </w:p>
    <w:p w:rsidR="00216C9A" w:rsidRDefault="00216C9A" w:rsidP="00216C9A">
      <w:pPr>
        <w:numPr>
          <w:ilvl w:val="12"/>
          <w:numId w:val="0"/>
        </w:numPr>
      </w:pPr>
      <w:r>
        <w:tab/>
        <w:t>Wszystkie ocynkowane łączniki metalowe przewidywane do mocowania między sobą elementów konstrukcji wsporczych znaków jak śruby, listwy, wkręty, nakrętki itp. powinny być czyste, gładkie, bez pęknięć, naderwań, rozwarstwień i wypukłych karbów.</w:t>
      </w:r>
    </w:p>
    <w:p w:rsidR="00216C9A" w:rsidRDefault="00216C9A" w:rsidP="00216C9A">
      <w:pPr>
        <w:numPr>
          <w:ilvl w:val="12"/>
          <w:numId w:val="0"/>
        </w:numPr>
      </w:pPr>
      <w:r>
        <w:tab/>
        <w:t>Łączniki mogą być dostarczane w pudełkach tekturowych, pojemnikach blaszanych lub paletach, w zależności od ich wielkości.</w:t>
      </w:r>
    </w:p>
    <w:p w:rsidR="00216C9A" w:rsidRDefault="00216C9A" w:rsidP="00216C9A">
      <w:pPr>
        <w:pStyle w:val="Nagwek2"/>
        <w:numPr>
          <w:ilvl w:val="12"/>
          <w:numId w:val="0"/>
        </w:numPr>
      </w:pPr>
      <w:r>
        <w:lastRenderedPageBreak/>
        <w:t>2.12. Przechowywanie i składowanie materiałów</w:t>
      </w:r>
    </w:p>
    <w:p w:rsidR="00216C9A" w:rsidRDefault="00216C9A" w:rsidP="00216C9A">
      <w:pPr>
        <w:numPr>
          <w:ilvl w:val="12"/>
          <w:numId w:val="0"/>
        </w:numPr>
      </w:pPr>
      <w:r>
        <w:tab/>
        <w:t>Cement stosowany do wykonania fundamentów dla pionowych znaków drogowych powinien być przechowywany zgodnie z BN-88/6731-08 [27].</w:t>
      </w:r>
    </w:p>
    <w:p w:rsidR="00216C9A" w:rsidRDefault="00216C9A" w:rsidP="00216C9A">
      <w:pPr>
        <w:numPr>
          <w:ilvl w:val="12"/>
          <w:numId w:val="0"/>
        </w:numPr>
      </w:pPr>
      <w:r>
        <w:tab/>
        <w:t>Kruszywo do betonu należy przechowywać w warunkach zabezpieczających je przed zanieczyszczeniem oraz zmieszaniem z kruszywami innych klas.</w:t>
      </w:r>
    </w:p>
    <w:p w:rsidR="00216C9A" w:rsidRDefault="00216C9A" w:rsidP="00216C9A">
      <w:pPr>
        <w:numPr>
          <w:ilvl w:val="12"/>
          <w:numId w:val="0"/>
        </w:numPr>
      </w:pPr>
      <w:r>
        <w:tab/>
        <w:t>Prefabrykaty betonowe powinny być składowane na wyrównanym, utwardzonym i odwodnionym podłożu. Prefabrykaty należy układać na podkładach z zachowaniem prześwitu minimum 10 cm między podłożem a prefabrykatem.</w:t>
      </w:r>
    </w:p>
    <w:p w:rsidR="00216C9A" w:rsidRDefault="00216C9A" w:rsidP="00216C9A">
      <w:pPr>
        <w:numPr>
          <w:ilvl w:val="12"/>
          <w:numId w:val="0"/>
        </w:numPr>
      </w:pPr>
      <w:r>
        <w:tab/>
        <w:t>Znaki powinny być przechowywane w pomieszczeniach suchych, z dala od materiałów działających korodująco i w warunkach zabezpieczających przed uszkodzeniami.</w:t>
      </w:r>
    </w:p>
    <w:p w:rsidR="00216C9A" w:rsidRDefault="00216C9A" w:rsidP="00216C9A">
      <w:pPr>
        <w:pStyle w:val="Nagwek1"/>
        <w:numPr>
          <w:ilvl w:val="12"/>
          <w:numId w:val="0"/>
        </w:numPr>
      </w:pPr>
      <w:bookmarkStart w:id="506" w:name="_Toc425833582"/>
      <w:r>
        <w:t>3. sprzęt</w:t>
      </w:r>
      <w:bookmarkEnd w:id="506"/>
    </w:p>
    <w:p w:rsidR="00216C9A" w:rsidRDefault="00216C9A" w:rsidP="00216C9A">
      <w:pPr>
        <w:pStyle w:val="Nagwek2"/>
        <w:numPr>
          <w:ilvl w:val="12"/>
          <w:numId w:val="0"/>
        </w:numPr>
      </w:pPr>
      <w:r>
        <w:t>3.1. Ogólne wymagania dotyczące sprzętu</w:t>
      </w:r>
    </w:p>
    <w:p w:rsidR="00216C9A" w:rsidRDefault="00216C9A" w:rsidP="00216C9A">
      <w:pPr>
        <w:numPr>
          <w:ilvl w:val="12"/>
          <w:numId w:val="0"/>
        </w:numPr>
      </w:pPr>
      <w:r>
        <w:tab/>
        <w:t>Ogólne wymagania dotyczące sprzętu podano w SST D-M-00.00.00 „Wymagania ogólne” pkt 3.</w:t>
      </w:r>
    </w:p>
    <w:p w:rsidR="00216C9A" w:rsidRDefault="00216C9A" w:rsidP="00216C9A">
      <w:pPr>
        <w:pStyle w:val="Nagwek2"/>
        <w:numPr>
          <w:ilvl w:val="12"/>
          <w:numId w:val="0"/>
        </w:numPr>
      </w:pPr>
      <w:r>
        <w:t>3.2. Sprzęt do wykonania oznakowania pionowego</w:t>
      </w:r>
    </w:p>
    <w:p w:rsidR="00216C9A" w:rsidRDefault="00216C9A" w:rsidP="00216C9A">
      <w:pPr>
        <w:numPr>
          <w:ilvl w:val="12"/>
          <w:numId w:val="0"/>
        </w:numPr>
      </w:pPr>
      <w:r>
        <w:tab/>
        <w:t>Wykonawca przystępujący do wykonania oznakowania pionowego powinien wykazać się możliwością korzystania z następującego sprzętu:</w:t>
      </w:r>
    </w:p>
    <w:p w:rsidR="00216C9A" w:rsidRDefault="00216C9A" w:rsidP="00216C9A">
      <w:pPr>
        <w:numPr>
          <w:ilvl w:val="0"/>
          <w:numId w:val="191"/>
        </w:numPr>
        <w:overflowPunct w:val="0"/>
        <w:autoSpaceDE w:val="0"/>
        <w:autoSpaceDN w:val="0"/>
        <w:adjustRightInd w:val="0"/>
        <w:ind w:left="283"/>
        <w:jc w:val="both"/>
      </w:pPr>
      <w:r>
        <w:t>koparek kołowych, np. 0,15 m</w:t>
      </w:r>
      <w:r>
        <w:rPr>
          <w:vertAlign w:val="superscript"/>
        </w:rPr>
        <w:t>3</w:t>
      </w:r>
      <w:r>
        <w:t xml:space="preserve"> lub koparek gąsienicowych, np. 0,25 m</w:t>
      </w:r>
      <w:r>
        <w:rPr>
          <w:vertAlign w:val="superscript"/>
        </w:rPr>
        <w:t>3</w:t>
      </w:r>
      <w:r>
        <w:t>,</w:t>
      </w:r>
    </w:p>
    <w:p w:rsidR="00216C9A" w:rsidRDefault="00216C9A" w:rsidP="00216C9A">
      <w:pPr>
        <w:numPr>
          <w:ilvl w:val="0"/>
          <w:numId w:val="191"/>
        </w:numPr>
        <w:overflowPunct w:val="0"/>
        <w:autoSpaceDE w:val="0"/>
        <w:autoSpaceDN w:val="0"/>
        <w:adjustRightInd w:val="0"/>
        <w:ind w:left="283"/>
        <w:jc w:val="both"/>
      </w:pPr>
      <w:r>
        <w:t>żurawi samochodowych o udźwigu do 4 t,</w:t>
      </w:r>
    </w:p>
    <w:p w:rsidR="00216C9A" w:rsidRDefault="00216C9A" w:rsidP="00216C9A">
      <w:pPr>
        <w:numPr>
          <w:ilvl w:val="0"/>
          <w:numId w:val="191"/>
        </w:numPr>
        <w:overflowPunct w:val="0"/>
        <w:autoSpaceDE w:val="0"/>
        <w:autoSpaceDN w:val="0"/>
        <w:adjustRightInd w:val="0"/>
        <w:ind w:left="283"/>
        <w:jc w:val="both"/>
      </w:pPr>
      <w:r>
        <w:t>ewentualnie wiertnic do wykonywania dołów pod słupki w gruncie spoistym,</w:t>
      </w:r>
    </w:p>
    <w:p w:rsidR="00216C9A" w:rsidRDefault="00216C9A" w:rsidP="00216C9A">
      <w:pPr>
        <w:numPr>
          <w:ilvl w:val="0"/>
          <w:numId w:val="191"/>
        </w:numPr>
        <w:overflowPunct w:val="0"/>
        <w:autoSpaceDE w:val="0"/>
        <w:autoSpaceDN w:val="0"/>
        <w:adjustRightInd w:val="0"/>
        <w:ind w:left="283"/>
        <w:jc w:val="both"/>
      </w:pPr>
      <w:r>
        <w:t>betoniarek przewoźnych do wykonywania fundamentów betonowych „na mokro”,</w:t>
      </w:r>
    </w:p>
    <w:p w:rsidR="00216C9A" w:rsidRDefault="00216C9A" w:rsidP="00216C9A">
      <w:pPr>
        <w:numPr>
          <w:ilvl w:val="0"/>
          <w:numId w:val="191"/>
        </w:numPr>
        <w:overflowPunct w:val="0"/>
        <w:autoSpaceDE w:val="0"/>
        <w:autoSpaceDN w:val="0"/>
        <w:adjustRightInd w:val="0"/>
        <w:ind w:left="283"/>
        <w:jc w:val="both"/>
      </w:pPr>
      <w:r>
        <w:t>środków transportowych do przewozu materiałów,</w:t>
      </w:r>
    </w:p>
    <w:p w:rsidR="00216C9A" w:rsidRDefault="00216C9A" w:rsidP="00216C9A">
      <w:pPr>
        <w:numPr>
          <w:ilvl w:val="0"/>
          <w:numId w:val="191"/>
        </w:numPr>
        <w:overflowPunct w:val="0"/>
        <w:autoSpaceDE w:val="0"/>
        <w:autoSpaceDN w:val="0"/>
        <w:adjustRightInd w:val="0"/>
        <w:ind w:left="283"/>
        <w:jc w:val="both"/>
      </w:pPr>
      <w:r>
        <w:t>przewoźnych zbiorników na wodę,</w:t>
      </w:r>
    </w:p>
    <w:p w:rsidR="00216C9A" w:rsidRDefault="00216C9A" w:rsidP="00216C9A">
      <w:pPr>
        <w:numPr>
          <w:ilvl w:val="0"/>
          <w:numId w:val="191"/>
        </w:numPr>
        <w:overflowPunct w:val="0"/>
        <w:autoSpaceDE w:val="0"/>
        <w:autoSpaceDN w:val="0"/>
        <w:adjustRightInd w:val="0"/>
        <w:ind w:left="283"/>
        <w:jc w:val="both"/>
      </w:pPr>
      <w:r>
        <w:t>sprzętu spawalniczego, itp.</w:t>
      </w:r>
    </w:p>
    <w:p w:rsidR="00216C9A" w:rsidRDefault="00216C9A" w:rsidP="00216C9A">
      <w:pPr>
        <w:pStyle w:val="Nagwek1"/>
      </w:pPr>
      <w:bookmarkStart w:id="507" w:name="_Toc425833583"/>
      <w:r>
        <w:t>4. transport</w:t>
      </w:r>
      <w:bookmarkEnd w:id="507"/>
    </w:p>
    <w:p w:rsidR="00216C9A" w:rsidRDefault="00216C9A" w:rsidP="00216C9A">
      <w:pPr>
        <w:pStyle w:val="Nagwek2"/>
        <w:numPr>
          <w:ilvl w:val="12"/>
          <w:numId w:val="0"/>
        </w:numPr>
      </w:pPr>
      <w:r>
        <w:t>4.1. Ogólne wymagania dotyczące transportu</w:t>
      </w:r>
    </w:p>
    <w:p w:rsidR="00216C9A" w:rsidRDefault="00216C9A" w:rsidP="00216C9A">
      <w:pPr>
        <w:numPr>
          <w:ilvl w:val="12"/>
          <w:numId w:val="0"/>
        </w:numPr>
      </w:pPr>
      <w:r>
        <w:tab/>
        <w:t>Ogólne wymagania dotyczące transportu podano w SST D-M-00.00.00 „Wymagania ogólne” pkt 4.</w:t>
      </w:r>
    </w:p>
    <w:p w:rsidR="00216C9A" w:rsidRDefault="00216C9A" w:rsidP="00216C9A">
      <w:pPr>
        <w:pStyle w:val="Nagwek2"/>
        <w:numPr>
          <w:ilvl w:val="12"/>
          <w:numId w:val="0"/>
        </w:numPr>
      </w:pPr>
      <w:r>
        <w:t>4.2. Transport materiałów do pionowego oznakowania dróg</w:t>
      </w:r>
    </w:p>
    <w:p w:rsidR="00216C9A" w:rsidRDefault="00216C9A" w:rsidP="00216C9A">
      <w:pPr>
        <w:numPr>
          <w:ilvl w:val="12"/>
          <w:numId w:val="0"/>
        </w:numPr>
      </w:pPr>
      <w:r>
        <w:tab/>
        <w:t>Transport cementu powinien odbywać się  zgodnie z BN-88/6731-08 [27].</w:t>
      </w:r>
    </w:p>
    <w:p w:rsidR="00216C9A" w:rsidRDefault="00216C9A" w:rsidP="00216C9A">
      <w:pPr>
        <w:numPr>
          <w:ilvl w:val="12"/>
          <w:numId w:val="0"/>
        </w:numPr>
      </w:pPr>
      <w:r>
        <w:tab/>
        <w:t>Transport kruszywa  powinien odbywać się  zgodnie z PN-B-06712 [3].</w:t>
      </w:r>
    </w:p>
    <w:p w:rsidR="00216C9A" w:rsidRDefault="00216C9A" w:rsidP="00216C9A">
      <w:pPr>
        <w:numPr>
          <w:ilvl w:val="12"/>
          <w:numId w:val="0"/>
        </w:numPr>
      </w:pPr>
      <w:r>
        <w:tab/>
        <w:t>Prefabrykaty betonowe - do zamocowania konstrukcji wsporczych znaków, powinny być przewożone środkami transportowymi w warunkach zabezpieczających je przed uszkodzeniami. Rozmieszczenie prefabrykatów na środkach transportu powinno być symetryczne.</w:t>
      </w:r>
    </w:p>
    <w:p w:rsidR="00216C9A" w:rsidRDefault="00216C9A" w:rsidP="00216C9A">
      <w:pPr>
        <w:numPr>
          <w:ilvl w:val="12"/>
          <w:numId w:val="0"/>
        </w:numPr>
      </w:pPr>
      <w:r>
        <w:tab/>
        <w:t>Transport znaków, konstrukcji wsporczych i sprzętu (uchwyty, śruby, nakrętki itp.) powinien się odbywać środkami transportowymi w sposób uniemożliwiający ich przesuwanie się w czasie transportu i uszkadzanie.</w:t>
      </w:r>
    </w:p>
    <w:p w:rsidR="00216C9A" w:rsidRDefault="00216C9A" w:rsidP="00216C9A">
      <w:pPr>
        <w:pStyle w:val="Nagwek1"/>
        <w:numPr>
          <w:ilvl w:val="12"/>
          <w:numId w:val="0"/>
        </w:numPr>
      </w:pPr>
      <w:bookmarkStart w:id="508" w:name="_Toc425833584"/>
      <w:r>
        <w:t>5. wykonanie robót</w:t>
      </w:r>
      <w:bookmarkEnd w:id="508"/>
    </w:p>
    <w:p w:rsidR="00216C9A" w:rsidRDefault="00216C9A" w:rsidP="00216C9A">
      <w:pPr>
        <w:pStyle w:val="Nagwek2"/>
        <w:numPr>
          <w:ilvl w:val="12"/>
          <w:numId w:val="0"/>
        </w:numPr>
      </w:pPr>
      <w:r>
        <w:t>5.1. Ogólne zasady wykonywania robót</w:t>
      </w:r>
    </w:p>
    <w:p w:rsidR="00216C9A" w:rsidRDefault="00216C9A" w:rsidP="00216C9A">
      <w:pPr>
        <w:numPr>
          <w:ilvl w:val="12"/>
          <w:numId w:val="0"/>
        </w:numPr>
      </w:pPr>
      <w:r>
        <w:tab/>
        <w:t>Ogólne zasady wykonywania robót podano w SST D-M-00.00.00 „Wymagania ogólne” pkt 5.</w:t>
      </w:r>
    </w:p>
    <w:p w:rsidR="00216C9A" w:rsidRDefault="00216C9A" w:rsidP="00216C9A">
      <w:pPr>
        <w:pStyle w:val="Nagwek2"/>
        <w:numPr>
          <w:ilvl w:val="12"/>
          <w:numId w:val="0"/>
        </w:numPr>
      </w:pPr>
      <w:r>
        <w:t>5.2. Roboty przygotowawcze</w:t>
      </w:r>
    </w:p>
    <w:p w:rsidR="00216C9A" w:rsidRDefault="00216C9A" w:rsidP="00216C9A">
      <w:pPr>
        <w:numPr>
          <w:ilvl w:val="12"/>
          <w:numId w:val="0"/>
        </w:numPr>
      </w:pPr>
      <w:r>
        <w:tab/>
        <w:t>Przed przystąpieniem do robót należy wyznaczyć:</w:t>
      </w:r>
    </w:p>
    <w:p w:rsidR="00216C9A" w:rsidRDefault="00216C9A" w:rsidP="00216C9A">
      <w:pPr>
        <w:numPr>
          <w:ilvl w:val="0"/>
          <w:numId w:val="191"/>
        </w:numPr>
        <w:overflowPunct w:val="0"/>
        <w:autoSpaceDE w:val="0"/>
        <w:autoSpaceDN w:val="0"/>
        <w:adjustRightInd w:val="0"/>
        <w:ind w:left="283"/>
        <w:jc w:val="both"/>
      </w:pPr>
      <w:r>
        <w:t xml:space="preserve">lokalizację znaku, tj. jego </w:t>
      </w:r>
      <w:proofErr w:type="spellStart"/>
      <w:r>
        <w:t>pikietaż</w:t>
      </w:r>
      <w:proofErr w:type="spellEnd"/>
      <w:r>
        <w:t xml:space="preserve"> oraz odległość od krawędzi jezdni, krawędzi pobocza umocnionego lub pasa awaryjnego postoju,</w:t>
      </w:r>
    </w:p>
    <w:p w:rsidR="00216C9A" w:rsidRDefault="00216C9A" w:rsidP="00216C9A">
      <w:pPr>
        <w:numPr>
          <w:ilvl w:val="0"/>
          <w:numId w:val="191"/>
        </w:numPr>
        <w:overflowPunct w:val="0"/>
        <w:autoSpaceDE w:val="0"/>
        <w:autoSpaceDN w:val="0"/>
        <w:adjustRightInd w:val="0"/>
        <w:ind w:left="283"/>
        <w:jc w:val="both"/>
      </w:pPr>
      <w:r>
        <w:t>wysokość zamocowania znaku na konstrukcji wsporczej.</w:t>
      </w:r>
    </w:p>
    <w:p w:rsidR="00216C9A" w:rsidRDefault="00216C9A" w:rsidP="00216C9A">
      <w:r>
        <w:tab/>
        <w:t>Punkty stabilizujące miejsca ustawienia znaków należy zabezpieczyć w taki sposób, aby w czasie trwania i odbioru robót istniała możliwość sprawdzenia lokalizacji znaków.</w:t>
      </w:r>
    </w:p>
    <w:p w:rsidR="00216C9A" w:rsidRDefault="00216C9A" w:rsidP="00216C9A">
      <w:pPr>
        <w:numPr>
          <w:ilvl w:val="12"/>
          <w:numId w:val="0"/>
        </w:numPr>
      </w:pPr>
      <w:r>
        <w:tab/>
        <w:t>Lokalizacja i wysokość zamocowania znaku powinny być zgodne z dokumentacją projektową.</w:t>
      </w:r>
    </w:p>
    <w:p w:rsidR="00216C9A" w:rsidRDefault="00216C9A" w:rsidP="00216C9A">
      <w:pPr>
        <w:pStyle w:val="Nagwek2"/>
        <w:numPr>
          <w:ilvl w:val="12"/>
          <w:numId w:val="0"/>
        </w:numPr>
      </w:pPr>
      <w:r>
        <w:t>5.3. Wykonanie wykopów i fundamentów dla konstrukcji wsporczych znaków</w:t>
      </w:r>
    </w:p>
    <w:p w:rsidR="00216C9A" w:rsidRDefault="00216C9A" w:rsidP="00216C9A">
      <w:pPr>
        <w:numPr>
          <w:ilvl w:val="12"/>
          <w:numId w:val="0"/>
        </w:numPr>
      </w:pPr>
      <w:r>
        <w:tab/>
        <w:t>Sposób wykonania wykopu pod fundament znaku pionowego powinien być dostosowany do głębokości wykopu, rodzaju gruntu i posiadanego sprzętu. Wymiary wykopu powinny być zgodne z dokumentacją projektową lub wskazaniami Inżyniera.</w:t>
      </w:r>
    </w:p>
    <w:p w:rsidR="00216C9A" w:rsidRDefault="00216C9A" w:rsidP="00216C9A">
      <w:pPr>
        <w:numPr>
          <w:ilvl w:val="12"/>
          <w:numId w:val="0"/>
        </w:numPr>
      </w:pPr>
      <w:r>
        <w:lastRenderedPageBreak/>
        <w:tab/>
        <w:t>Wykopy fundamentowe powinny być wykonane w takim okresie, aby po ich zakończeniu można było przystąpić natychmiast do wykonania w nich robót fundamentowych.</w:t>
      </w:r>
    </w:p>
    <w:p w:rsidR="00216C9A" w:rsidRDefault="00216C9A" w:rsidP="00216C9A">
      <w:pPr>
        <w:numPr>
          <w:ilvl w:val="12"/>
          <w:numId w:val="0"/>
        </w:numPr>
        <w:spacing w:before="120"/>
      </w:pPr>
      <w:r>
        <w:rPr>
          <w:b/>
        </w:rPr>
        <w:t xml:space="preserve">5.3.1. </w:t>
      </w:r>
      <w:r>
        <w:t>Prefabrykaty betonowe</w:t>
      </w:r>
    </w:p>
    <w:p w:rsidR="00216C9A" w:rsidRDefault="00216C9A" w:rsidP="00216C9A">
      <w:pPr>
        <w:numPr>
          <w:ilvl w:val="12"/>
          <w:numId w:val="0"/>
        </w:numPr>
        <w:spacing w:before="120"/>
      </w:pPr>
      <w:r>
        <w:tab/>
        <w:t>Dno wykopu przed ułożeniem prefabrykatu należy wyrównać i zagęścić. Wolne przestrzenie między ścianami gruntu i prefabrykatem należy wypełnić materiałem kamiennym, np. klińcem i dokładnie zagęścić ubijakami ręcznymi.</w:t>
      </w:r>
    </w:p>
    <w:p w:rsidR="00216C9A" w:rsidRDefault="00216C9A" w:rsidP="00216C9A">
      <w:pPr>
        <w:numPr>
          <w:ilvl w:val="12"/>
          <w:numId w:val="0"/>
        </w:numPr>
      </w:pPr>
      <w:r>
        <w:tab/>
        <w:t>Jeżeli znak jest zlokalizowany na poboczu drogi, to górna powierzchnia prefabrykatu powinna być równa z powierzchnią pobocza lub być wyniesiona nad tę powierzchnię nie więcej niż 0,03 m.</w:t>
      </w:r>
    </w:p>
    <w:p w:rsidR="00216C9A" w:rsidRDefault="00216C9A" w:rsidP="00216C9A">
      <w:pPr>
        <w:numPr>
          <w:ilvl w:val="12"/>
          <w:numId w:val="0"/>
        </w:numPr>
        <w:spacing w:before="120"/>
      </w:pPr>
      <w:r>
        <w:rPr>
          <w:b/>
        </w:rPr>
        <w:t xml:space="preserve">5.3.2. </w:t>
      </w:r>
      <w:r>
        <w:t>Fundamenty z betonu i betonu zbrojonego</w:t>
      </w:r>
    </w:p>
    <w:p w:rsidR="00216C9A" w:rsidRDefault="00216C9A" w:rsidP="00216C9A">
      <w:pPr>
        <w:numPr>
          <w:ilvl w:val="12"/>
          <w:numId w:val="0"/>
        </w:numPr>
        <w:spacing w:before="120"/>
      </w:pPr>
      <w:r>
        <w:tab/>
        <w:t>Wykopy pod fundamenty konstrukcji wsporczych dla zamocowania znaków wielkowymiarowych (znak kierunku i miejscowości), wykonywane z betonu „na mokro” lub z betonu zbrojonego należy wykonać zgodnie z PN-S-02205 [24].</w:t>
      </w:r>
    </w:p>
    <w:p w:rsidR="00216C9A" w:rsidRDefault="00216C9A" w:rsidP="00216C9A">
      <w:pPr>
        <w:numPr>
          <w:ilvl w:val="12"/>
          <w:numId w:val="0"/>
        </w:numPr>
      </w:pPr>
      <w: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sym w:font="Symbol" w:char="F0B1"/>
      </w:r>
      <w:r>
        <w:t xml:space="preserve"> 2 cm.</w:t>
      </w:r>
    </w:p>
    <w:p w:rsidR="00216C9A" w:rsidRDefault="00216C9A" w:rsidP="00216C9A">
      <w:pPr>
        <w:numPr>
          <w:ilvl w:val="12"/>
          <w:numId w:val="0"/>
        </w:numPr>
      </w:pPr>
      <w:r>
        <w:tab/>
        <w:t>Przy naruszonej strukturze gruntu rodzimego, grunt należy usunąć i miejsce wypełnić do spodu fundamentu betonem klasy B 15. Płaszczyzny boczne fundamentów stykające się z gruntem należy zabezpieczyć izolacją, np. emulsją kationową. Po wykonaniu fundamentu wykop należy zasypać warstwami grubości 20 cm z dokładnym zagęszczeniem gruntu.</w:t>
      </w:r>
    </w:p>
    <w:p w:rsidR="00216C9A" w:rsidRDefault="00216C9A" w:rsidP="00216C9A">
      <w:pPr>
        <w:pStyle w:val="Nagwek2"/>
        <w:numPr>
          <w:ilvl w:val="12"/>
          <w:numId w:val="0"/>
        </w:numPr>
      </w:pPr>
      <w:r>
        <w:t>5.4. Tolerancje ustawienia znaku pionowego</w:t>
      </w:r>
    </w:p>
    <w:p w:rsidR="00216C9A" w:rsidRDefault="00216C9A" w:rsidP="00216C9A">
      <w:pPr>
        <w:numPr>
          <w:ilvl w:val="12"/>
          <w:numId w:val="0"/>
        </w:numPr>
      </w:pPr>
      <w:r>
        <w:tab/>
        <w:t>Konstrukcje wsporcze znaków - słupki, słupy, wysięgniki, konstrukcje dla tablic wielkowymiarowych, powinny być wykonane zgodnie z dokumentacją pionową i  SST.</w:t>
      </w:r>
    </w:p>
    <w:p w:rsidR="00216C9A" w:rsidRDefault="00216C9A" w:rsidP="00216C9A">
      <w:pPr>
        <w:numPr>
          <w:ilvl w:val="12"/>
          <w:numId w:val="0"/>
        </w:numPr>
      </w:pPr>
      <w:r>
        <w:tab/>
        <w:t>Dopuszczalne tolerancje ustawienia znaku:</w:t>
      </w:r>
    </w:p>
    <w:p w:rsidR="00216C9A" w:rsidRDefault="00216C9A" w:rsidP="00216C9A">
      <w:pPr>
        <w:numPr>
          <w:ilvl w:val="0"/>
          <w:numId w:val="191"/>
        </w:numPr>
        <w:overflowPunct w:val="0"/>
        <w:autoSpaceDE w:val="0"/>
        <w:autoSpaceDN w:val="0"/>
        <w:adjustRightInd w:val="0"/>
        <w:ind w:left="283"/>
        <w:jc w:val="both"/>
      </w:pPr>
      <w:r>
        <w:t xml:space="preserve">odchyłka od pionu, nie więcej niż </w:t>
      </w:r>
      <w:r>
        <w:sym w:font="Symbol" w:char="F0B1"/>
      </w:r>
      <w:r>
        <w:t xml:space="preserve"> 1 %,</w:t>
      </w:r>
    </w:p>
    <w:p w:rsidR="00216C9A" w:rsidRDefault="00216C9A" w:rsidP="00216C9A">
      <w:pPr>
        <w:numPr>
          <w:ilvl w:val="0"/>
          <w:numId w:val="191"/>
        </w:numPr>
        <w:overflowPunct w:val="0"/>
        <w:autoSpaceDE w:val="0"/>
        <w:autoSpaceDN w:val="0"/>
        <w:adjustRightInd w:val="0"/>
        <w:ind w:left="283"/>
        <w:jc w:val="both"/>
      </w:pPr>
      <w:r>
        <w:t xml:space="preserve">odchyłka w wysokości umieszczenia znaku, nie więcej niż </w:t>
      </w:r>
      <w:r>
        <w:sym w:font="Symbol" w:char="F0B1"/>
      </w:r>
      <w:r>
        <w:t xml:space="preserve"> 2 cm,</w:t>
      </w:r>
    </w:p>
    <w:p w:rsidR="00216C9A" w:rsidRDefault="00216C9A" w:rsidP="00216C9A">
      <w:pPr>
        <w:numPr>
          <w:ilvl w:val="0"/>
          <w:numId w:val="191"/>
        </w:numPr>
        <w:overflowPunct w:val="0"/>
        <w:autoSpaceDE w:val="0"/>
        <w:autoSpaceDN w:val="0"/>
        <w:adjustRightInd w:val="0"/>
        <w:ind w:left="283"/>
        <w:jc w:val="both"/>
      </w:pPr>
      <w:r>
        <w:t xml:space="preserve">odchyłka w odległości ustawienia znaku od krawędzi jezdni utwardzonego pobocza lub pasa awaryjnego postoju, nie więcej niż </w:t>
      </w:r>
      <w:r>
        <w:sym w:font="Symbol" w:char="F0B1"/>
      </w:r>
      <w:r>
        <w:t xml:space="preserve"> 5 cm, przy zachowaniu minimalnej odległości umieszczenia znaku zgodnie z Instrukcją o znakach drogowych pionowych [28].</w:t>
      </w:r>
    </w:p>
    <w:p w:rsidR="00216C9A" w:rsidRDefault="00216C9A" w:rsidP="00216C9A"/>
    <w:p w:rsidR="00216C9A" w:rsidRDefault="00216C9A" w:rsidP="00216C9A">
      <w:pPr>
        <w:numPr>
          <w:ilvl w:val="12"/>
          <w:numId w:val="0"/>
        </w:numPr>
      </w:pPr>
    </w:p>
    <w:p w:rsidR="00216C9A" w:rsidRDefault="00216C9A" w:rsidP="00216C9A">
      <w:pPr>
        <w:pStyle w:val="Nagwek2"/>
        <w:numPr>
          <w:ilvl w:val="12"/>
          <w:numId w:val="0"/>
        </w:numPr>
      </w:pPr>
      <w:r>
        <w:t>5.5. Wykonanie spawanych złącz elementów metalowych</w:t>
      </w:r>
    </w:p>
    <w:p w:rsidR="00216C9A" w:rsidRDefault="00216C9A" w:rsidP="00216C9A">
      <w:pPr>
        <w:numPr>
          <w:ilvl w:val="12"/>
          <w:numId w:val="0"/>
        </w:numPr>
      </w:pPr>
      <w:r>
        <w:tab/>
        <w:t>Złącza spawane elementów metalowych powinny odpowiadać wymaganiom PN-M-69011 [20].</w:t>
      </w:r>
    </w:p>
    <w:p w:rsidR="00216C9A" w:rsidRDefault="00216C9A" w:rsidP="00216C9A">
      <w:pPr>
        <w:numPr>
          <w:ilvl w:val="12"/>
          <w:numId w:val="0"/>
        </w:numPr>
      </w:pPr>
      <w:r>
        <w:tab/>
        <w:t xml:space="preserve">Wytrzymałość zmęczeniowa spoin powinna wynosić od 19 do 32 </w:t>
      </w:r>
      <w:proofErr w:type="spellStart"/>
      <w:r>
        <w:t>MPa</w:t>
      </w:r>
      <w:proofErr w:type="spellEnd"/>
      <w:r>
        <w:t xml:space="preserve">. Odchyłki wymiarów spoin nie powinny przekraczać </w:t>
      </w:r>
      <w:r>
        <w:sym w:font="Symbol" w:char="F0B1"/>
      </w:r>
      <w:r>
        <w:t xml:space="preserve"> 0,5 mm dla spoiny grubości do 6 mm i </w:t>
      </w:r>
      <w:r>
        <w:sym w:font="Symbol" w:char="F0B1"/>
      </w:r>
      <w:r>
        <w:t xml:space="preserve"> 1,0 mm dla spoiny o grubości powyżej 6 mm.</w:t>
      </w:r>
    </w:p>
    <w:p w:rsidR="00216C9A" w:rsidRDefault="00216C9A" w:rsidP="00216C9A">
      <w:pPr>
        <w:numPr>
          <w:ilvl w:val="12"/>
          <w:numId w:val="0"/>
        </w:numPr>
      </w:pPr>
      <w:r>
        <w:tab/>
        <w:t>Odstęp w złączach zakładkowych i nakładkowych, pomiędzy przylegającymi do siebie płaszczyznami nie powinien być większy niż 1 mm.</w:t>
      </w:r>
    </w:p>
    <w:p w:rsidR="00216C9A" w:rsidRDefault="00216C9A" w:rsidP="00216C9A">
      <w:pPr>
        <w:numPr>
          <w:ilvl w:val="12"/>
          <w:numId w:val="0"/>
        </w:numPr>
      </w:pPr>
      <w:r>
        <w:tab/>
        <w:t>Złącza spawane nie powinny mieć wad większych niż podane w tablicy 5. Inżynier może dopuścić wady większe niż podane w tablicy jeśli uzna, że nie mają one zasadniczego wpływu na cechy eksploatacyjne znaku pionowego.</w:t>
      </w:r>
    </w:p>
    <w:p w:rsidR="00216C9A" w:rsidRDefault="00216C9A" w:rsidP="00216C9A">
      <w:pPr>
        <w:numPr>
          <w:ilvl w:val="12"/>
          <w:numId w:val="0"/>
        </w:numPr>
        <w:spacing w:before="120" w:after="120"/>
      </w:pPr>
      <w:r>
        <w:t>Tablica 5. Dopuszczalne wymiary wad w złączach spawanych, wg PN-M-69775 [23]</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55"/>
        <w:gridCol w:w="3755"/>
      </w:tblGrid>
      <w:tr w:rsidR="00216C9A" w:rsidTr="00216C9A">
        <w:tc>
          <w:tcPr>
            <w:tcW w:w="3755" w:type="dxa"/>
            <w:tcBorders>
              <w:top w:val="single" w:sz="6" w:space="0" w:color="auto"/>
              <w:left w:val="single" w:sz="6" w:space="0" w:color="auto"/>
              <w:bottom w:val="double" w:sz="6" w:space="0" w:color="auto"/>
              <w:right w:val="single" w:sz="6" w:space="0" w:color="auto"/>
            </w:tcBorders>
            <w:hideMark/>
          </w:tcPr>
          <w:p w:rsidR="00216C9A" w:rsidRDefault="00216C9A">
            <w:pPr>
              <w:numPr>
                <w:ilvl w:val="12"/>
                <w:numId w:val="0"/>
              </w:numPr>
              <w:overflowPunct w:val="0"/>
              <w:autoSpaceDE w:val="0"/>
              <w:autoSpaceDN w:val="0"/>
              <w:adjustRightInd w:val="0"/>
              <w:spacing w:before="60" w:after="60" w:line="276" w:lineRule="auto"/>
              <w:jc w:val="center"/>
              <w:rPr>
                <w:lang w:eastAsia="en-US"/>
              </w:rPr>
            </w:pPr>
            <w:r>
              <w:rPr>
                <w:lang w:eastAsia="en-US"/>
              </w:rPr>
              <w:t>Rodzaj wady</w:t>
            </w:r>
          </w:p>
        </w:tc>
        <w:tc>
          <w:tcPr>
            <w:tcW w:w="3755" w:type="dxa"/>
            <w:tcBorders>
              <w:top w:val="single" w:sz="6" w:space="0" w:color="auto"/>
              <w:left w:val="single" w:sz="6" w:space="0" w:color="auto"/>
              <w:bottom w:val="double" w:sz="6" w:space="0" w:color="auto"/>
              <w:right w:val="single" w:sz="6" w:space="0" w:color="auto"/>
            </w:tcBorders>
            <w:hideMark/>
          </w:tcPr>
          <w:p w:rsidR="00216C9A" w:rsidRDefault="00216C9A">
            <w:pPr>
              <w:numPr>
                <w:ilvl w:val="12"/>
                <w:numId w:val="0"/>
              </w:numPr>
              <w:overflowPunct w:val="0"/>
              <w:autoSpaceDE w:val="0"/>
              <w:autoSpaceDN w:val="0"/>
              <w:adjustRightInd w:val="0"/>
              <w:spacing w:before="60" w:after="60" w:line="276" w:lineRule="auto"/>
              <w:jc w:val="center"/>
              <w:rPr>
                <w:lang w:eastAsia="en-US"/>
              </w:rPr>
            </w:pPr>
            <w:r>
              <w:rPr>
                <w:lang w:eastAsia="en-US"/>
              </w:rPr>
              <w:t>Dopuszczalny wymiar wady,   mm</w:t>
            </w:r>
          </w:p>
        </w:tc>
      </w:tr>
      <w:tr w:rsidR="00216C9A" w:rsidTr="00216C9A">
        <w:tc>
          <w:tcPr>
            <w:tcW w:w="3755" w:type="dxa"/>
            <w:tcBorders>
              <w:top w:val="nil"/>
              <w:left w:val="single" w:sz="6" w:space="0" w:color="auto"/>
              <w:bottom w:val="single" w:sz="6" w:space="0" w:color="auto"/>
              <w:right w:val="single" w:sz="6" w:space="0" w:color="auto"/>
            </w:tcBorders>
            <w:hideMark/>
          </w:tcPr>
          <w:p w:rsidR="00216C9A" w:rsidRDefault="00216C9A">
            <w:pPr>
              <w:numPr>
                <w:ilvl w:val="12"/>
                <w:numId w:val="0"/>
              </w:numPr>
              <w:spacing w:before="60" w:line="276" w:lineRule="auto"/>
              <w:rPr>
                <w:lang w:eastAsia="en-US"/>
              </w:rPr>
            </w:pPr>
            <w:r>
              <w:rPr>
                <w:lang w:eastAsia="en-US"/>
              </w:rPr>
              <w:t>Brak przetopu</w:t>
            </w:r>
          </w:p>
          <w:p w:rsidR="00216C9A" w:rsidRDefault="00216C9A">
            <w:pPr>
              <w:numPr>
                <w:ilvl w:val="12"/>
                <w:numId w:val="0"/>
              </w:numPr>
              <w:spacing w:line="276" w:lineRule="auto"/>
              <w:rPr>
                <w:lang w:eastAsia="en-US"/>
              </w:rPr>
            </w:pPr>
            <w:r>
              <w:rPr>
                <w:lang w:eastAsia="en-US"/>
              </w:rPr>
              <w:t>Podtopienie lica spoiny</w:t>
            </w:r>
          </w:p>
          <w:p w:rsidR="00216C9A" w:rsidRDefault="00216C9A">
            <w:pPr>
              <w:numPr>
                <w:ilvl w:val="12"/>
                <w:numId w:val="0"/>
              </w:numPr>
              <w:spacing w:line="276" w:lineRule="auto"/>
              <w:rPr>
                <w:lang w:eastAsia="en-US"/>
              </w:rPr>
            </w:pPr>
            <w:r>
              <w:rPr>
                <w:lang w:eastAsia="en-US"/>
              </w:rPr>
              <w:t>Porowatość spoiny</w:t>
            </w:r>
          </w:p>
          <w:p w:rsidR="00216C9A" w:rsidRDefault="00216C9A">
            <w:pPr>
              <w:numPr>
                <w:ilvl w:val="12"/>
                <w:numId w:val="0"/>
              </w:numPr>
              <w:spacing w:line="276" w:lineRule="auto"/>
              <w:rPr>
                <w:lang w:eastAsia="en-US"/>
              </w:rPr>
            </w:pPr>
            <w:r>
              <w:rPr>
                <w:lang w:eastAsia="en-US"/>
              </w:rPr>
              <w:t>Krater w spoinie</w:t>
            </w:r>
          </w:p>
          <w:p w:rsidR="00216C9A" w:rsidRDefault="00216C9A">
            <w:pPr>
              <w:numPr>
                <w:ilvl w:val="12"/>
                <w:numId w:val="0"/>
              </w:numPr>
              <w:spacing w:line="276" w:lineRule="auto"/>
              <w:rPr>
                <w:lang w:eastAsia="en-US"/>
              </w:rPr>
            </w:pPr>
            <w:r>
              <w:rPr>
                <w:lang w:eastAsia="en-US"/>
              </w:rPr>
              <w:t>Wklęśnięcie lica spoiny</w:t>
            </w:r>
          </w:p>
          <w:p w:rsidR="00216C9A" w:rsidRDefault="00216C9A">
            <w:pPr>
              <w:numPr>
                <w:ilvl w:val="12"/>
                <w:numId w:val="0"/>
              </w:numPr>
              <w:spacing w:line="276" w:lineRule="auto"/>
              <w:rPr>
                <w:lang w:eastAsia="en-US"/>
              </w:rPr>
            </w:pPr>
            <w:r>
              <w:rPr>
                <w:lang w:eastAsia="en-US"/>
              </w:rPr>
              <w:t>Uszkodzenie mechaniczne spoiny</w:t>
            </w:r>
          </w:p>
          <w:p w:rsidR="00216C9A" w:rsidRDefault="00216C9A">
            <w:pPr>
              <w:numPr>
                <w:ilvl w:val="12"/>
                <w:numId w:val="0"/>
              </w:numPr>
              <w:overflowPunct w:val="0"/>
              <w:autoSpaceDE w:val="0"/>
              <w:autoSpaceDN w:val="0"/>
              <w:adjustRightInd w:val="0"/>
              <w:spacing w:line="276" w:lineRule="auto"/>
              <w:jc w:val="both"/>
              <w:rPr>
                <w:lang w:eastAsia="en-US"/>
              </w:rPr>
            </w:pPr>
            <w:r>
              <w:rPr>
                <w:lang w:eastAsia="en-US"/>
              </w:rPr>
              <w:t>Różnica wysokości sąsiednich wgłębień               i wypukłości lica spoiny</w:t>
            </w:r>
          </w:p>
        </w:tc>
        <w:tc>
          <w:tcPr>
            <w:tcW w:w="3755" w:type="dxa"/>
            <w:tcBorders>
              <w:top w:val="nil"/>
              <w:left w:val="single" w:sz="6" w:space="0" w:color="auto"/>
              <w:bottom w:val="single" w:sz="6" w:space="0" w:color="auto"/>
              <w:right w:val="single" w:sz="6" w:space="0" w:color="auto"/>
            </w:tcBorders>
          </w:tcPr>
          <w:p w:rsidR="00216C9A" w:rsidRDefault="00216C9A">
            <w:pPr>
              <w:numPr>
                <w:ilvl w:val="12"/>
                <w:numId w:val="0"/>
              </w:numPr>
              <w:spacing w:before="60" w:line="276" w:lineRule="auto"/>
              <w:jc w:val="center"/>
              <w:rPr>
                <w:lang w:eastAsia="en-US"/>
              </w:rPr>
            </w:pPr>
            <w:r>
              <w:rPr>
                <w:lang w:eastAsia="en-US"/>
              </w:rPr>
              <w:t>2,0</w:t>
            </w:r>
          </w:p>
          <w:p w:rsidR="00216C9A" w:rsidRDefault="00216C9A">
            <w:pPr>
              <w:numPr>
                <w:ilvl w:val="12"/>
                <w:numId w:val="0"/>
              </w:numPr>
              <w:spacing w:line="276" w:lineRule="auto"/>
              <w:jc w:val="center"/>
              <w:rPr>
                <w:lang w:eastAsia="en-US"/>
              </w:rPr>
            </w:pPr>
            <w:r>
              <w:rPr>
                <w:lang w:eastAsia="en-US"/>
              </w:rPr>
              <w:t>1,5</w:t>
            </w:r>
          </w:p>
          <w:p w:rsidR="00216C9A" w:rsidRDefault="00216C9A">
            <w:pPr>
              <w:numPr>
                <w:ilvl w:val="12"/>
                <w:numId w:val="0"/>
              </w:numPr>
              <w:spacing w:line="276" w:lineRule="auto"/>
              <w:jc w:val="center"/>
              <w:rPr>
                <w:lang w:eastAsia="en-US"/>
              </w:rPr>
            </w:pPr>
            <w:r>
              <w:rPr>
                <w:lang w:eastAsia="en-US"/>
              </w:rPr>
              <w:t>3,0</w:t>
            </w:r>
          </w:p>
          <w:p w:rsidR="00216C9A" w:rsidRDefault="00216C9A">
            <w:pPr>
              <w:numPr>
                <w:ilvl w:val="12"/>
                <w:numId w:val="0"/>
              </w:numPr>
              <w:spacing w:line="276" w:lineRule="auto"/>
              <w:jc w:val="center"/>
              <w:rPr>
                <w:lang w:eastAsia="en-US"/>
              </w:rPr>
            </w:pPr>
            <w:r>
              <w:rPr>
                <w:lang w:eastAsia="en-US"/>
              </w:rPr>
              <w:t>1,5</w:t>
            </w:r>
          </w:p>
          <w:p w:rsidR="00216C9A" w:rsidRDefault="00216C9A">
            <w:pPr>
              <w:numPr>
                <w:ilvl w:val="12"/>
                <w:numId w:val="0"/>
              </w:numPr>
              <w:spacing w:line="276" w:lineRule="auto"/>
              <w:jc w:val="center"/>
              <w:rPr>
                <w:lang w:eastAsia="en-US"/>
              </w:rPr>
            </w:pPr>
            <w:r>
              <w:rPr>
                <w:lang w:eastAsia="en-US"/>
              </w:rPr>
              <w:t>1,5</w:t>
            </w:r>
          </w:p>
          <w:p w:rsidR="00216C9A" w:rsidRDefault="00216C9A">
            <w:pPr>
              <w:numPr>
                <w:ilvl w:val="12"/>
                <w:numId w:val="0"/>
              </w:numPr>
              <w:spacing w:line="276" w:lineRule="auto"/>
              <w:jc w:val="center"/>
              <w:rPr>
                <w:lang w:eastAsia="en-US"/>
              </w:rPr>
            </w:pPr>
            <w:r>
              <w:rPr>
                <w:lang w:eastAsia="en-US"/>
              </w:rPr>
              <w:t>1,0</w:t>
            </w:r>
          </w:p>
          <w:p w:rsidR="00216C9A" w:rsidRDefault="00216C9A">
            <w:pPr>
              <w:numPr>
                <w:ilvl w:val="12"/>
                <w:numId w:val="0"/>
              </w:numPr>
              <w:spacing w:line="276" w:lineRule="auto"/>
              <w:jc w:val="center"/>
              <w:rPr>
                <w:lang w:eastAsia="en-US"/>
              </w:rPr>
            </w:pPr>
          </w:p>
          <w:p w:rsidR="00216C9A" w:rsidRDefault="00216C9A">
            <w:pPr>
              <w:numPr>
                <w:ilvl w:val="12"/>
                <w:numId w:val="0"/>
              </w:numPr>
              <w:overflowPunct w:val="0"/>
              <w:autoSpaceDE w:val="0"/>
              <w:autoSpaceDN w:val="0"/>
              <w:adjustRightInd w:val="0"/>
              <w:spacing w:after="60" w:line="276" w:lineRule="auto"/>
              <w:jc w:val="center"/>
              <w:rPr>
                <w:lang w:eastAsia="en-US"/>
              </w:rPr>
            </w:pPr>
            <w:r>
              <w:rPr>
                <w:lang w:eastAsia="en-US"/>
              </w:rPr>
              <w:t>3,0</w:t>
            </w:r>
          </w:p>
        </w:tc>
      </w:tr>
    </w:tbl>
    <w:p w:rsidR="00216C9A" w:rsidRDefault="00216C9A" w:rsidP="00216C9A">
      <w:pPr>
        <w:pStyle w:val="Nagwek2"/>
        <w:numPr>
          <w:ilvl w:val="12"/>
          <w:numId w:val="0"/>
        </w:numPr>
        <w:spacing w:before="240"/>
      </w:pPr>
      <w:r>
        <w:lastRenderedPageBreak/>
        <w:t>5.6. Konstrukcje wsporcze</w:t>
      </w:r>
    </w:p>
    <w:p w:rsidR="00216C9A" w:rsidRDefault="00216C9A" w:rsidP="00216C9A">
      <w:pPr>
        <w:numPr>
          <w:ilvl w:val="12"/>
          <w:numId w:val="0"/>
        </w:numPr>
      </w:pPr>
      <w:r>
        <w:rPr>
          <w:b/>
        </w:rPr>
        <w:t xml:space="preserve">5.6.1. </w:t>
      </w:r>
      <w:r>
        <w:t>Zabezpieczenie konstrukcji wsporczej przed najechaniem</w:t>
      </w:r>
    </w:p>
    <w:p w:rsidR="00216C9A" w:rsidRDefault="00216C9A" w:rsidP="00216C9A">
      <w:pPr>
        <w:numPr>
          <w:ilvl w:val="12"/>
          <w:numId w:val="0"/>
        </w:numPr>
        <w:spacing w:before="120"/>
      </w:pPr>
      <w:r>
        <w:tab/>
        <w:t>Konstrukcje wsporcze znaków drogowych bramowych lub wysięgnikowych jedno lub dwustronnych, jak również konstrukcje wsporcze znaków tablicowych bocznych o powierzchni większej od 4,5 m</w:t>
      </w:r>
      <w:r>
        <w:rPr>
          <w:vertAlign w:val="superscript"/>
        </w:rPr>
        <w:t>2</w:t>
      </w:r>
      <w:r>
        <w:t xml:space="preserve">, gdy występuje możliwość bezpośredniego najechania na nie przez pojazd - muszą być zabezpieczone odpowiednio umieszczonymi barierami ochronnymi lub innego rodzaju urządzeniami ochronnymi lub </w:t>
      </w:r>
      <w:proofErr w:type="spellStart"/>
      <w:r>
        <w:t>przeciwdestrukcyjnymi</w:t>
      </w:r>
      <w:proofErr w:type="spellEnd"/>
      <w: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16C9A" w:rsidRDefault="00216C9A" w:rsidP="00216C9A">
      <w:pPr>
        <w:numPr>
          <w:ilvl w:val="12"/>
          <w:numId w:val="0"/>
        </w:numPr>
        <w:spacing w:before="120"/>
      </w:pPr>
      <w:r>
        <w:rPr>
          <w:b/>
        </w:rPr>
        <w:t xml:space="preserve">5.6.2. </w:t>
      </w:r>
      <w:r>
        <w:t xml:space="preserve">Łatwo </w:t>
      </w:r>
      <w:proofErr w:type="spellStart"/>
      <w:r>
        <w:t>zrywalne</w:t>
      </w:r>
      <w:proofErr w:type="spellEnd"/>
      <w:r>
        <w:t xml:space="preserve"> złącza konstrukcji wsporczej</w:t>
      </w:r>
    </w:p>
    <w:p w:rsidR="00216C9A" w:rsidRDefault="00216C9A" w:rsidP="00216C9A">
      <w:pPr>
        <w:numPr>
          <w:ilvl w:val="12"/>
          <w:numId w:val="0"/>
        </w:numPr>
        <w:spacing w:before="120"/>
      </w:pPr>
      <w:r>
        <w:tab/>
        <w:t xml:space="preserve">W przypadku konstrukcji wsporczych, nie osłoniętych barierami ochronnymi - zaleca się stosowanie łatwo </w:t>
      </w:r>
      <w:proofErr w:type="spellStart"/>
      <w:r>
        <w:t>zrywalnych</w:t>
      </w:r>
      <w:proofErr w:type="spellEnd"/>
      <w:r>
        <w:t xml:space="preserve"> lub łatwo rozłączalnych przekrojów, złączy lub przegubów o odpowiednio bezpiecznej konstrukcji, umieszczonych na wysokości od 0,15 do 0,20 m nad powierzchnią terenu.</w:t>
      </w:r>
    </w:p>
    <w:p w:rsidR="00216C9A" w:rsidRDefault="00216C9A" w:rsidP="00216C9A">
      <w:pPr>
        <w:numPr>
          <w:ilvl w:val="12"/>
          <w:numId w:val="0"/>
        </w:numPr>
        <w:spacing w:before="120"/>
      </w:pPr>
      <w: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16C9A" w:rsidRDefault="00216C9A" w:rsidP="00216C9A">
      <w:pPr>
        <w:numPr>
          <w:ilvl w:val="12"/>
          <w:numId w:val="0"/>
        </w:numPr>
      </w:pPr>
      <w:r>
        <w:tab/>
        <w:t xml:space="preserve">Łatwo </w:t>
      </w:r>
      <w:proofErr w:type="spellStart"/>
      <w:r>
        <w:t>zrywalne</w:t>
      </w:r>
      <w:proofErr w:type="spellEnd"/>
      <w: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16C9A" w:rsidRDefault="00216C9A" w:rsidP="00216C9A">
      <w:pPr>
        <w:numPr>
          <w:ilvl w:val="12"/>
          <w:numId w:val="0"/>
        </w:numPr>
        <w:spacing w:before="120"/>
      </w:pPr>
      <w:r>
        <w:rPr>
          <w:b/>
        </w:rPr>
        <w:t xml:space="preserve">5.6.3.  </w:t>
      </w:r>
      <w:r>
        <w:t xml:space="preserve">Zapobieganie   zagrożeniu   użytkowników   drogi   i   terenu   przyległego   -   przez </w:t>
      </w:r>
    </w:p>
    <w:p w:rsidR="00216C9A" w:rsidRDefault="00216C9A" w:rsidP="00216C9A">
      <w:pPr>
        <w:numPr>
          <w:ilvl w:val="12"/>
          <w:numId w:val="0"/>
        </w:numPr>
      </w:pPr>
      <w:r>
        <w:t xml:space="preserve">           konstrukcję wsporczą</w:t>
      </w:r>
    </w:p>
    <w:p w:rsidR="00216C9A" w:rsidRDefault="00216C9A" w:rsidP="00216C9A">
      <w:pPr>
        <w:numPr>
          <w:ilvl w:val="12"/>
          <w:numId w:val="0"/>
        </w:numPr>
        <w:spacing w:before="120"/>
      </w:pPr>
      <w: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16C9A" w:rsidRDefault="00216C9A" w:rsidP="00216C9A">
      <w:pPr>
        <w:numPr>
          <w:ilvl w:val="12"/>
          <w:numId w:val="0"/>
        </w:numPr>
        <w:spacing w:before="120"/>
      </w:pPr>
      <w:r>
        <w:rPr>
          <w:b/>
        </w:rPr>
        <w:t xml:space="preserve">5.6.4. </w:t>
      </w:r>
      <w:r>
        <w:t>Tablicowe znaki drogowe na dwóch słupach lub podporach</w:t>
      </w:r>
    </w:p>
    <w:p w:rsidR="00216C9A" w:rsidRDefault="00216C9A" w:rsidP="00216C9A">
      <w:pPr>
        <w:numPr>
          <w:ilvl w:val="12"/>
          <w:numId w:val="0"/>
        </w:numPr>
        <w:spacing w:before="120"/>
      </w:pPr>
      <w:r>
        <w:tab/>
        <w:t xml:space="preserve">Przy stosowaniu tablicowych znaków drogowych (drogowskazów tablicowych, tablic </w:t>
      </w:r>
      <w:proofErr w:type="spellStart"/>
      <w:r>
        <w:t>przeddrogowskazowych</w:t>
      </w:r>
      <w:proofErr w:type="spellEnd"/>
      <w: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16C9A" w:rsidRDefault="00216C9A" w:rsidP="00216C9A">
      <w:pPr>
        <w:numPr>
          <w:ilvl w:val="12"/>
          <w:numId w:val="0"/>
        </w:numPr>
        <w:spacing w:before="120"/>
      </w:pPr>
      <w:r>
        <w:rPr>
          <w:b/>
        </w:rPr>
        <w:t xml:space="preserve">5.6.5. </w:t>
      </w:r>
      <w:r>
        <w:t>Poziom górnej powierzchni fundamentu</w:t>
      </w:r>
    </w:p>
    <w:p w:rsidR="00216C9A" w:rsidRDefault="00216C9A" w:rsidP="00216C9A">
      <w:pPr>
        <w:numPr>
          <w:ilvl w:val="12"/>
          <w:numId w:val="0"/>
        </w:numPr>
        <w:spacing w:before="120"/>
      </w:pPr>
      <w: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16C9A" w:rsidRDefault="00216C9A" w:rsidP="00216C9A">
      <w:pPr>
        <w:numPr>
          <w:ilvl w:val="12"/>
          <w:numId w:val="0"/>
        </w:numPr>
        <w:spacing w:before="120"/>
      </w:pPr>
      <w:r>
        <w:rPr>
          <w:b/>
        </w:rPr>
        <w:t xml:space="preserve">5.6.6. </w:t>
      </w:r>
      <w:r>
        <w:t>Barwa konstrukcji wsporczej</w:t>
      </w:r>
    </w:p>
    <w:p w:rsidR="00216C9A" w:rsidRDefault="00216C9A" w:rsidP="00216C9A">
      <w:pPr>
        <w:numPr>
          <w:ilvl w:val="12"/>
          <w:numId w:val="0"/>
        </w:numPr>
        <w:spacing w:before="120"/>
      </w:pPr>
      <w: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16C9A" w:rsidRDefault="00216C9A" w:rsidP="00216C9A">
      <w:pPr>
        <w:pStyle w:val="Nagwek2"/>
        <w:numPr>
          <w:ilvl w:val="12"/>
          <w:numId w:val="0"/>
        </w:numPr>
      </w:pPr>
      <w:r>
        <w:t>5.7. Połączenie tarczy znaku z konstrukcją wsporczą</w:t>
      </w:r>
    </w:p>
    <w:p w:rsidR="00216C9A" w:rsidRDefault="00216C9A" w:rsidP="00216C9A">
      <w:pPr>
        <w:numPr>
          <w:ilvl w:val="12"/>
          <w:numId w:val="0"/>
        </w:numPr>
      </w:pPr>
      <w:r>
        <w:tab/>
        <w:t>Tarcza znaku musi być zamocowana do konstrukcji wsporczej w sposób uniemożliwiający jej przesunięcie lub obrót.</w:t>
      </w:r>
    </w:p>
    <w:p w:rsidR="00216C9A" w:rsidRDefault="00216C9A" w:rsidP="00216C9A">
      <w:pPr>
        <w:numPr>
          <w:ilvl w:val="12"/>
          <w:numId w:val="0"/>
        </w:numPr>
      </w:pPr>
      <w:r>
        <w:tab/>
        <w:t>Materiał i sposób wykonania połączenia tarczy znaku z konstrukcją wsporczą musi umożliwiać, przy użyciu odpowiednich narzędzi, odłączenie tarczy znaku od tej konstrukcji przez cały okres użytkowania znaku.</w:t>
      </w:r>
    </w:p>
    <w:p w:rsidR="00216C9A" w:rsidRDefault="00216C9A" w:rsidP="00216C9A">
      <w:pPr>
        <w:numPr>
          <w:ilvl w:val="12"/>
          <w:numId w:val="0"/>
        </w:numPr>
      </w:pPr>
      <w:r>
        <w:tab/>
        <w:t>Na drogach i obszarach, na których występują częste przypadki dewastacji znaków, zaleca się stosowanie elementów złącznych o konstrukcji uniemożliwiającej lub znacznie utrudniającej ich rozłączenie przez osoby niepowołane.</w:t>
      </w:r>
    </w:p>
    <w:p w:rsidR="00216C9A" w:rsidRDefault="00216C9A" w:rsidP="00216C9A">
      <w:pPr>
        <w:numPr>
          <w:ilvl w:val="12"/>
          <w:numId w:val="0"/>
        </w:numPr>
      </w:pPr>
      <w:r>
        <w:lastRenderedPageBreak/>
        <w:tab/>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216C9A" w:rsidRDefault="00216C9A" w:rsidP="00216C9A">
      <w:pPr>
        <w:numPr>
          <w:ilvl w:val="12"/>
          <w:numId w:val="0"/>
        </w:numPr>
      </w:pPr>
      <w:r>
        <w:tab/>
        <w:t>Nie dopuszcza się zamocowania znaku do konstrukcji wsporczej w sposób wymagający bezpośredniego przeprowadzenia śrub mocujących przez lico znaku.</w:t>
      </w:r>
    </w:p>
    <w:p w:rsidR="00216C9A" w:rsidRDefault="00216C9A" w:rsidP="00216C9A">
      <w:pPr>
        <w:pStyle w:val="Nagwek2"/>
        <w:numPr>
          <w:ilvl w:val="12"/>
          <w:numId w:val="0"/>
        </w:numPr>
      </w:pPr>
      <w:r>
        <w:t>5.8. Trwałość wykonania znaku pionowego</w:t>
      </w:r>
    </w:p>
    <w:p w:rsidR="00216C9A" w:rsidRDefault="00216C9A" w:rsidP="00216C9A">
      <w:pPr>
        <w:numPr>
          <w:ilvl w:val="12"/>
          <w:numId w:val="0"/>
        </w:numPr>
      </w:pPr>
      <w:r>
        <w:tab/>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216C9A" w:rsidRDefault="00216C9A" w:rsidP="00216C9A">
      <w:pPr>
        <w:pStyle w:val="Nagwek2"/>
        <w:numPr>
          <w:ilvl w:val="12"/>
          <w:numId w:val="0"/>
        </w:numPr>
      </w:pPr>
      <w:r>
        <w:t>5.9. Urządzenia elektryczne na konstrukcji wsporczej</w:t>
      </w:r>
    </w:p>
    <w:p w:rsidR="00216C9A" w:rsidRDefault="00216C9A" w:rsidP="00216C9A">
      <w:pPr>
        <w:numPr>
          <w:ilvl w:val="12"/>
          <w:numId w:val="0"/>
        </w:numPr>
      </w:pPr>
      <w: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16C9A" w:rsidRDefault="00216C9A" w:rsidP="00216C9A">
      <w:pPr>
        <w:pStyle w:val="Nagwek2"/>
        <w:numPr>
          <w:ilvl w:val="12"/>
          <w:numId w:val="0"/>
        </w:numPr>
      </w:pPr>
      <w:r>
        <w:t>5.10. Źródło światła znaku prześwietlanego i znaku oświetlanego</w:t>
      </w:r>
    </w:p>
    <w:p w:rsidR="00216C9A" w:rsidRDefault="00216C9A" w:rsidP="00216C9A">
      <w:pPr>
        <w:numPr>
          <w:ilvl w:val="12"/>
          <w:numId w:val="0"/>
        </w:numPr>
      </w:pPr>
      <w:r>
        <w:tab/>
        <w:t>Źródło światła należy wykonać zgodnie z ustaleniami dokumentacji projektowej, SST lub wskazaniami Inżyniera, jako:</w:t>
      </w:r>
    </w:p>
    <w:p w:rsidR="00216C9A" w:rsidRDefault="00216C9A" w:rsidP="00216C9A">
      <w:pPr>
        <w:numPr>
          <w:ilvl w:val="0"/>
          <w:numId w:val="191"/>
        </w:numPr>
        <w:overflowPunct w:val="0"/>
        <w:autoSpaceDE w:val="0"/>
        <w:autoSpaceDN w:val="0"/>
        <w:adjustRightInd w:val="0"/>
        <w:ind w:left="283"/>
        <w:jc w:val="both"/>
      </w:pPr>
      <w:r>
        <w:t>lampy fluorescencyjne barwy dziennej lub chłodno białej,</w:t>
      </w:r>
    </w:p>
    <w:p w:rsidR="00216C9A" w:rsidRDefault="00216C9A" w:rsidP="00216C9A">
      <w:pPr>
        <w:numPr>
          <w:ilvl w:val="0"/>
          <w:numId w:val="191"/>
        </w:numPr>
        <w:overflowPunct w:val="0"/>
        <w:autoSpaceDE w:val="0"/>
        <w:autoSpaceDN w:val="0"/>
        <w:adjustRightInd w:val="0"/>
        <w:ind w:left="283"/>
        <w:jc w:val="both"/>
      </w:pPr>
      <w:r>
        <w:t>wysokoprężne lampy rtęciowe o poprawionym współczynniku oddawania barw,</w:t>
      </w:r>
    </w:p>
    <w:p w:rsidR="00216C9A" w:rsidRDefault="00216C9A" w:rsidP="00216C9A">
      <w:pPr>
        <w:numPr>
          <w:ilvl w:val="0"/>
          <w:numId w:val="191"/>
        </w:numPr>
        <w:overflowPunct w:val="0"/>
        <w:autoSpaceDE w:val="0"/>
        <w:autoSpaceDN w:val="0"/>
        <w:adjustRightInd w:val="0"/>
        <w:ind w:left="283"/>
        <w:jc w:val="both"/>
      </w:pPr>
      <w:r>
        <w:t xml:space="preserve">lampy </w:t>
      </w:r>
      <w:proofErr w:type="spellStart"/>
      <w:r>
        <w:t>metalo</w:t>
      </w:r>
      <w:proofErr w:type="spellEnd"/>
      <w:r>
        <w:t>-halogenowe.</w:t>
      </w:r>
    </w:p>
    <w:p w:rsidR="00216C9A" w:rsidRDefault="00216C9A" w:rsidP="00216C9A">
      <w:pPr>
        <w:pStyle w:val="Nagwek2"/>
      </w:pPr>
      <w:r>
        <w:t>5.11. Warunki dla oprawy oświetleniowej znaku prześwietlanego</w:t>
      </w:r>
    </w:p>
    <w:p w:rsidR="00216C9A" w:rsidRDefault="00216C9A" w:rsidP="00216C9A">
      <w:pPr>
        <w:numPr>
          <w:ilvl w:val="12"/>
          <w:numId w:val="0"/>
        </w:numPr>
      </w:pPr>
      <w:r>
        <w:tab/>
        <w:t>Oprawa wbudowana w znak powinna spełniać wymagania PN-E-06314 [7] z następującymi uzupełnieniami i zmianami:</w:t>
      </w:r>
    </w:p>
    <w:p w:rsidR="00216C9A" w:rsidRDefault="00216C9A" w:rsidP="00216C9A">
      <w:pPr>
        <w:numPr>
          <w:ilvl w:val="0"/>
          <w:numId w:val="191"/>
        </w:numPr>
        <w:overflowPunct w:val="0"/>
        <w:autoSpaceDE w:val="0"/>
        <w:autoSpaceDN w:val="0"/>
        <w:adjustRightInd w:val="0"/>
        <w:ind w:left="283"/>
        <w:jc w:val="both"/>
      </w:pPr>
      <w:r>
        <w:t>sposób połączeń lica znaku z tarczą znaku w formie komory, w którą wbudowana jest oprawa, powinien zastąpić stopień IP-53 ochrony od wpływu czynników zewnętrznych,</w:t>
      </w:r>
    </w:p>
    <w:p w:rsidR="00216C9A" w:rsidRDefault="00216C9A" w:rsidP="00216C9A">
      <w:pPr>
        <w:numPr>
          <w:ilvl w:val="0"/>
          <w:numId w:val="191"/>
        </w:numPr>
        <w:overflowPunct w:val="0"/>
        <w:autoSpaceDE w:val="0"/>
        <w:autoSpaceDN w:val="0"/>
        <w:adjustRightInd w:val="0"/>
        <w:ind w:left="283"/>
        <w:jc w:val="both"/>
      </w:pPr>
      <w:r>
        <w:t>komora statecznika powinna zapewnić co najmniej stopień ochrony IP-23,</w:t>
      </w:r>
    </w:p>
    <w:p w:rsidR="00216C9A" w:rsidRDefault="00216C9A" w:rsidP="00216C9A">
      <w:pPr>
        <w:numPr>
          <w:ilvl w:val="0"/>
          <w:numId w:val="191"/>
        </w:numPr>
        <w:overflowPunct w:val="0"/>
        <w:autoSpaceDE w:val="0"/>
        <w:autoSpaceDN w:val="0"/>
        <w:adjustRightInd w:val="0"/>
        <w:ind w:left="283"/>
        <w:jc w:val="both"/>
      </w:pPr>
      <w:r>
        <w:t>sprawność świetlna układu nie powinna być mniejsza niż 0,4,</w:t>
      </w:r>
    </w:p>
    <w:p w:rsidR="00216C9A" w:rsidRDefault="00216C9A" w:rsidP="00216C9A">
      <w:pPr>
        <w:numPr>
          <w:ilvl w:val="0"/>
          <w:numId w:val="191"/>
        </w:numPr>
        <w:overflowPunct w:val="0"/>
        <w:autoSpaceDE w:val="0"/>
        <w:autoSpaceDN w:val="0"/>
        <w:adjustRightInd w:val="0"/>
        <w:ind w:left="283"/>
        <w:jc w:val="both"/>
      </w:pPr>
      <w:r>
        <w:t>karta katalogowa może nie zawierać krzywych rozsyłu światłości, wykresów sprawności i izoluks,</w:t>
      </w:r>
    </w:p>
    <w:p w:rsidR="00216C9A" w:rsidRDefault="00216C9A" w:rsidP="00216C9A">
      <w:pPr>
        <w:numPr>
          <w:ilvl w:val="0"/>
          <w:numId w:val="191"/>
        </w:numPr>
        <w:overflowPunct w:val="0"/>
        <w:autoSpaceDE w:val="0"/>
        <w:autoSpaceDN w:val="0"/>
        <w:adjustRightInd w:val="0"/>
        <w:ind w:left="283"/>
        <w:jc w:val="both"/>
      </w:pPr>
      <w:r>
        <w:t>w oznaczeniu musi być podany rok produkcji.</w:t>
      </w:r>
    </w:p>
    <w:p w:rsidR="00216C9A" w:rsidRDefault="00216C9A" w:rsidP="00216C9A">
      <w:pPr>
        <w:pStyle w:val="Nagwek2"/>
      </w:pPr>
      <w:r>
        <w:t>5.12. Warunki dla oprawy oświetleniowej znaku oświetlanego</w:t>
      </w:r>
    </w:p>
    <w:p w:rsidR="00216C9A" w:rsidRDefault="00216C9A" w:rsidP="00216C9A">
      <w:pPr>
        <w:numPr>
          <w:ilvl w:val="12"/>
          <w:numId w:val="0"/>
        </w:numPr>
      </w:pPr>
      <w:r>
        <w:tab/>
        <w:t>Oprawa oświetlająca znak powinna spełniać wymagania PN-E-06314 [7] z następującymi uzupełnieniami i zmianami:</w:t>
      </w:r>
    </w:p>
    <w:p w:rsidR="00216C9A" w:rsidRDefault="00216C9A" w:rsidP="00216C9A">
      <w:pPr>
        <w:numPr>
          <w:ilvl w:val="0"/>
          <w:numId w:val="191"/>
        </w:numPr>
        <w:overflowPunct w:val="0"/>
        <w:autoSpaceDE w:val="0"/>
        <w:autoSpaceDN w:val="0"/>
        <w:adjustRightInd w:val="0"/>
        <w:ind w:left="283"/>
        <w:jc w:val="both"/>
      </w:pPr>
      <w:r>
        <w:t>oprawa powinna być zbudowana jako zamknięta, o stopniu ochrony IP-53 dla komory lampowej i co najmniej IP-23 dla komory statecznika,</w:t>
      </w:r>
    </w:p>
    <w:p w:rsidR="00216C9A" w:rsidRDefault="00216C9A" w:rsidP="00216C9A">
      <w:pPr>
        <w:numPr>
          <w:ilvl w:val="0"/>
          <w:numId w:val="191"/>
        </w:numPr>
        <w:overflowPunct w:val="0"/>
        <w:autoSpaceDE w:val="0"/>
        <w:autoSpaceDN w:val="0"/>
        <w:adjustRightInd w:val="0"/>
        <w:ind w:left="283"/>
        <w:jc w:val="both"/>
      </w:pPr>
      <w:r>
        <w:t>dla opraw zawieszanych na wysokości poniżej 2,5 m klosz oprawy powinien być wykonany z materiałów odpornych na uszkodzenia mechaniczne,</w:t>
      </w:r>
    </w:p>
    <w:p w:rsidR="00216C9A" w:rsidRDefault="00216C9A" w:rsidP="00216C9A">
      <w:pPr>
        <w:numPr>
          <w:ilvl w:val="0"/>
          <w:numId w:val="191"/>
        </w:numPr>
        <w:overflowPunct w:val="0"/>
        <w:autoSpaceDE w:val="0"/>
        <w:autoSpaceDN w:val="0"/>
        <w:adjustRightInd w:val="0"/>
        <w:ind w:left="283"/>
        <w:jc w:val="both"/>
      </w:pPr>
      <w:r>
        <w:t>karta katalogowa oprawy może nie zawierać wykresu światłości i wykresu sprawności,</w:t>
      </w:r>
    </w:p>
    <w:p w:rsidR="00216C9A" w:rsidRDefault="00216C9A" w:rsidP="00216C9A">
      <w:pPr>
        <w:numPr>
          <w:ilvl w:val="0"/>
          <w:numId w:val="191"/>
        </w:numPr>
        <w:overflowPunct w:val="0"/>
        <w:autoSpaceDE w:val="0"/>
        <w:autoSpaceDN w:val="0"/>
        <w:adjustRightInd w:val="0"/>
        <w:ind w:left="283"/>
        <w:jc w:val="both"/>
      </w:pPr>
      <w:r>
        <w:t>w oznaczeniu oprawy musi być podany rok produkcji.</w:t>
      </w:r>
    </w:p>
    <w:p w:rsidR="00216C9A" w:rsidRDefault="00216C9A" w:rsidP="00216C9A">
      <w:r>
        <w:tab/>
        <w:t>Oprawa oświetleniowa stanowiąca integralną część znaku oświetlanego umieszczana jest przed licem znaku i musi być sztywno i trwale związana z tarczą znaku.</w:t>
      </w:r>
    </w:p>
    <w:p w:rsidR="00216C9A" w:rsidRDefault="00216C9A" w:rsidP="00216C9A">
      <w:pPr>
        <w:pStyle w:val="Nagwek2"/>
      </w:pPr>
      <w:r>
        <w:t>5.13. Tabliczka znamionowa znaku</w:t>
      </w:r>
    </w:p>
    <w:p w:rsidR="00216C9A" w:rsidRDefault="00216C9A" w:rsidP="00216C9A">
      <w:r>
        <w:tab/>
        <w:t>Każdy wykonany znak drogowy oraz każda konstrukcja wsporcza musi mieć tabliczkę znamionową z:</w:t>
      </w:r>
    </w:p>
    <w:p w:rsidR="00216C9A" w:rsidRDefault="00216C9A" w:rsidP="00216C9A">
      <w:pPr>
        <w:numPr>
          <w:ilvl w:val="0"/>
          <w:numId w:val="193"/>
        </w:numPr>
        <w:overflowPunct w:val="0"/>
        <w:autoSpaceDE w:val="0"/>
        <w:autoSpaceDN w:val="0"/>
        <w:adjustRightInd w:val="0"/>
        <w:jc w:val="both"/>
      </w:pPr>
      <w:r>
        <w:t>nazwą, marką fabryczną lub innym oznaczeniem umożliwiającym identyfikację wytwórcy lub dostawcy,</w:t>
      </w:r>
    </w:p>
    <w:p w:rsidR="00216C9A" w:rsidRDefault="00216C9A" w:rsidP="00216C9A">
      <w:pPr>
        <w:numPr>
          <w:ilvl w:val="0"/>
          <w:numId w:val="193"/>
        </w:numPr>
        <w:overflowPunct w:val="0"/>
        <w:autoSpaceDE w:val="0"/>
        <w:autoSpaceDN w:val="0"/>
        <w:adjustRightInd w:val="0"/>
        <w:jc w:val="both"/>
      </w:pPr>
      <w:r>
        <w:t>datą produkcji,</w:t>
      </w:r>
    </w:p>
    <w:p w:rsidR="00216C9A" w:rsidRDefault="00216C9A" w:rsidP="00216C9A">
      <w:pPr>
        <w:numPr>
          <w:ilvl w:val="0"/>
          <w:numId w:val="193"/>
        </w:numPr>
        <w:overflowPunct w:val="0"/>
        <w:autoSpaceDE w:val="0"/>
        <w:autoSpaceDN w:val="0"/>
        <w:adjustRightInd w:val="0"/>
        <w:jc w:val="both"/>
      </w:pPr>
      <w:r>
        <w:t>oznaczeniem dotyczącym materiału lica znaku,</w:t>
      </w:r>
    </w:p>
    <w:p w:rsidR="00216C9A" w:rsidRDefault="00216C9A" w:rsidP="00216C9A">
      <w:pPr>
        <w:numPr>
          <w:ilvl w:val="0"/>
          <w:numId w:val="193"/>
        </w:numPr>
        <w:overflowPunct w:val="0"/>
        <w:autoSpaceDE w:val="0"/>
        <w:autoSpaceDN w:val="0"/>
        <w:adjustRightInd w:val="0"/>
        <w:jc w:val="both"/>
      </w:pPr>
      <w:r>
        <w:t>datą ustawienia znaku.</w:t>
      </w:r>
    </w:p>
    <w:p w:rsidR="00216C9A" w:rsidRDefault="00216C9A" w:rsidP="00216C9A">
      <w:r>
        <w:tab/>
        <w:t>Zaleca się, aby tabliczka znamionowa konstrukcji wsporczych zawierała również miesiąc i rok wymaganego przeglądu technicznego.</w:t>
      </w:r>
    </w:p>
    <w:p w:rsidR="00216C9A" w:rsidRDefault="00216C9A" w:rsidP="00216C9A">
      <w:r>
        <w:tab/>
        <w:t>Napisy na tabliczce znamionowej muszą być wykonane w sposób trwały i wyraźny, czytelny w normalnych warunkach przez cały okres użytkowania znaku.</w:t>
      </w:r>
    </w:p>
    <w:p w:rsidR="00216C9A" w:rsidRDefault="00216C9A" w:rsidP="00216C9A">
      <w:pPr>
        <w:pStyle w:val="Nagwek1"/>
      </w:pPr>
      <w:bookmarkStart w:id="509" w:name="_Toc425833585"/>
      <w:r>
        <w:t>6. kontrola jakości robót</w:t>
      </w:r>
      <w:bookmarkEnd w:id="509"/>
    </w:p>
    <w:p w:rsidR="00216C9A" w:rsidRDefault="00216C9A" w:rsidP="00216C9A">
      <w:pPr>
        <w:pStyle w:val="Nagwek2"/>
      </w:pPr>
      <w:r>
        <w:t>6.1. Ogólne zasady kontroli jakości robót</w:t>
      </w:r>
    </w:p>
    <w:p w:rsidR="00216C9A" w:rsidRDefault="00216C9A" w:rsidP="00216C9A">
      <w:r>
        <w:tab/>
        <w:t>Ogólne zasady kontroli jakości robót podano w SST D-M-00.00.00 „Wymagania ogólne” pkt 6.</w:t>
      </w:r>
    </w:p>
    <w:p w:rsidR="00216C9A" w:rsidRDefault="00216C9A" w:rsidP="00216C9A">
      <w:pPr>
        <w:pStyle w:val="Nagwek2"/>
      </w:pPr>
      <w:r>
        <w:lastRenderedPageBreak/>
        <w:t>6.2. Badania materiałów do wykonania fundamentów betonowych</w:t>
      </w:r>
    </w:p>
    <w:p w:rsidR="00216C9A" w:rsidRDefault="00216C9A" w:rsidP="00216C9A">
      <w: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16C9A" w:rsidRDefault="00216C9A" w:rsidP="00216C9A">
      <w:pPr>
        <w:pStyle w:val="Nagwek2"/>
      </w:pPr>
      <w:r>
        <w:t>6.3. Badania w czasie wykonywania robót</w:t>
      </w:r>
    </w:p>
    <w:p w:rsidR="00216C9A" w:rsidRDefault="00216C9A" w:rsidP="00216C9A">
      <w:pPr>
        <w:pStyle w:val="StylIwony"/>
        <w:spacing w:before="0" w:after="0"/>
        <w:rPr>
          <w:rFonts w:ascii="Times New Roman" w:hAnsi="Times New Roman"/>
          <w:sz w:val="20"/>
        </w:rPr>
      </w:pPr>
      <w:r>
        <w:rPr>
          <w:rFonts w:ascii="Times New Roman" w:hAnsi="Times New Roman"/>
          <w:b/>
          <w:sz w:val="20"/>
        </w:rPr>
        <w:t xml:space="preserve">6.3.1. </w:t>
      </w:r>
      <w:r>
        <w:rPr>
          <w:rFonts w:ascii="Times New Roman" w:hAnsi="Times New Roman"/>
          <w:sz w:val="20"/>
        </w:rPr>
        <w:t>Badania materiałów w czasie wykonywania robót</w:t>
      </w:r>
    </w:p>
    <w:p w:rsidR="00216C9A" w:rsidRDefault="00216C9A" w:rsidP="00216C9A">
      <w:pPr>
        <w:pStyle w:val="StylIwony"/>
        <w:spacing w:after="0"/>
        <w:rPr>
          <w:rFonts w:ascii="Times New Roman" w:hAnsi="Times New Roman"/>
          <w:sz w:val="20"/>
        </w:rPr>
      </w:pPr>
      <w:r>
        <w:rPr>
          <w:rFonts w:ascii="Times New Roman" w:hAnsi="Times New Roman"/>
          <w:sz w:val="20"/>
        </w:rPr>
        <w:tab/>
        <w:t>Wszystkie materiały dostarczone na budowę z aprobatą techniczną lub z deklaracją zgodności wydaną przez producenta powinny być sprawdzone w zakresie powierzchni wyrobu i jego wymiarów.</w:t>
      </w:r>
    </w:p>
    <w:p w:rsidR="00216C9A" w:rsidRDefault="00216C9A" w:rsidP="00216C9A">
      <w:pPr>
        <w:pStyle w:val="StylIwony"/>
        <w:spacing w:before="0" w:after="0"/>
        <w:rPr>
          <w:rFonts w:ascii="Times New Roman" w:hAnsi="Times New Roman"/>
          <w:sz w:val="20"/>
        </w:rPr>
      </w:pPr>
      <w:r>
        <w:rPr>
          <w:rFonts w:ascii="Times New Roman" w:hAnsi="Times New Roman"/>
          <w:sz w:val="20"/>
        </w:rPr>
        <w:tab/>
        <w:t>Częstotliwość badań i ocena ich wyników powinna być zgodna z ustaleniami tablicy 6.</w:t>
      </w:r>
    </w:p>
    <w:p w:rsidR="00216C9A" w:rsidRDefault="00216C9A" w:rsidP="00216C9A">
      <w:pPr>
        <w:pStyle w:val="StylIwony"/>
        <w:spacing w:before="0" w:after="0"/>
        <w:rPr>
          <w:rFonts w:ascii="Times New Roman" w:hAnsi="Times New Roman"/>
          <w:sz w:val="20"/>
        </w:rPr>
      </w:pPr>
    </w:p>
    <w:p w:rsidR="00216C9A" w:rsidRDefault="00216C9A" w:rsidP="00216C9A">
      <w:pPr>
        <w:pStyle w:val="StylIwony"/>
        <w:spacing w:after="0"/>
        <w:rPr>
          <w:rFonts w:ascii="Times New Roman" w:hAnsi="Times New Roman"/>
          <w:sz w:val="20"/>
        </w:rPr>
      </w:pPr>
      <w:r>
        <w:rPr>
          <w:rFonts w:ascii="Times New Roman" w:hAnsi="Times New Roman"/>
          <w:sz w:val="20"/>
        </w:rPr>
        <w:t>Tablica 6. Częstotliwość badań przy sprawdzeniu powierzchni i wymiarów wyrobów</w:t>
      </w:r>
    </w:p>
    <w:p w:rsidR="00216C9A" w:rsidRDefault="00216C9A" w:rsidP="00216C9A">
      <w:pPr>
        <w:pStyle w:val="StylIwony"/>
        <w:spacing w:before="0"/>
        <w:rPr>
          <w:rFonts w:ascii="Times New Roman" w:hAnsi="Times New Roman"/>
          <w:sz w:val="20"/>
        </w:rPr>
      </w:pPr>
      <w:r>
        <w:rPr>
          <w:rFonts w:ascii="Times New Roman" w:hAnsi="Times New Roman"/>
          <w:sz w:val="20"/>
        </w:rPr>
        <w:t xml:space="preserve">                   dostarczonych przez producentów</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496"/>
        <w:gridCol w:w="1417"/>
        <w:gridCol w:w="1505"/>
        <w:gridCol w:w="2748"/>
        <w:gridCol w:w="1417"/>
      </w:tblGrid>
      <w:tr w:rsidR="00216C9A" w:rsidTr="00216C9A">
        <w:tc>
          <w:tcPr>
            <w:tcW w:w="496" w:type="dxa"/>
            <w:tcBorders>
              <w:top w:val="single" w:sz="6" w:space="0" w:color="auto"/>
              <w:left w:val="single" w:sz="6" w:space="0" w:color="auto"/>
              <w:bottom w:val="double" w:sz="6" w:space="0" w:color="auto"/>
              <w:right w:val="nil"/>
            </w:tcBorders>
            <w:hideMark/>
          </w:tcPr>
          <w:p w:rsidR="00216C9A" w:rsidRDefault="00216C9A">
            <w:pPr>
              <w:pStyle w:val="StylIwony"/>
              <w:spacing w:after="0" w:line="276" w:lineRule="auto"/>
              <w:jc w:val="center"/>
              <w:rPr>
                <w:rFonts w:ascii="Times New Roman" w:hAnsi="Times New Roman"/>
                <w:sz w:val="20"/>
                <w:lang w:eastAsia="en-US"/>
              </w:rPr>
            </w:pPr>
            <w:r>
              <w:rPr>
                <w:rFonts w:ascii="Times New Roman" w:hAnsi="Times New Roman"/>
                <w:sz w:val="20"/>
                <w:lang w:eastAsia="en-US"/>
              </w:rPr>
              <w:t>Lp.</w:t>
            </w:r>
          </w:p>
        </w:tc>
        <w:tc>
          <w:tcPr>
            <w:tcW w:w="1417" w:type="dxa"/>
            <w:tcBorders>
              <w:top w:val="single" w:sz="6" w:space="0" w:color="auto"/>
              <w:left w:val="nil"/>
              <w:bottom w:val="double" w:sz="6" w:space="0" w:color="auto"/>
              <w:right w:val="nil"/>
            </w:tcBorders>
            <w:hideMark/>
          </w:tcPr>
          <w:p w:rsidR="00216C9A" w:rsidRDefault="00216C9A">
            <w:pPr>
              <w:pStyle w:val="StylIwony"/>
              <w:spacing w:after="0" w:line="276" w:lineRule="auto"/>
              <w:jc w:val="center"/>
              <w:rPr>
                <w:rFonts w:ascii="Times New Roman" w:hAnsi="Times New Roman"/>
                <w:sz w:val="20"/>
                <w:lang w:eastAsia="en-US"/>
              </w:rPr>
            </w:pPr>
            <w:r>
              <w:rPr>
                <w:rFonts w:ascii="Times New Roman" w:hAnsi="Times New Roman"/>
                <w:sz w:val="20"/>
                <w:lang w:eastAsia="en-US"/>
              </w:rPr>
              <w:t>Rodzaj badania</w:t>
            </w:r>
          </w:p>
        </w:tc>
        <w:tc>
          <w:tcPr>
            <w:tcW w:w="1505" w:type="dxa"/>
            <w:tcBorders>
              <w:top w:val="single" w:sz="6" w:space="0" w:color="auto"/>
              <w:left w:val="nil"/>
              <w:bottom w:val="double" w:sz="6" w:space="0" w:color="auto"/>
              <w:right w:val="nil"/>
            </w:tcBorders>
            <w:hideMark/>
          </w:tcPr>
          <w:p w:rsidR="00216C9A" w:rsidRDefault="00216C9A">
            <w:pPr>
              <w:pStyle w:val="StylIwony"/>
              <w:spacing w:after="0" w:line="276" w:lineRule="auto"/>
              <w:jc w:val="center"/>
              <w:rPr>
                <w:rFonts w:ascii="Times New Roman" w:hAnsi="Times New Roman"/>
                <w:sz w:val="20"/>
                <w:lang w:eastAsia="en-US"/>
              </w:rPr>
            </w:pPr>
            <w:r>
              <w:rPr>
                <w:rFonts w:ascii="Times New Roman" w:hAnsi="Times New Roman"/>
                <w:sz w:val="20"/>
                <w:lang w:eastAsia="en-US"/>
              </w:rPr>
              <w:t>Liczba badań</w:t>
            </w:r>
          </w:p>
        </w:tc>
        <w:tc>
          <w:tcPr>
            <w:tcW w:w="2748" w:type="dxa"/>
            <w:tcBorders>
              <w:top w:val="single" w:sz="6" w:space="0" w:color="auto"/>
              <w:left w:val="nil"/>
              <w:bottom w:val="double" w:sz="6" w:space="0" w:color="auto"/>
              <w:right w:val="nil"/>
            </w:tcBorders>
            <w:hideMark/>
          </w:tcPr>
          <w:p w:rsidR="00216C9A" w:rsidRDefault="00216C9A">
            <w:pPr>
              <w:pStyle w:val="StylIwony"/>
              <w:spacing w:after="0" w:line="276" w:lineRule="auto"/>
              <w:jc w:val="center"/>
              <w:rPr>
                <w:rFonts w:ascii="Times New Roman" w:hAnsi="Times New Roman"/>
                <w:sz w:val="20"/>
                <w:lang w:eastAsia="en-US"/>
              </w:rPr>
            </w:pPr>
            <w:r>
              <w:rPr>
                <w:rFonts w:ascii="Times New Roman" w:hAnsi="Times New Roman"/>
                <w:sz w:val="20"/>
                <w:lang w:eastAsia="en-US"/>
              </w:rPr>
              <w:t>Opis badań</w:t>
            </w:r>
          </w:p>
        </w:tc>
        <w:tc>
          <w:tcPr>
            <w:tcW w:w="1417" w:type="dxa"/>
            <w:tcBorders>
              <w:top w:val="single" w:sz="6" w:space="0" w:color="auto"/>
              <w:left w:val="nil"/>
              <w:bottom w:val="double" w:sz="6" w:space="0" w:color="auto"/>
              <w:right w:val="single" w:sz="6" w:space="0" w:color="auto"/>
            </w:tcBorders>
            <w:hideMark/>
          </w:tcPr>
          <w:p w:rsidR="00216C9A" w:rsidRDefault="00216C9A">
            <w:pPr>
              <w:pStyle w:val="StylIwony"/>
              <w:spacing w:before="0" w:after="0" w:line="276" w:lineRule="auto"/>
              <w:jc w:val="center"/>
              <w:rPr>
                <w:rFonts w:ascii="Times New Roman" w:hAnsi="Times New Roman"/>
                <w:sz w:val="20"/>
                <w:lang w:eastAsia="en-US"/>
              </w:rPr>
            </w:pPr>
            <w:r>
              <w:rPr>
                <w:rFonts w:ascii="Times New Roman" w:hAnsi="Times New Roman"/>
                <w:sz w:val="20"/>
                <w:lang w:eastAsia="en-US"/>
              </w:rPr>
              <w:t>Ocena wyników badań</w:t>
            </w:r>
          </w:p>
        </w:tc>
      </w:tr>
      <w:tr w:rsidR="00216C9A" w:rsidTr="00216C9A">
        <w:tc>
          <w:tcPr>
            <w:tcW w:w="496" w:type="dxa"/>
            <w:tcBorders>
              <w:top w:val="nil"/>
              <w:left w:val="single" w:sz="6" w:space="0" w:color="auto"/>
              <w:bottom w:val="nil"/>
              <w:right w:val="nil"/>
            </w:tcBorders>
            <w:hideMark/>
          </w:tcPr>
          <w:p w:rsidR="00216C9A" w:rsidRDefault="00216C9A">
            <w:pPr>
              <w:pStyle w:val="StylIwony"/>
              <w:spacing w:before="60" w:after="0" w:line="276" w:lineRule="auto"/>
              <w:jc w:val="center"/>
              <w:rPr>
                <w:rFonts w:ascii="Times New Roman" w:hAnsi="Times New Roman"/>
                <w:sz w:val="20"/>
                <w:lang w:eastAsia="en-US"/>
              </w:rPr>
            </w:pPr>
            <w:r>
              <w:rPr>
                <w:rFonts w:ascii="Times New Roman" w:hAnsi="Times New Roman"/>
                <w:sz w:val="20"/>
                <w:lang w:eastAsia="en-US"/>
              </w:rPr>
              <w:t>1</w:t>
            </w:r>
          </w:p>
        </w:tc>
        <w:tc>
          <w:tcPr>
            <w:tcW w:w="1417" w:type="dxa"/>
            <w:tcBorders>
              <w:top w:val="nil"/>
              <w:left w:val="nil"/>
              <w:bottom w:val="nil"/>
              <w:right w:val="nil"/>
            </w:tcBorders>
            <w:hideMark/>
          </w:tcPr>
          <w:p w:rsidR="00216C9A" w:rsidRDefault="00216C9A">
            <w:pPr>
              <w:pStyle w:val="StylIwony"/>
              <w:spacing w:before="60" w:after="0" w:line="276" w:lineRule="auto"/>
              <w:rPr>
                <w:rFonts w:ascii="Times New Roman" w:hAnsi="Times New Roman"/>
                <w:sz w:val="20"/>
                <w:lang w:eastAsia="en-US"/>
              </w:rPr>
            </w:pPr>
            <w:r>
              <w:rPr>
                <w:rFonts w:ascii="Times New Roman" w:hAnsi="Times New Roman"/>
                <w:sz w:val="20"/>
                <w:lang w:eastAsia="en-US"/>
              </w:rPr>
              <w:t>Sprawdzenie powierzchni</w:t>
            </w:r>
          </w:p>
        </w:tc>
        <w:tc>
          <w:tcPr>
            <w:tcW w:w="1505" w:type="dxa"/>
            <w:tcBorders>
              <w:top w:val="nil"/>
              <w:left w:val="nil"/>
              <w:bottom w:val="nil"/>
              <w:right w:val="nil"/>
            </w:tcBorders>
            <w:hideMark/>
          </w:tcPr>
          <w:p w:rsidR="00216C9A" w:rsidRDefault="00216C9A">
            <w:pPr>
              <w:pStyle w:val="StylIwony"/>
              <w:spacing w:before="60" w:after="0" w:line="276" w:lineRule="auto"/>
              <w:jc w:val="left"/>
              <w:rPr>
                <w:rFonts w:ascii="Times New Roman" w:hAnsi="Times New Roman"/>
                <w:sz w:val="20"/>
                <w:lang w:eastAsia="en-US"/>
              </w:rPr>
            </w:pPr>
            <w:r>
              <w:rPr>
                <w:rFonts w:ascii="Times New Roman" w:hAnsi="Times New Roman"/>
                <w:sz w:val="20"/>
                <w:lang w:eastAsia="en-US"/>
              </w:rPr>
              <w:t xml:space="preserve">od 5 do 10 badań z </w:t>
            </w:r>
            <w:proofErr w:type="spellStart"/>
            <w:r>
              <w:rPr>
                <w:rFonts w:ascii="Times New Roman" w:hAnsi="Times New Roman"/>
                <w:sz w:val="20"/>
                <w:lang w:eastAsia="en-US"/>
              </w:rPr>
              <w:t>wybra</w:t>
            </w:r>
            <w:proofErr w:type="spellEnd"/>
            <w:r>
              <w:rPr>
                <w:rFonts w:ascii="Times New Roman" w:hAnsi="Times New Roman"/>
                <w:sz w:val="20"/>
                <w:lang w:eastAsia="en-US"/>
              </w:rPr>
              <w:t xml:space="preserve">-  </w:t>
            </w:r>
            <w:proofErr w:type="spellStart"/>
            <w:r>
              <w:rPr>
                <w:rFonts w:ascii="Times New Roman" w:hAnsi="Times New Roman"/>
                <w:sz w:val="20"/>
                <w:lang w:eastAsia="en-US"/>
              </w:rPr>
              <w:t>nych</w:t>
            </w:r>
            <w:proofErr w:type="spellEnd"/>
            <w:r>
              <w:rPr>
                <w:rFonts w:ascii="Times New Roman" w:hAnsi="Times New Roman"/>
                <w:sz w:val="20"/>
                <w:lang w:eastAsia="en-US"/>
              </w:rPr>
              <w:t xml:space="preserve"> losowo elementów w każdej </w:t>
            </w:r>
            <w:proofErr w:type="spellStart"/>
            <w:r>
              <w:rPr>
                <w:rFonts w:ascii="Times New Roman" w:hAnsi="Times New Roman"/>
                <w:sz w:val="20"/>
                <w:lang w:eastAsia="en-US"/>
              </w:rPr>
              <w:t>dostar</w:t>
            </w:r>
            <w:proofErr w:type="spellEnd"/>
            <w:r>
              <w:rPr>
                <w:rFonts w:ascii="Times New Roman" w:hAnsi="Times New Roman"/>
                <w:sz w:val="20"/>
                <w:lang w:eastAsia="en-US"/>
              </w:rPr>
              <w:t xml:space="preserve">-  </w:t>
            </w:r>
            <w:proofErr w:type="spellStart"/>
            <w:r>
              <w:rPr>
                <w:rFonts w:ascii="Times New Roman" w:hAnsi="Times New Roman"/>
                <w:sz w:val="20"/>
                <w:lang w:eastAsia="en-US"/>
              </w:rPr>
              <w:t>czonej</w:t>
            </w:r>
            <w:proofErr w:type="spellEnd"/>
            <w:r>
              <w:rPr>
                <w:rFonts w:ascii="Times New Roman" w:hAnsi="Times New Roman"/>
                <w:sz w:val="20"/>
                <w:lang w:eastAsia="en-US"/>
              </w:rPr>
              <w:t xml:space="preserve"> partii</w:t>
            </w:r>
          </w:p>
        </w:tc>
        <w:tc>
          <w:tcPr>
            <w:tcW w:w="2748" w:type="dxa"/>
            <w:tcBorders>
              <w:top w:val="nil"/>
              <w:left w:val="nil"/>
              <w:bottom w:val="nil"/>
              <w:right w:val="nil"/>
            </w:tcBorders>
            <w:hideMark/>
          </w:tcPr>
          <w:p w:rsidR="00216C9A" w:rsidRDefault="00216C9A">
            <w:pPr>
              <w:pStyle w:val="StylIwony"/>
              <w:spacing w:before="60" w:after="0" w:line="276" w:lineRule="auto"/>
              <w:jc w:val="left"/>
              <w:rPr>
                <w:rFonts w:ascii="Times New Roman" w:hAnsi="Times New Roman"/>
                <w:sz w:val="20"/>
                <w:lang w:eastAsia="en-US"/>
              </w:rPr>
            </w:pPr>
            <w:r>
              <w:rPr>
                <w:rFonts w:ascii="Times New Roman" w:hAnsi="Times New Roman"/>
                <w:sz w:val="20"/>
                <w:lang w:eastAsia="en-US"/>
              </w:rPr>
              <w:t>Powierzchnię zbadać nieuzbrojonym okiem. Do ew. sprawdzenia głębokości wad użyć dostępnych narzędzi (np. liniałów z czujnikiem, suwmiarek, mikrometrów itp.</w:t>
            </w:r>
          </w:p>
        </w:tc>
        <w:tc>
          <w:tcPr>
            <w:tcW w:w="1417" w:type="dxa"/>
            <w:tcBorders>
              <w:top w:val="nil"/>
              <w:left w:val="nil"/>
              <w:bottom w:val="nil"/>
              <w:right w:val="single" w:sz="6" w:space="0" w:color="auto"/>
            </w:tcBorders>
          </w:tcPr>
          <w:p w:rsidR="00216C9A" w:rsidRDefault="00216C9A">
            <w:pPr>
              <w:pStyle w:val="StylIwony"/>
              <w:spacing w:before="0" w:after="0" w:line="276" w:lineRule="auto"/>
              <w:rPr>
                <w:rFonts w:ascii="Times New Roman" w:hAnsi="Times New Roman"/>
                <w:sz w:val="20"/>
                <w:lang w:eastAsia="en-US"/>
              </w:rPr>
            </w:pPr>
          </w:p>
          <w:p w:rsidR="00216C9A" w:rsidRDefault="00216C9A">
            <w:pPr>
              <w:pStyle w:val="StylIwony"/>
              <w:spacing w:before="0" w:after="0" w:line="276" w:lineRule="auto"/>
              <w:rPr>
                <w:rFonts w:ascii="Times New Roman" w:hAnsi="Times New Roman"/>
                <w:sz w:val="20"/>
                <w:lang w:eastAsia="en-US"/>
              </w:rPr>
            </w:pPr>
          </w:p>
          <w:p w:rsidR="00216C9A" w:rsidRDefault="00216C9A">
            <w:pPr>
              <w:pStyle w:val="StylIwony"/>
              <w:spacing w:before="60" w:after="0" w:line="276" w:lineRule="auto"/>
              <w:jc w:val="left"/>
              <w:rPr>
                <w:rFonts w:ascii="Times New Roman" w:hAnsi="Times New Roman"/>
                <w:sz w:val="20"/>
                <w:lang w:eastAsia="en-US"/>
              </w:rPr>
            </w:pPr>
            <w:r>
              <w:rPr>
                <w:rFonts w:ascii="Times New Roman" w:hAnsi="Times New Roman"/>
                <w:sz w:val="20"/>
                <w:lang w:eastAsia="en-US"/>
              </w:rPr>
              <w:t xml:space="preserve">Wyniki badań powinny być zgodne z wymaganiami </w:t>
            </w:r>
          </w:p>
        </w:tc>
      </w:tr>
      <w:tr w:rsidR="00216C9A" w:rsidTr="00216C9A">
        <w:tc>
          <w:tcPr>
            <w:tcW w:w="496" w:type="dxa"/>
            <w:tcBorders>
              <w:top w:val="nil"/>
              <w:left w:val="single" w:sz="6" w:space="0" w:color="auto"/>
              <w:bottom w:val="single" w:sz="6" w:space="0" w:color="auto"/>
              <w:right w:val="nil"/>
            </w:tcBorders>
          </w:tcPr>
          <w:p w:rsidR="00216C9A" w:rsidRDefault="00216C9A">
            <w:pPr>
              <w:pStyle w:val="StylIwony"/>
              <w:spacing w:before="0" w:after="0" w:line="276" w:lineRule="auto"/>
              <w:jc w:val="center"/>
              <w:rPr>
                <w:rFonts w:ascii="Times New Roman" w:hAnsi="Times New Roman"/>
                <w:sz w:val="20"/>
                <w:lang w:eastAsia="en-US"/>
              </w:rPr>
            </w:pPr>
          </w:p>
          <w:p w:rsidR="00216C9A" w:rsidRDefault="00216C9A">
            <w:pPr>
              <w:pStyle w:val="StylIwony"/>
              <w:spacing w:before="0" w:after="0" w:line="276" w:lineRule="auto"/>
              <w:jc w:val="center"/>
              <w:rPr>
                <w:rFonts w:ascii="Times New Roman" w:hAnsi="Times New Roman"/>
                <w:sz w:val="20"/>
                <w:lang w:eastAsia="en-US"/>
              </w:rPr>
            </w:pPr>
            <w:r>
              <w:rPr>
                <w:rFonts w:ascii="Times New Roman" w:hAnsi="Times New Roman"/>
                <w:sz w:val="20"/>
                <w:lang w:eastAsia="en-US"/>
              </w:rPr>
              <w:t>2</w:t>
            </w:r>
          </w:p>
        </w:tc>
        <w:tc>
          <w:tcPr>
            <w:tcW w:w="1417" w:type="dxa"/>
            <w:tcBorders>
              <w:top w:val="nil"/>
              <w:left w:val="nil"/>
              <w:bottom w:val="single" w:sz="6" w:space="0" w:color="auto"/>
              <w:right w:val="nil"/>
            </w:tcBorders>
          </w:tcPr>
          <w:p w:rsidR="00216C9A" w:rsidRDefault="00216C9A">
            <w:pPr>
              <w:pStyle w:val="StylIwony"/>
              <w:spacing w:before="0" w:after="0" w:line="276" w:lineRule="auto"/>
              <w:rPr>
                <w:rFonts w:ascii="Times New Roman" w:hAnsi="Times New Roman"/>
                <w:sz w:val="20"/>
                <w:lang w:eastAsia="en-US"/>
              </w:rPr>
            </w:pPr>
          </w:p>
          <w:p w:rsidR="00216C9A" w:rsidRDefault="00216C9A">
            <w:pPr>
              <w:pStyle w:val="StylIwony"/>
              <w:spacing w:before="0" w:after="0" w:line="276" w:lineRule="auto"/>
              <w:rPr>
                <w:rFonts w:ascii="Times New Roman" w:hAnsi="Times New Roman"/>
                <w:sz w:val="20"/>
                <w:lang w:eastAsia="en-US"/>
              </w:rPr>
            </w:pPr>
            <w:r>
              <w:rPr>
                <w:rFonts w:ascii="Times New Roman" w:hAnsi="Times New Roman"/>
                <w:sz w:val="20"/>
                <w:lang w:eastAsia="en-US"/>
              </w:rPr>
              <w:t>Sprawdzenie wymiarów</w:t>
            </w:r>
          </w:p>
        </w:tc>
        <w:tc>
          <w:tcPr>
            <w:tcW w:w="1505" w:type="dxa"/>
            <w:tcBorders>
              <w:top w:val="nil"/>
              <w:left w:val="nil"/>
              <w:bottom w:val="single" w:sz="6" w:space="0" w:color="auto"/>
              <w:right w:val="nil"/>
            </w:tcBorders>
            <w:hideMark/>
          </w:tcPr>
          <w:p w:rsidR="00216C9A" w:rsidRDefault="00216C9A">
            <w:pPr>
              <w:pStyle w:val="StylIwony"/>
              <w:spacing w:before="0" w:after="0" w:line="276" w:lineRule="auto"/>
              <w:rPr>
                <w:rFonts w:ascii="Times New Roman" w:hAnsi="Times New Roman"/>
                <w:sz w:val="20"/>
                <w:lang w:eastAsia="en-US"/>
              </w:rPr>
            </w:pPr>
            <w:r>
              <w:rPr>
                <w:rFonts w:ascii="Times New Roman" w:hAnsi="Times New Roman"/>
                <w:sz w:val="20"/>
                <w:lang w:eastAsia="en-US"/>
              </w:rPr>
              <w:t>wyrobów liczą-</w:t>
            </w:r>
            <w:proofErr w:type="spellStart"/>
            <w:r>
              <w:rPr>
                <w:rFonts w:ascii="Times New Roman" w:hAnsi="Times New Roman"/>
                <w:sz w:val="20"/>
                <w:lang w:eastAsia="en-US"/>
              </w:rPr>
              <w:t>cej</w:t>
            </w:r>
            <w:proofErr w:type="spellEnd"/>
            <w:r>
              <w:rPr>
                <w:rFonts w:ascii="Times New Roman" w:hAnsi="Times New Roman"/>
                <w:sz w:val="20"/>
                <w:lang w:eastAsia="en-US"/>
              </w:rPr>
              <w:t xml:space="preserve"> do 1000 elementów</w:t>
            </w:r>
          </w:p>
        </w:tc>
        <w:tc>
          <w:tcPr>
            <w:tcW w:w="2748" w:type="dxa"/>
            <w:tcBorders>
              <w:top w:val="nil"/>
              <w:left w:val="nil"/>
              <w:bottom w:val="single" w:sz="6" w:space="0" w:color="auto"/>
              <w:right w:val="nil"/>
            </w:tcBorders>
            <w:hideMark/>
          </w:tcPr>
          <w:p w:rsidR="00216C9A" w:rsidRDefault="00216C9A">
            <w:pPr>
              <w:pStyle w:val="StylIwony"/>
              <w:spacing w:before="0" w:after="60" w:line="276" w:lineRule="auto"/>
              <w:rPr>
                <w:rFonts w:ascii="Times New Roman" w:hAnsi="Times New Roman"/>
                <w:sz w:val="20"/>
                <w:lang w:eastAsia="en-US"/>
              </w:rPr>
            </w:pPr>
            <w:r>
              <w:rPr>
                <w:rFonts w:ascii="Times New Roman" w:hAnsi="Times New Roman"/>
                <w:sz w:val="20"/>
                <w:lang w:eastAsia="en-US"/>
              </w:rPr>
              <w:t>Przeprowadzić uniwersalnymi przyrządami pomiarowymi lub sprawdzianami (np. liniałami, przymiarami itp.)</w:t>
            </w:r>
          </w:p>
        </w:tc>
        <w:tc>
          <w:tcPr>
            <w:tcW w:w="1417" w:type="dxa"/>
            <w:tcBorders>
              <w:top w:val="nil"/>
              <w:left w:val="nil"/>
              <w:bottom w:val="single" w:sz="6" w:space="0" w:color="auto"/>
              <w:right w:val="single" w:sz="6" w:space="0" w:color="auto"/>
            </w:tcBorders>
            <w:hideMark/>
          </w:tcPr>
          <w:p w:rsidR="00216C9A" w:rsidRDefault="00216C9A">
            <w:pPr>
              <w:pStyle w:val="StylIwony"/>
              <w:spacing w:before="0" w:after="0" w:line="276" w:lineRule="auto"/>
              <w:rPr>
                <w:rFonts w:ascii="Times New Roman" w:hAnsi="Times New Roman"/>
                <w:sz w:val="20"/>
                <w:lang w:eastAsia="en-US"/>
              </w:rPr>
            </w:pPr>
            <w:r>
              <w:rPr>
                <w:rFonts w:ascii="Times New Roman" w:hAnsi="Times New Roman"/>
                <w:sz w:val="20"/>
                <w:lang w:eastAsia="en-US"/>
              </w:rPr>
              <w:t>punktu 2</w:t>
            </w:r>
          </w:p>
        </w:tc>
      </w:tr>
    </w:tbl>
    <w:p w:rsidR="00216C9A" w:rsidRDefault="00216C9A" w:rsidP="00216C9A">
      <w:pPr>
        <w:pStyle w:val="StylIwony"/>
        <w:spacing w:before="0" w:after="0"/>
        <w:rPr>
          <w:rFonts w:ascii="Times New Roman" w:hAnsi="Times New Roman"/>
          <w:sz w:val="20"/>
        </w:rPr>
      </w:pPr>
    </w:p>
    <w:p w:rsidR="00216C9A" w:rsidRDefault="00216C9A" w:rsidP="00216C9A">
      <w:pPr>
        <w:pStyle w:val="StylIwony"/>
        <w:spacing w:before="0" w:after="0"/>
        <w:rPr>
          <w:rFonts w:ascii="Times New Roman" w:hAnsi="Times New Roman"/>
          <w:sz w:val="20"/>
        </w:rPr>
      </w:pPr>
      <w:r>
        <w:rPr>
          <w:rFonts w:ascii="Times New Roman" w:hAnsi="Times New Roman"/>
          <w:sz w:val="20"/>
        </w:rPr>
        <w:tab/>
        <w:t xml:space="preserve">W przypadkach budzących wątpliwości można zlecić uprawnionej jednostce zbadanie właściwości dostarczonych wyrobów i materiałów w zakresie wymagań podanych w punkcie 2.  </w:t>
      </w:r>
    </w:p>
    <w:p w:rsidR="00216C9A" w:rsidRDefault="00216C9A" w:rsidP="00216C9A">
      <w:pPr>
        <w:pStyle w:val="StylIwony"/>
        <w:rPr>
          <w:rFonts w:ascii="Times New Roman" w:hAnsi="Times New Roman"/>
          <w:sz w:val="20"/>
        </w:rPr>
      </w:pPr>
      <w:r>
        <w:rPr>
          <w:rFonts w:ascii="Times New Roman" w:hAnsi="Times New Roman"/>
          <w:b/>
          <w:sz w:val="20"/>
        </w:rPr>
        <w:t xml:space="preserve">6.3.2. </w:t>
      </w:r>
      <w:r>
        <w:rPr>
          <w:rFonts w:ascii="Times New Roman" w:hAnsi="Times New Roman"/>
          <w:sz w:val="20"/>
        </w:rPr>
        <w:t>Kontrola w czasie wykonywania robót</w:t>
      </w:r>
    </w:p>
    <w:p w:rsidR="00216C9A" w:rsidRDefault="00216C9A" w:rsidP="00216C9A">
      <w:pPr>
        <w:pStyle w:val="StylIwony"/>
        <w:spacing w:before="0" w:after="0"/>
        <w:rPr>
          <w:rFonts w:ascii="Times New Roman" w:hAnsi="Times New Roman"/>
          <w:sz w:val="20"/>
        </w:rPr>
      </w:pPr>
      <w:r>
        <w:rPr>
          <w:rFonts w:ascii="Times New Roman" w:hAnsi="Times New Roman"/>
          <w:sz w:val="20"/>
        </w:rPr>
        <w:tab/>
        <w:t>W czasie wykonywania robót należy sprawdzać:</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zgodność wykonania znaków pionowych z dokumentacją projektową (lokalizacja, wymiary, wysokość zamocowania znaków),</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zachowanie dopuszczalnych odchyłek wymiarów, zgodnie z punktem 2 i 5,</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prawidłowość wykonania wykopów pod konstrukcje wsporcze, zgodnie z punktem 5.3,</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poprawność wykonania fundamentów pod słupki zgodnie z punktem 5.3,</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poprawność ustawienia słupków i konstrukcji wsporczych, zgodnie z punktem 5.4.</w:t>
      </w:r>
    </w:p>
    <w:p w:rsidR="00216C9A" w:rsidRDefault="00216C9A" w:rsidP="00216C9A">
      <w:pPr>
        <w:pStyle w:val="StylIwony"/>
        <w:spacing w:before="0" w:after="0"/>
        <w:rPr>
          <w:rFonts w:ascii="Times New Roman" w:hAnsi="Times New Roman"/>
          <w:sz w:val="20"/>
        </w:rPr>
      </w:pPr>
      <w:r>
        <w:rPr>
          <w:rFonts w:ascii="Times New Roman" w:hAnsi="Times New Roman"/>
          <w:sz w:val="20"/>
        </w:rPr>
        <w:tab/>
        <w:t>W przypadku wykonania spawanych złącz elementów konstrukcji wsporczych:</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przed oględzinami, spoinę i przylegające do niej elementy łączone  (od 10 do 20 mm z każdej strony) należy dokładnie oczyścić z zanieczyszczeń utrudniających prowadzenie obserwacji i pomiarów,</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oględziny złączy należy przeprowadzić wizualnie z ewentualnym użyciem lupy o powiększeniu od 2 do 4 razy; do pomiarów spoin powinny być stosowane wzorniki, przymiary oraz uniwersalne spoinomierze,</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w przypadkach wątpliwych można zlecić uprawnionej jednostce zbadanie wytrzymałości zmęczeniowej spoin, zgodnie z PN-M-06515 [18],</w:t>
      </w:r>
    </w:p>
    <w:p w:rsidR="00216C9A" w:rsidRDefault="00216C9A" w:rsidP="00216C9A">
      <w:pPr>
        <w:pStyle w:val="StylIwony"/>
        <w:numPr>
          <w:ilvl w:val="0"/>
          <w:numId w:val="191"/>
        </w:numPr>
        <w:spacing w:before="0" w:after="0"/>
        <w:ind w:left="283"/>
        <w:textAlignment w:val="auto"/>
        <w:rPr>
          <w:rFonts w:ascii="Times New Roman" w:hAnsi="Times New Roman"/>
          <w:sz w:val="20"/>
        </w:rPr>
      </w:pPr>
      <w:r>
        <w:rPr>
          <w:rFonts w:ascii="Times New Roman" w:hAnsi="Times New Roman"/>
          <w:sz w:val="20"/>
        </w:rPr>
        <w:t>złącza o wadach większych niż dopuszczalne, określone w punkcie 5.5, powinny być naprawione powtórnym spawaniem.</w:t>
      </w:r>
    </w:p>
    <w:p w:rsidR="00216C9A" w:rsidRDefault="00216C9A" w:rsidP="00216C9A">
      <w:pPr>
        <w:pStyle w:val="Nagwek1"/>
      </w:pPr>
      <w:bookmarkStart w:id="510" w:name="_Toc425562419"/>
      <w:bookmarkStart w:id="511" w:name="_Toc425833586"/>
      <w:r>
        <w:t>7. OBMIAR ROBÓT</w:t>
      </w:r>
      <w:bookmarkEnd w:id="510"/>
      <w:bookmarkEnd w:id="511"/>
    </w:p>
    <w:p w:rsidR="00216C9A" w:rsidRDefault="00216C9A" w:rsidP="00216C9A">
      <w:pPr>
        <w:pStyle w:val="Nagwek2"/>
      </w:pPr>
      <w:r>
        <w:t>7.1. Ogólne zasady obmiaru robót</w:t>
      </w:r>
    </w:p>
    <w:p w:rsidR="00216C9A" w:rsidRDefault="00216C9A" w:rsidP="00216C9A">
      <w:pPr>
        <w:pStyle w:val="StylIwony"/>
        <w:spacing w:before="0" w:after="0"/>
        <w:rPr>
          <w:rFonts w:ascii="Times New Roman" w:hAnsi="Times New Roman"/>
          <w:sz w:val="20"/>
        </w:rPr>
      </w:pPr>
      <w:r>
        <w:rPr>
          <w:rFonts w:ascii="Times New Roman" w:hAnsi="Times New Roman"/>
          <w:sz w:val="20"/>
        </w:rPr>
        <w:tab/>
        <w:t>Ogólne zasady obmiaru robót podano w OST D-M-00.00.00 „Wymagania ogólne” pkt 7.</w:t>
      </w:r>
    </w:p>
    <w:p w:rsidR="00216C9A" w:rsidRDefault="00216C9A" w:rsidP="00216C9A">
      <w:pPr>
        <w:pStyle w:val="Nagwek2"/>
      </w:pPr>
      <w:r>
        <w:t>7.2. Jednostka obmiarowa</w:t>
      </w:r>
    </w:p>
    <w:p w:rsidR="00216C9A" w:rsidRDefault="00216C9A" w:rsidP="00216C9A">
      <w:pPr>
        <w:pStyle w:val="StylIwony"/>
        <w:spacing w:before="0" w:after="0"/>
        <w:ind w:firstLine="709"/>
        <w:rPr>
          <w:rFonts w:ascii="Times New Roman" w:hAnsi="Times New Roman"/>
          <w:sz w:val="20"/>
        </w:rPr>
      </w:pPr>
      <w:r>
        <w:rPr>
          <w:rFonts w:ascii="Times New Roman" w:hAnsi="Times New Roman"/>
          <w:sz w:val="20"/>
        </w:rPr>
        <w:t>Jednostkami obmiarowymi są:</w:t>
      </w:r>
    </w:p>
    <w:p w:rsidR="00216C9A" w:rsidRDefault="00216C9A" w:rsidP="00216C9A">
      <w:pPr>
        <w:pStyle w:val="StylIwony"/>
        <w:numPr>
          <w:ilvl w:val="0"/>
          <w:numId w:val="194"/>
        </w:numPr>
        <w:spacing w:before="0" w:after="0"/>
        <w:textAlignment w:val="auto"/>
        <w:rPr>
          <w:rFonts w:ascii="Times New Roman" w:hAnsi="Times New Roman"/>
          <w:sz w:val="20"/>
        </w:rPr>
      </w:pPr>
      <w:r>
        <w:rPr>
          <w:rFonts w:ascii="Times New Roman" w:hAnsi="Times New Roman"/>
          <w:sz w:val="20"/>
        </w:rPr>
        <w:t>szt. (sztuka), dla znaków konwencjonalnych oraz konstrukcji wsporczych,</w:t>
      </w:r>
    </w:p>
    <w:p w:rsidR="00216C9A" w:rsidRDefault="00216C9A" w:rsidP="00216C9A">
      <w:pPr>
        <w:pStyle w:val="StylIwony"/>
        <w:numPr>
          <w:ilvl w:val="0"/>
          <w:numId w:val="194"/>
        </w:numPr>
        <w:spacing w:before="0" w:after="0"/>
        <w:textAlignment w:val="auto"/>
        <w:rPr>
          <w:rFonts w:ascii="Times New Roman" w:hAnsi="Times New Roman"/>
          <w:sz w:val="20"/>
        </w:rPr>
      </w:pPr>
      <w:r>
        <w:rPr>
          <w:rFonts w:ascii="Times New Roman" w:hAnsi="Times New Roman"/>
          <w:sz w:val="20"/>
        </w:rPr>
        <w:lastRenderedPageBreak/>
        <w:t>m</w:t>
      </w:r>
      <w:r>
        <w:rPr>
          <w:rFonts w:ascii="Times New Roman" w:hAnsi="Times New Roman"/>
          <w:sz w:val="20"/>
          <w:vertAlign w:val="superscript"/>
        </w:rPr>
        <w:t>2</w:t>
      </w:r>
      <w:r>
        <w:rPr>
          <w:rFonts w:ascii="Times New Roman" w:hAnsi="Times New Roman"/>
          <w:sz w:val="20"/>
        </w:rPr>
        <w:t xml:space="preserve"> (metr kwadratowy) powierzchni tablic dla znaków pozostałych.</w:t>
      </w:r>
    </w:p>
    <w:p w:rsidR="00216C9A" w:rsidRDefault="00216C9A" w:rsidP="00216C9A">
      <w:pPr>
        <w:pStyle w:val="Nagwek1"/>
      </w:pPr>
      <w:bookmarkStart w:id="512" w:name="_Toc425562420"/>
      <w:bookmarkStart w:id="513" w:name="_Toc425833587"/>
      <w:r>
        <w:t>8. ODBIÓR ROBÓT</w:t>
      </w:r>
      <w:bookmarkEnd w:id="512"/>
      <w:bookmarkEnd w:id="513"/>
    </w:p>
    <w:p w:rsidR="00216C9A" w:rsidRDefault="00216C9A" w:rsidP="00216C9A">
      <w:pPr>
        <w:pStyle w:val="Nagwek2"/>
      </w:pPr>
      <w:r>
        <w:t>8.1. Ogólne zasady odbioru robót</w:t>
      </w:r>
    </w:p>
    <w:p w:rsidR="00216C9A" w:rsidRDefault="00216C9A" w:rsidP="00216C9A">
      <w:pPr>
        <w:pStyle w:val="StylIwony"/>
        <w:spacing w:before="0" w:after="0"/>
        <w:rPr>
          <w:rFonts w:ascii="Times New Roman" w:hAnsi="Times New Roman"/>
          <w:sz w:val="20"/>
        </w:rPr>
      </w:pPr>
      <w:r>
        <w:rPr>
          <w:rFonts w:ascii="Times New Roman" w:hAnsi="Times New Roman"/>
          <w:sz w:val="20"/>
        </w:rPr>
        <w:tab/>
        <w:t>Ogólne zasady odbioru robót podano w OST D-M-00.00.00 „Wymagania ogólne” pkt 8.</w:t>
      </w:r>
    </w:p>
    <w:p w:rsidR="00216C9A" w:rsidRDefault="00216C9A" w:rsidP="00216C9A">
      <w:r>
        <w:tab/>
        <w:t>Roboty uznaje się za wykonane zgodnie z dokumentacją projektową, SST i wymaganiami Inżyniera, jeżeli wszystkie pomiary i badania z zachowaniem tolerancji wg pkt 6, dały wyniki pozytywne.</w:t>
      </w:r>
    </w:p>
    <w:p w:rsidR="00216C9A" w:rsidRDefault="00216C9A" w:rsidP="00216C9A">
      <w:pPr>
        <w:pStyle w:val="Nagwek2"/>
      </w:pPr>
      <w:r>
        <w:t>8.2. Odbiór ostateczny</w:t>
      </w:r>
    </w:p>
    <w:p w:rsidR="00216C9A" w:rsidRDefault="00216C9A" w:rsidP="00216C9A">
      <w:r>
        <w:tab/>
        <w:t>Odbiór robót oznakowania pionowego dokonywany jest na zasadzie odbioru ostatecznego.</w:t>
      </w:r>
    </w:p>
    <w:p w:rsidR="00216C9A" w:rsidRDefault="00216C9A" w:rsidP="00216C9A">
      <w:r>
        <w:tab/>
        <w:t>Odbiór ostateczny powinien być dokonany po całkowitym zakończeniu robót, na podstawie wyników pomiarów i badań jakościowych określonych w punktach 2 i 5.</w:t>
      </w:r>
    </w:p>
    <w:p w:rsidR="00216C9A" w:rsidRDefault="00216C9A" w:rsidP="00216C9A">
      <w:pPr>
        <w:pStyle w:val="Nagwek2"/>
      </w:pPr>
      <w:r>
        <w:t>8.3. Odbiór pogwarancyjny</w:t>
      </w:r>
    </w:p>
    <w:p w:rsidR="00216C9A" w:rsidRDefault="00216C9A" w:rsidP="00216C9A">
      <w:r>
        <w:tab/>
        <w:t>Odbioru pogwarancyjnego należy dokonać po upływie okresu gwarancyjnego, ustalonego w SST.</w:t>
      </w:r>
    </w:p>
    <w:p w:rsidR="00216C9A" w:rsidRDefault="00216C9A" w:rsidP="00216C9A">
      <w:pPr>
        <w:pStyle w:val="Nagwek1"/>
      </w:pPr>
      <w:bookmarkStart w:id="514" w:name="_Toc425833588"/>
      <w:r>
        <w:t>9. podstawa płatności</w:t>
      </w:r>
      <w:bookmarkEnd w:id="514"/>
    </w:p>
    <w:p w:rsidR="00216C9A" w:rsidRDefault="00216C9A" w:rsidP="00216C9A">
      <w:pPr>
        <w:pStyle w:val="Nagwek2"/>
      </w:pPr>
      <w:r>
        <w:t>9.1. Ogólne ustalenia dotyczące podstawy płatności</w:t>
      </w:r>
    </w:p>
    <w:p w:rsidR="00216C9A" w:rsidRDefault="00216C9A" w:rsidP="00216C9A">
      <w:r>
        <w:tab/>
        <w:t>Ogólne ustalenia dotyczące podstawy płatności podano w OST D-M-00.00.00 „Wymagania ogólne” pkt 9.</w:t>
      </w:r>
    </w:p>
    <w:p w:rsidR="00216C9A" w:rsidRDefault="00216C9A" w:rsidP="00216C9A">
      <w:pPr>
        <w:pStyle w:val="Nagwek2"/>
      </w:pPr>
      <w:r>
        <w:t>9.2. Cena jednostki obmiarowej</w:t>
      </w:r>
    </w:p>
    <w:p w:rsidR="00216C9A" w:rsidRDefault="00216C9A" w:rsidP="00216C9A">
      <w:r>
        <w:tab/>
        <w:t>Cena wykonania jednostki obmiarowej oznakowania pionowego obejmuje:</w:t>
      </w:r>
    </w:p>
    <w:p w:rsidR="00216C9A" w:rsidRDefault="00216C9A" w:rsidP="00216C9A">
      <w:pPr>
        <w:numPr>
          <w:ilvl w:val="0"/>
          <w:numId w:val="191"/>
        </w:numPr>
        <w:overflowPunct w:val="0"/>
        <w:autoSpaceDE w:val="0"/>
        <w:autoSpaceDN w:val="0"/>
        <w:adjustRightInd w:val="0"/>
        <w:ind w:left="283"/>
        <w:jc w:val="both"/>
      </w:pPr>
      <w:r>
        <w:t>prace pomiarowe i roboty przygotowawcze,</w:t>
      </w:r>
    </w:p>
    <w:p w:rsidR="00216C9A" w:rsidRDefault="00216C9A" w:rsidP="00216C9A">
      <w:pPr>
        <w:numPr>
          <w:ilvl w:val="0"/>
          <w:numId w:val="191"/>
        </w:numPr>
        <w:overflowPunct w:val="0"/>
        <w:autoSpaceDE w:val="0"/>
        <w:autoSpaceDN w:val="0"/>
        <w:adjustRightInd w:val="0"/>
        <w:ind w:left="283"/>
        <w:jc w:val="both"/>
      </w:pPr>
      <w:r>
        <w:t>wykonanie fundamentów</w:t>
      </w:r>
    </w:p>
    <w:p w:rsidR="00216C9A" w:rsidRDefault="00216C9A" w:rsidP="00216C9A">
      <w:pPr>
        <w:numPr>
          <w:ilvl w:val="0"/>
          <w:numId w:val="191"/>
        </w:numPr>
        <w:overflowPunct w:val="0"/>
        <w:autoSpaceDE w:val="0"/>
        <w:autoSpaceDN w:val="0"/>
        <w:adjustRightInd w:val="0"/>
        <w:ind w:left="283"/>
        <w:jc w:val="both"/>
      </w:pPr>
      <w:r>
        <w:t>dostarczenie i ustawienie konstrukcji wsporczych,</w:t>
      </w:r>
    </w:p>
    <w:p w:rsidR="00216C9A" w:rsidRDefault="00216C9A" w:rsidP="00216C9A">
      <w:pPr>
        <w:numPr>
          <w:ilvl w:val="0"/>
          <w:numId w:val="191"/>
        </w:numPr>
        <w:overflowPunct w:val="0"/>
        <w:autoSpaceDE w:val="0"/>
        <w:autoSpaceDN w:val="0"/>
        <w:adjustRightInd w:val="0"/>
        <w:ind w:left="283"/>
        <w:jc w:val="both"/>
      </w:pPr>
      <w:r>
        <w:t>zamocowanie tarcz znaków drogowych,</w:t>
      </w:r>
    </w:p>
    <w:p w:rsidR="00216C9A" w:rsidRDefault="00216C9A" w:rsidP="00216C9A">
      <w:pPr>
        <w:numPr>
          <w:ilvl w:val="0"/>
          <w:numId w:val="191"/>
        </w:numPr>
        <w:overflowPunct w:val="0"/>
        <w:autoSpaceDE w:val="0"/>
        <w:autoSpaceDN w:val="0"/>
        <w:adjustRightInd w:val="0"/>
        <w:ind w:left="283"/>
        <w:jc w:val="both"/>
      </w:pPr>
      <w:r>
        <w:t>przeprowadzenie pomiarów i badań wymaganych w specyfikacji technicznej.</w:t>
      </w:r>
    </w:p>
    <w:p w:rsidR="00216C9A" w:rsidRDefault="00216C9A" w:rsidP="00216C9A">
      <w:pPr>
        <w:pStyle w:val="Nagwek1"/>
      </w:pPr>
      <w:bookmarkStart w:id="515" w:name="_Toc425833589"/>
      <w:r>
        <w:t>10. przepisy związane</w:t>
      </w:r>
      <w:bookmarkEnd w:id="515"/>
    </w:p>
    <w:p w:rsidR="00216C9A" w:rsidRDefault="00216C9A" w:rsidP="00216C9A">
      <w:pPr>
        <w:pStyle w:val="Nagwek2"/>
      </w:pPr>
      <w: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1.</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PN-B-06250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Beton zwykły</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2.</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PN-B-06251</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Roboty betonowe i żelbetowe. Wymagania techniczne</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3.</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PN-B-06712</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Kruszywa mineralne do betonu zwykłego</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val="en-US" w:eastAsia="en-US"/>
              </w:rPr>
            </w:pPr>
            <w:r>
              <w:rPr>
                <w:lang w:eastAsia="en-US"/>
              </w:rPr>
              <w:t xml:space="preserve">  </w:t>
            </w:r>
            <w:r>
              <w:rPr>
                <w:lang w:val="en-US" w:eastAsia="en-US"/>
              </w:rPr>
              <w:t>4.</w:t>
            </w:r>
          </w:p>
        </w:tc>
        <w:tc>
          <w:tcPr>
            <w:tcW w:w="1560" w:type="dxa"/>
            <w:hideMark/>
          </w:tcPr>
          <w:p w:rsidR="00216C9A" w:rsidRDefault="00216C9A">
            <w:pPr>
              <w:overflowPunct w:val="0"/>
              <w:autoSpaceDE w:val="0"/>
              <w:autoSpaceDN w:val="0"/>
              <w:adjustRightInd w:val="0"/>
              <w:spacing w:line="276" w:lineRule="auto"/>
              <w:jc w:val="both"/>
              <w:rPr>
                <w:lang w:val="en-US" w:eastAsia="en-US"/>
              </w:rPr>
            </w:pPr>
            <w:r>
              <w:rPr>
                <w:lang w:val="en-US" w:eastAsia="en-US"/>
              </w:rPr>
              <w:t>PN-B-19701</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Cement. Cement powszechnego użytku. Skład, wymagania                 i ocena zgodności</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5.</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PN-B-23010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Domieszki do betonu. Klasyfikacja i określenia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6.</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PN-B-32250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Materiały budowlane. Woda do betonów i zapraw</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7.</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PN-E-06314</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Elektryczne oprawy oświetlenia zewnętrznego</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8.</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PN-H-04651</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Ochrona przed korozją. Klasyfikacja i określenie agresywności korozyjnej środowiska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  9.</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PN-H-74219</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Rury stalowe bez szwu walcowane na gorąco ogólnego zastosowania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10.</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PN-H-74220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Rury stalowe bez szwu ciągnione i walcowane na zimno ogólnego przeznaczenia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11.</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PN-H-82200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Cynk</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12.</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PN-H-84018</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Stal niskostopowa o podwyższonej wytrzymałości. Gatunki</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13.</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PN-H-84019</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Stal niestopowa do utwardzania powierzchniowego i ulepszania cieplnego. Gatunki</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14.</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PN-H-84020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Stal niestopowa konstrukcyjna ogólnego przeznaczenia. Gatunki</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15.</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PN-H-84023-07</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Stal określonego zastosowania. Stal na rury. Gatunki</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16.</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PN-H-84030-02</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Stal stopowa konstrukcyjna. Stal do nawęglania. Gatunki</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17.</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PN-H-93010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Stal. Kształtowniki walcowane na gorąco</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18.</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PN-H-93401</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Stal walcowana. Kątowniki równoramienne</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lastRenderedPageBreak/>
              <w:t>19.</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PN-M-06515</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Dźwignice. Ogólne zasady projektowania stalowych ustrojów nośnych</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 xml:space="preserve">20. </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PN-M-69011</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Spawalnictwo. Złącza spawane w konstrukcjach spawanych. Podział i wymagania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21.</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PN-M-69420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Spawalnictwo. Druty lite do spawania i napawania stali</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22.</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PN-M-69430</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Spawalnictwo. Elektrody stalowe otulone do spawania i napawania. Ogólne wymagania i badania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23.</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PN-M-69775</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Spawalnictwo. Wadliwość złączy spawanych. Oznaczanie klasy wadliwości na podstawie oględzin zewnętrznych</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24.</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PN-S-02205</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Drogi samochodowe. Roboty ziemne. Wymagania i badania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25.</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BN-89/1076-02</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Ochrona przed korozją. Powłoki metalizacyjne cynkowe i aluminiowe na konstrukcjach stalowych i żeliwnych. Wymagania i badania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26.</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BN-82/4131-03</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Spawalnictwo. Pręty i elektrody ze stopów stellitowych i pręty z żeliw wysokochromowych do napawania</w:t>
            </w:r>
          </w:p>
        </w:tc>
      </w:tr>
      <w:tr w:rsidR="00216C9A" w:rsidTr="00216C9A">
        <w:tc>
          <w:tcPr>
            <w:tcW w:w="637" w:type="dxa"/>
            <w:hideMark/>
          </w:tcPr>
          <w:p w:rsidR="00216C9A" w:rsidRDefault="00216C9A">
            <w:pPr>
              <w:overflowPunct w:val="0"/>
              <w:autoSpaceDE w:val="0"/>
              <w:autoSpaceDN w:val="0"/>
              <w:adjustRightInd w:val="0"/>
              <w:spacing w:line="276" w:lineRule="auto"/>
              <w:jc w:val="center"/>
              <w:rPr>
                <w:lang w:eastAsia="en-US"/>
              </w:rPr>
            </w:pPr>
            <w:r>
              <w:rPr>
                <w:lang w:eastAsia="en-US"/>
              </w:rPr>
              <w:t>27.</w:t>
            </w:r>
          </w:p>
        </w:tc>
        <w:tc>
          <w:tcPr>
            <w:tcW w:w="1560" w:type="dxa"/>
            <w:hideMark/>
          </w:tcPr>
          <w:p w:rsidR="00216C9A" w:rsidRDefault="00216C9A">
            <w:pPr>
              <w:overflowPunct w:val="0"/>
              <w:autoSpaceDE w:val="0"/>
              <w:autoSpaceDN w:val="0"/>
              <w:adjustRightInd w:val="0"/>
              <w:spacing w:line="276" w:lineRule="auto"/>
              <w:jc w:val="both"/>
              <w:rPr>
                <w:lang w:eastAsia="en-US"/>
              </w:rPr>
            </w:pPr>
            <w:r>
              <w:rPr>
                <w:lang w:eastAsia="en-US"/>
              </w:rPr>
              <w:t>BN-88/6731-08</w:t>
            </w:r>
          </w:p>
        </w:tc>
        <w:tc>
          <w:tcPr>
            <w:tcW w:w="5312" w:type="dxa"/>
            <w:hideMark/>
          </w:tcPr>
          <w:p w:rsidR="00216C9A" w:rsidRDefault="00216C9A">
            <w:pPr>
              <w:overflowPunct w:val="0"/>
              <w:autoSpaceDE w:val="0"/>
              <w:autoSpaceDN w:val="0"/>
              <w:adjustRightInd w:val="0"/>
              <w:spacing w:line="276" w:lineRule="auto"/>
              <w:jc w:val="both"/>
              <w:rPr>
                <w:lang w:eastAsia="en-US"/>
              </w:rPr>
            </w:pPr>
            <w:r>
              <w:rPr>
                <w:lang w:eastAsia="en-US"/>
              </w:rPr>
              <w:t>Cement. Transport i przechowywanie.</w:t>
            </w:r>
          </w:p>
        </w:tc>
      </w:tr>
    </w:tbl>
    <w:p w:rsidR="00216C9A" w:rsidRDefault="00216C9A" w:rsidP="00216C9A"/>
    <w:p w:rsidR="00E3297D" w:rsidRDefault="00E3297D" w:rsidP="002122BD"/>
    <w:p w:rsidR="00216C9A" w:rsidRDefault="00216C9A" w:rsidP="002122BD"/>
    <w:p w:rsidR="00ED0C0A" w:rsidRDefault="00ED0C0A"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234EE1" w:rsidRDefault="00234EE1" w:rsidP="002122BD"/>
    <w:p w:rsidR="00ED0C0A" w:rsidRDefault="00ED0C0A" w:rsidP="00ED0C0A">
      <w:pPr>
        <w:rPr>
          <w:b/>
          <w:sz w:val="28"/>
        </w:rPr>
      </w:pPr>
      <w:bookmarkStart w:id="516" w:name="_Hlk15765824"/>
      <w:r>
        <w:rPr>
          <w:b/>
          <w:sz w:val="28"/>
        </w:rPr>
        <w:lastRenderedPageBreak/>
        <w:t xml:space="preserve">D - 06.01.01. UMOCNIENIE  POWIERZCHNIOWE  SKARP,  </w:t>
      </w:r>
    </w:p>
    <w:p w:rsidR="00ED0C0A" w:rsidRDefault="00ED0C0A" w:rsidP="00ED0C0A">
      <w:pPr>
        <w:jc w:val="center"/>
        <w:rPr>
          <w:b/>
          <w:sz w:val="27"/>
        </w:rPr>
      </w:pPr>
      <w:r>
        <w:rPr>
          <w:b/>
          <w:sz w:val="28"/>
        </w:rPr>
        <w:t>ROWÓW  I  ŚCIEKÓW</w:t>
      </w:r>
    </w:p>
    <w:bookmarkEnd w:id="516"/>
    <w:p w:rsidR="00ED0C0A" w:rsidRDefault="00ED0C0A" w:rsidP="00ED0C0A"/>
    <w:p w:rsidR="00ED0C0A" w:rsidRDefault="00ED0C0A" w:rsidP="00ED0C0A">
      <w:pPr>
        <w:pStyle w:val="Nagwek1"/>
      </w:pPr>
      <w:bookmarkStart w:id="517" w:name="_Toc497107498"/>
      <w:r>
        <w:t>1. WSTĘP</w:t>
      </w:r>
      <w:bookmarkEnd w:id="517"/>
    </w:p>
    <w:p w:rsidR="00ED0C0A" w:rsidRDefault="00ED0C0A" w:rsidP="00ED0C0A">
      <w:pPr>
        <w:pStyle w:val="Nagwek2"/>
      </w:pPr>
      <w:r>
        <w:t>1.1. Przedmiot SST</w:t>
      </w:r>
    </w:p>
    <w:p w:rsidR="00ED0C0A" w:rsidRDefault="00ED0C0A" w:rsidP="00ED0C0A">
      <w:pPr>
        <w:pStyle w:val="StylIwony"/>
        <w:spacing w:before="0" w:after="0"/>
        <w:rPr>
          <w:rFonts w:ascii="Times New Roman" w:hAnsi="Times New Roman"/>
          <w:sz w:val="20"/>
        </w:rPr>
      </w:pPr>
      <w:r>
        <w:rPr>
          <w:rFonts w:ascii="Times New Roman" w:hAnsi="Times New Roman"/>
          <w:sz w:val="20"/>
        </w:rPr>
        <w:tab/>
        <w:t>Przedmiotem niniejszej szczegółowej specyfikacji technicznej (SST) są wymagania dotyczące wykonania i odbioru robót związanych z przeciwerozyjnym umocnieniem powierzchniowym skarp, rowów i ścieków.</w:t>
      </w:r>
    </w:p>
    <w:p w:rsidR="00ED0C0A" w:rsidRDefault="00ED0C0A" w:rsidP="00ED0C0A">
      <w:pPr>
        <w:pStyle w:val="Nagwek2"/>
      </w:pPr>
      <w:r>
        <w:t>1.2. Zakres stosowania SST</w:t>
      </w:r>
    </w:p>
    <w:p w:rsidR="00ED0C0A" w:rsidRDefault="00ED0C0A" w:rsidP="00ED0C0A">
      <w:r>
        <w:rPr>
          <w:b/>
        </w:rPr>
        <w:tab/>
      </w:r>
      <w:r>
        <w:t>Szczegółowa  specyfikacja techniczna (SST) stanowi obowiązującą podstawę opracowania szczegółowej specyfikacji technicznej (SST) stosowanej jako dokument przetargowy i kontraktowy przy zlecaniu i realizacji robót na drogach krajowych.</w:t>
      </w:r>
    </w:p>
    <w:p w:rsidR="00ED0C0A" w:rsidRDefault="00ED0C0A" w:rsidP="00ED0C0A">
      <w:r>
        <w:tab/>
        <w:t>Zaleca się wykorzystanie SST przy zlecaniu robót na drogach  wojewódzkich, powiatowych i gminnych.</w:t>
      </w:r>
    </w:p>
    <w:p w:rsidR="00ED0C0A" w:rsidRDefault="00ED0C0A" w:rsidP="00ED0C0A">
      <w:pPr>
        <w:pStyle w:val="Nagwek2"/>
      </w:pPr>
      <w:r>
        <w:t>1.3. Zakres robót objętych SST</w:t>
      </w:r>
    </w:p>
    <w:p w:rsidR="00ED0C0A" w:rsidRDefault="00ED0C0A" w:rsidP="00ED0C0A">
      <w:r>
        <w:tab/>
        <w:t>Ustalenia zawarte w niniejszej specyfikacji dotyczą zasad prowadzenia robót związanych z trwałym powierzchniowym umocnieniem skarp, rowów i ścieków następującymi sposobami:</w:t>
      </w:r>
    </w:p>
    <w:p w:rsidR="00ED0C0A" w:rsidRDefault="00ED0C0A" w:rsidP="00A46F82">
      <w:pPr>
        <w:numPr>
          <w:ilvl w:val="0"/>
          <w:numId w:val="213"/>
        </w:numPr>
        <w:overflowPunct w:val="0"/>
        <w:autoSpaceDE w:val="0"/>
        <w:autoSpaceDN w:val="0"/>
        <w:adjustRightInd w:val="0"/>
        <w:jc w:val="both"/>
        <w:rPr>
          <w:b/>
        </w:rPr>
      </w:pPr>
      <w:r>
        <w:t>humusowaniem, obsianiem, darniowaniem;</w:t>
      </w:r>
    </w:p>
    <w:p w:rsidR="00ED0C0A" w:rsidRDefault="00ED0C0A" w:rsidP="00A46F82">
      <w:pPr>
        <w:numPr>
          <w:ilvl w:val="0"/>
          <w:numId w:val="213"/>
        </w:numPr>
        <w:overflowPunct w:val="0"/>
        <w:autoSpaceDE w:val="0"/>
        <w:autoSpaceDN w:val="0"/>
        <w:adjustRightInd w:val="0"/>
        <w:jc w:val="both"/>
        <w:rPr>
          <w:b/>
        </w:rPr>
      </w:pPr>
      <w:r>
        <w:t>brukowaniem;</w:t>
      </w:r>
    </w:p>
    <w:p w:rsidR="00ED0C0A" w:rsidRDefault="00ED0C0A" w:rsidP="00A46F82">
      <w:pPr>
        <w:numPr>
          <w:ilvl w:val="0"/>
          <w:numId w:val="213"/>
        </w:numPr>
        <w:overflowPunct w:val="0"/>
        <w:autoSpaceDE w:val="0"/>
        <w:autoSpaceDN w:val="0"/>
        <w:adjustRightInd w:val="0"/>
        <w:jc w:val="both"/>
        <w:rPr>
          <w:b/>
        </w:rPr>
      </w:pPr>
      <w:r>
        <w:t>zastosowaniem elementów prefabrykowanych;</w:t>
      </w:r>
    </w:p>
    <w:p w:rsidR="00ED0C0A" w:rsidRDefault="00ED0C0A" w:rsidP="00A46F82">
      <w:pPr>
        <w:numPr>
          <w:ilvl w:val="0"/>
          <w:numId w:val="213"/>
        </w:numPr>
        <w:overflowPunct w:val="0"/>
        <w:autoSpaceDE w:val="0"/>
        <w:autoSpaceDN w:val="0"/>
        <w:adjustRightInd w:val="0"/>
        <w:jc w:val="both"/>
        <w:rPr>
          <w:b/>
        </w:rPr>
      </w:pPr>
      <w:r>
        <w:t xml:space="preserve">umocnieniem </w:t>
      </w:r>
      <w:proofErr w:type="spellStart"/>
      <w:r>
        <w:t>biowłókniną</w:t>
      </w:r>
      <w:proofErr w:type="spellEnd"/>
      <w:r>
        <w:t>;</w:t>
      </w:r>
    </w:p>
    <w:p w:rsidR="00ED0C0A" w:rsidRDefault="00ED0C0A" w:rsidP="00A46F82">
      <w:pPr>
        <w:numPr>
          <w:ilvl w:val="0"/>
          <w:numId w:val="213"/>
        </w:numPr>
        <w:overflowPunct w:val="0"/>
        <w:autoSpaceDE w:val="0"/>
        <w:autoSpaceDN w:val="0"/>
        <w:adjustRightInd w:val="0"/>
        <w:jc w:val="both"/>
        <w:rPr>
          <w:b/>
        </w:rPr>
      </w:pPr>
      <w:r>
        <w:t xml:space="preserve">umocnieniem  </w:t>
      </w:r>
      <w:proofErr w:type="spellStart"/>
      <w:r>
        <w:t>geosyntetykami</w:t>
      </w:r>
      <w:proofErr w:type="spellEnd"/>
      <w:r>
        <w:t>;</w:t>
      </w:r>
    </w:p>
    <w:p w:rsidR="00ED0C0A" w:rsidRDefault="00ED0C0A" w:rsidP="00A46F82">
      <w:pPr>
        <w:numPr>
          <w:ilvl w:val="0"/>
          <w:numId w:val="213"/>
        </w:numPr>
        <w:overflowPunct w:val="0"/>
        <w:autoSpaceDE w:val="0"/>
        <w:autoSpaceDN w:val="0"/>
        <w:adjustRightInd w:val="0"/>
        <w:jc w:val="both"/>
        <w:rPr>
          <w:b/>
        </w:rPr>
      </w:pPr>
      <w:r>
        <w:t xml:space="preserve">wykonaniem </w:t>
      </w:r>
      <w:proofErr w:type="spellStart"/>
      <w:r>
        <w:t>hydroobsiewu</w:t>
      </w:r>
      <w:proofErr w:type="spellEnd"/>
      <w:r>
        <w:t>.</w:t>
      </w:r>
    </w:p>
    <w:p w:rsidR="00ED0C0A" w:rsidRDefault="00ED0C0A" w:rsidP="00ED0C0A">
      <w:pPr>
        <w:rPr>
          <w:b/>
        </w:rPr>
      </w:pPr>
      <w:r>
        <w:rPr>
          <w:b/>
        </w:rPr>
        <w:tab/>
      </w:r>
      <w:r>
        <w:t>Ustalenia SST nie dotyczą umocnienia zboczy skalnych (z ochroną przed obwałami kamieni), skarp wymagających zbrojenia lub obudowy oraz skarp okresowo lub trwale omywanych wodą.</w:t>
      </w:r>
    </w:p>
    <w:p w:rsidR="00ED0C0A" w:rsidRDefault="00ED0C0A" w:rsidP="00ED0C0A">
      <w:pPr>
        <w:pStyle w:val="Nagwek2"/>
      </w:pPr>
      <w:r>
        <w:t>1.4. Określenia podstawowe</w:t>
      </w:r>
    </w:p>
    <w:p w:rsidR="00ED0C0A" w:rsidRDefault="00ED0C0A" w:rsidP="00ED0C0A">
      <w:r>
        <w:rPr>
          <w:b/>
        </w:rPr>
        <w:t xml:space="preserve">1.4.1. </w:t>
      </w:r>
      <w:r>
        <w:t>Rów - otwarty wykop, który zbiera i odprowadza wodę.</w:t>
      </w:r>
    </w:p>
    <w:p w:rsidR="00ED0C0A" w:rsidRDefault="00ED0C0A" w:rsidP="00ED0C0A">
      <w:pPr>
        <w:spacing w:before="120"/>
      </w:pPr>
      <w:r>
        <w:rPr>
          <w:b/>
        </w:rPr>
        <w:t xml:space="preserve">1.4.2. </w:t>
      </w:r>
      <w:r>
        <w:t>Darnina - płat lub pasmo wierzchniej warstwy gleby, przerośniętej i związanej korzeniami roślinności trawiastej.</w:t>
      </w:r>
    </w:p>
    <w:p w:rsidR="00ED0C0A" w:rsidRDefault="00ED0C0A" w:rsidP="00ED0C0A">
      <w:pPr>
        <w:spacing w:before="120"/>
      </w:pPr>
      <w:r>
        <w:rPr>
          <w:b/>
        </w:rPr>
        <w:t xml:space="preserve">1.4.3. </w:t>
      </w:r>
      <w: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Pr>
          <w:vertAlign w:val="superscript"/>
        </w:rPr>
        <w:t>o</w:t>
      </w:r>
      <w:r>
        <w:t>, ograniczających powierzchnie skarpy o bokach np. 1,0 x 1,0 m, które wypełnia się ziemią roślinną i zasiewa trawą.</w:t>
      </w:r>
    </w:p>
    <w:p w:rsidR="00ED0C0A" w:rsidRDefault="00ED0C0A" w:rsidP="00ED0C0A">
      <w:pPr>
        <w:spacing w:before="120"/>
      </w:pPr>
      <w:r>
        <w:rPr>
          <w:b/>
        </w:rPr>
        <w:t xml:space="preserve">1.4.4. </w:t>
      </w:r>
      <w:r>
        <w:t>Ziemia urodzajna (humus) - ziemia roślinna zawierająca co najmniej 2% części organicznych.</w:t>
      </w:r>
    </w:p>
    <w:p w:rsidR="00ED0C0A" w:rsidRDefault="00ED0C0A" w:rsidP="00A46F82">
      <w:pPr>
        <w:numPr>
          <w:ilvl w:val="0"/>
          <w:numId w:val="214"/>
        </w:numPr>
        <w:overflowPunct w:val="0"/>
        <w:autoSpaceDE w:val="0"/>
        <w:autoSpaceDN w:val="0"/>
        <w:adjustRightInd w:val="0"/>
        <w:spacing w:before="120"/>
        <w:ind w:left="0" w:firstLine="0"/>
        <w:jc w:val="both"/>
      </w:pPr>
      <w:r>
        <w:t>Humusowanie - zespół czynności przygotowujących powierzchnię gruntu do obudowy roślinnej, obejmujący dogęszczenie gruntu, rowkowanie, naniesienie ziemi urodzajnej z jej grabieniem (bronowaniem) i dogęszczeniem.</w:t>
      </w:r>
    </w:p>
    <w:p w:rsidR="00ED0C0A" w:rsidRDefault="00ED0C0A" w:rsidP="00A46F82">
      <w:pPr>
        <w:numPr>
          <w:ilvl w:val="0"/>
          <w:numId w:val="212"/>
        </w:numPr>
        <w:overflowPunct w:val="0"/>
        <w:autoSpaceDE w:val="0"/>
        <w:autoSpaceDN w:val="0"/>
        <w:adjustRightInd w:val="0"/>
        <w:spacing w:before="120"/>
        <w:ind w:left="0" w:firstLine="0"/>
        <w:jc w:val="both"/>
      </w:pPr>
      <w:r>
        <w:t>Moletowanie - proces umożliwiający dogęszczenie ziemi urodzajnej i wytworzenie bruzd, przeprowadzany np. za pomocą walca o odpowiednio ukształtowanej powierzchni.</w:t>
      </w:r>
    </w:p>
    <w:p w:rsidR="00ED0C0A" w:rsidRDefault="00ED0C0A" w:rsidP="00A46F82">
      <w:pPr>
        <w:numPr>
          <w:ilvl w:val="0"/>
          <w:numId w:val="212"/>
        </w:numPr>
        <w:overflowPunct w:val="0"/>
        <w:autoSpaceDE w:val="0"/>
        <w:autoSpaceDN w:val="0"/>
        <w:adjustRightInd w:val="0"/>
        <w:spacing w:before="120"/>
        <w:ind w:left="0" w:firstLine="0"/>
        <w:jc w:val="both"/>
      </w:pPr>
      <w:proofErr w:type="spellStart"/>
      <w:r>
        <w:t>Hydroobsiew</w:t>
      </w:r>
      <w:proofErr w:type="spellEnd"/>
      <w:r>
        <w:t xml:space="preserve"> - proces obejmujący nanoszenie hydromechaniczne mieszanek siewnych, środków użyźniających i emulsji przeciwerozyjnych w celu umocnienia biologicznego powierzchni gruntu.</w:t>
      </w:r>
    </w:p>
    <w:p w:rsidR="00ED0C0A" w:rsidRDefault="00ED0C0A" w:rsidP="00ED0C0A">
      <w:pPr>
        <w:spacing w:before="120"/>
      </w:pPr>
      <w:r>
        <w:rPr>
          <w:b/>
        </w:rPr>
        <w:t xml:space="preserve">1.4.8. </w:t>
      </w:r>
      <w:r>
        <w:t>Brukowiec - kamień narzutowy nieobrobiony (otoczak) lub obrobiony w kształcie nieregularnym i zaokrąglonych krawędziach.</w:t>
      </w:r>
    </w:p>
    <w:p w:rsidR="00ED0C0A" w:rsidRDefault="00ED0C0A" w:rsidP="00ED0C0A">
      <w:pPr>
        <w:spacing w:before="120"/>
      </w:pPr>
      <w:r>
        <w:rPr>
          <w:b/>
        </w:rPr>
        <w:t xml:space="preserve">1.4.9. </w:t>
      </w:r>
      <w:r>
        <w:t>Prefabrykat - element wykonany w zakładzie przemysłowym, który po zmontowaniu na budowie stanowi umocnienie rowu lub ścieku.</w:t>
      </w:r>
    </w:p>
    <w:p w:rsidR="00ED0C0A" w:rsidRDefault="00ED0C0A" w:rsidP="00ED0C0A">
      <w:pPr>
        <w:spacing w:before="120"/>
      </w:pPr>
      <w:r>
        <w:rPr>
          <w:b/>
        </w:rPr>
        <w:t>1.4.10.</w:t>
      </w:r>
      <w:r>
        <w:t xml:space="preserve"> </w:t>
      </w:r>
      <w:proofErr w:type="spellStart"/>
      <w:r>
        <w:t>Biowłóknina</w:t>
      </w:r>
      <w:proofErr w:type="spellEnd"/>
      <w:r>
        <w:t xml:space="preserve"> - mata z włókna bawełnianego lub bawełnopodobnego, wykonana techniką włókninową z równomiernie rozmieszczonymi w czasie produkcji nasionami traw     i roślin motylkowatych, służąca do umacniania i zadarniania powierzchni.</w:t>
      </w:r>
    </w:p>
    <w:p w:rsidR="00ED0C0A" w:rsidRDefault="00ED0C0A" w:rsidP="00ED0C0A">
      <w:pPr>
        <w:spacing w:before="120"/>
      </w:pPr>
      <w:r>
        <w:rPr>
          <w:b/>
        </w:rPr>
        <w:lastRenderedPageBreak/>
        <w:t xml:space="preserve">1.4.11. </w:t>
      </w:r>
      <w:proofErr w:type="spellStart"/>
      <w:r>
        <w:t>Geosyntetyki</w:t>
      </w:r>
      <w:proofErr w:type="spellEnd"/>
      <w:r>
        <w:t xml:space="preserve"> - </w:t>
      </w:r>
      <w:proofErr w:type="spellStart"/>
      <w:r>
        <w:t>geotekstylia</w:t>
      </w:r>
      <w:proofErr w:type="spellEnd"/>
      <w:r>
        <w:t xml:space="preserve"> (przepuszczalne, polimerowe materiały, wytworzone techniką tkacką, dziewiarską lub włókninową, w tym </w:t>
      </w:r>
      <w:proofErr w:type="spellStart"/>
      <w:r>
        <w:t>geotkaniny</w:t>
      </w:r>
      <w:proofErr w:type="spellEnd"/>
      <w:r>
        <w:t xml:space="preserve"> i </w:t>
      </w:r>
      <w:proofErr w:type="spellStart"/>
      <w:r>
        <w:t>geowłókniny</w:t>
      </w:r>
      <w:proofErr w:type="spellEnd"/>
      <w:r>
        <w:t xml:space="preserve">) i pokrewne wyroby jak: </w:t>
      </w:r>
      <w:proofErr w:type="spellStart"/>
      <w:r>
        <w:t>georuszty</w:t>
      </w:r>
      <w:proofErr w:type="spellEnd"/>
      <w:r>
        <w:t xml:space="preserve"> (płaskie struktury w postaci regularnej otwartej siatki wewnętrznie połączonych elementów), </w:t>
      </w:r>
      <w:proofErr w:type="spellStart"/>
      <w:r>
        <w:t>geomembrany</w:t>
      </w:r>
      <w:proofErr w:type="spellEnd"/>
      <w:r>
        <w:t xml:space="preserve"> (folie z polimerów syntetycznych), </w:t>
      </w:r>
      <w:proofErr w:type="spellStart"/>
      <w:r>
        <w:t>geokompozyty</w:t>
      </w:r>
      <w:proofErr w:type="spellEnd"/>
      <w:r>
        <w:t xml:space="preserve"> (materiały złożone z różnych wyrobów </w:t>
      </w:r>
      <w:proofErr w:type="spellStart"/>
      <w:r>
        <w:t>geotekstylnych</w:t>
      </w:r>
      <w:proofErr w:type="spellEnd"/>
      <w:r>
        <w:t xml:space="preserve">), </w:t>
      </w:r>
      <w:proofErr w:type="spellStart"/>
      <w:r>
        <w:t>geokontenery</w:t>
      </w:r>
      <w:proofErr w:type="spellEnd"/>
      <w:r>
        <w:t xml:space="preserve"> (gabiony z tworzywa sztucznego), </w:t>
      </w:r>
      <w:proofErr w:type="spellStart"/>
      <w:r>
        <w:t>geosieci</w:t>
      </w:r>
      <w:proofErr w:type="spellEnd"/>
      <w:r>
        <w:t xml:space="preserve"> (płaskie struktury w postaci siatki z otworami znacznie większymi niż elementy składowe, z oczkami połączonymi węzłami), </w:t>
      </w:r>
      <w:proofErr w:type="spellStart"/>
      <w:r>
        <w:t>geomaty</w:t>
      </w:r>
      <w:proofErr w:type="spellEnd"/>
      <w:r>
        <w:t xml:space="preserve"> z siatki (siatki ze strukturą przestrzenną), </w:t>
      </w:r>
      <w:proofErr w:type="spellStart"/>
      <w:r>
        <w:t>geosiatki</w:t>
      </w:r>
      <w:proofErr w:type="spellEnd"/>
      <w:r>
        <w:t xml:space="preserve"> komórkowe (z taśm tworzących przestrzenną strukturę zbliżoną do plastra miodu).</w:t>
      </w:r>
    </w:p>
    <w:p w:rsidR="00ED0C0A" w:rsidRDefault="00ED0C0A" w:rsidP="00ED0C0A">
      <w:pPr>
        <w:spacing w:before="120"/>
      </w:pPr>
      <w:r>
        <w:rPr>
          <w:b/>
        </w:rPr>
        <w:t xml:space="preserve">1.4.12. </w:t>
      </w:r>
      <w:r>
        <w:t xml:space="preserve">Mulczowanie - naniesienie na powierzchnię gruntu ściółki (np. sieczki, </w:t>
      </w:r>
      <w:proofErr w:type="spellStart"/>
      <w:r>
        <w:t>stróżyn</w:t>
      </w:r>
      <w:proofErr w:type="spellEnd"/>
      <w:r>
        <w:t>, trocin, torfu) z lepiszczem w celu ochrony przed wysychaniem i erozją.</w:t>
      </w:r>
    </w:p>
    <w:p w:rsidR="00ED0C0A" w:rsidRDefault="00ED0C0A" w:rsidP="00ED0C0A">
      <w:pPr>
        <w:spacing w:before="120"/>
      </w:pPr>
      <w:r>
        <w:rPr>
          <w:b/>
        </w:rPr>
        <w:t xml:space="preserve">1.4.13. </w:t>
      </w:r>
      <w:proofErr w:type="spellStart"/>
      <w:r>
        <w:t>Hydromulczowanie</w:t>
      </w:r>
      <w:proofErr w:type="spellEnd"/>
      <w:r>
        <w:t xml:space="preserve"> - sposób hydromechanicznego nanoszenia mieszaniny                 (o podobnych parametrach jak używanych do </w:t>
      </w:r>
      <w:proofErr w:type="spellStart"/>
      <w:r>
        <w:t>hydroobsiewu</w:t>
      </w:r>
      <w:proofErr w:type="spellEnd"/>
      <w:r>
        <w:t>), w składzie której nie ma nasion traw i roślin motylkowatych.</w:t>
      </w:r>
    </w:p>
    <w:p w:rsidR="00ED0C0A" w:rsidRDefault="00ED0C0A" w:rsidP="00ED0C0A">
      <w:pPr>
        <w:spacing w:before="120"/>
      </w:pPr>
      <w:r>
        <w:rPr>
          <w:b/>
        </w:rPr>
        <w:t xml:space="preserve">1.4.14. </w:t>
      </w:r>
      <w:r>
        <w:t xml:space="preserve">Tymczasowa warstwa przeciwerozyjna - warstwa na powierzchni skarp, wykonana z płynnych osadów ściekowych, emulsji bitumicznych lub lateksowych, </w:t>
      </w:r>
      <w:proofErr w:type="spellStart"/>
      <w:r>
        <w:t>biowłókniny</w:t>
      </w:r>
      <w:proofErr w:type="spellEnd"/>
      <w:r>
        <w:t xml:space="preserve"> i </w:t>
      </w:r>
      <w:proofErr w:type="spellStart"/>
      <w:r>
        <w:t>geosyntetyków</w:t>
      </w:r>
      <w:proofErr w:type="spellEnd"/>
      <w:r>
        <w:t>, doraźnie zabezpieczająca przed erozją powierzchniową do czasu przejęcia tej funkcji przez okrywę roślinną.</w:t>
      </w:r>
    </w:p>
    <w:p w:rsidR="00ED0C0A" w:rsidRDefault="00ED0C0A" w:rsidP="00ED0C0A">
      <w:pPr>
        <w:spacing w:before="120"/>
      </w:pPr>
      <w:r>
        <w:rPr>
          <w:b/>
        </w:rPr>
        <w:t xml:space="preserve">1.4.15. </w:t>
      </w:r>
      <w:r>
        <w:t>Ramka Webera - ramka o boku 50 cm, podzielona drutem lub żyłką na 100  kwadratów, każdy o powierzchni 25 cm</w:t>
      </w:r>
      <w:r>
        <w:rPr>
          <w:vertAlign w:val="superscript"/>
        </w:rPr>
        <w:t>2</w:t>
      </w:r>
      <w:r>
        <w:t>, do określania procentowego udziału gatunków roślin, po obsianiu.</w:t>
      </w:r>
    </w:p>
    <w:p w:rsidR="00ED0C0A" w:rsidRDefault="00ED0C0A" w:rsidP="00ED0C0A">
      <w:pPr>
        <w:spacing w:before="120"/>
      </w:pPr>
      <w:r>
        <w:rPr>
          <w:b/>
        </w:rPr>
        <w:t xml:space="preserve">1.4.16. </w:t>
      </w:r>
      <w:r>
        <w:t>Pozostałe określenia podstawowe są zgodne z odpowiednimi polskimi normami i z definicjami podanymi w SST D- 00.00.00 „Wymagania ogólne” pkt 1.4.</w:t>
      </w:r>
    </w:p>
    <w:p w:rsidR="00ED0C0A" w:rsidRDefault="00ED0C0A" w:rsidP="00ED0C0A">
      <w:pPr>
        <w:pStyle w:val="Nagwek2"/>
      </w:pPr>
      <w:r>
        <w:t>1.5. Ogólne wymagania dotyczące robót</w:t>
      </w:r>
    </w:p>
    <w:p w:rsidR="00ED0C0A" w:rsidRDefault="00ED0C0A" w:rsidP="00ED0C0A">
      <w:r>
        <w:tab/>
        <w:t>Ogólne wymagania dotyczące robót podano w SST D- 00.00.00 „Wymagania ogólne” pkt 1.5.</w:t>
      </w:r>
    </w:p>
    <w:p w:rsidR="00ED0C0A" w:rsidRDefault="00ED0C0A" w:rsidP="00ED0C0A">
      <w:pPr>
        <w:pStyle w:val="Nagwek1"/>
      </w:pPr>
      <w:bookmarkStart w:id="518" w:name="_Toc497107499"/>
      <w:r>
        <w:t>2. MATERIAŁY</w:t>
      </w:r>
      <w:bookmarkEnd w:id="518"/>
    </w:p>
    <w:p w:rsidR="00ED0C0A" w:rsidRDefault="00ED0C0A" w:rsidP="00ED0C0A">
      <w:pPr>
        <w:pStyle w:val="Nagwek2"/>
      </w:pPr>
      <w:r>
        <w:t>2.1. Ogólne wymagania dotyczące materiałów</w:t>
      </w:r>
    </w:p>
    <w:p w:rsidR="00ED0C0A" w:rsidRDefault="00ED0C0A" w:rsidP="00ED0C0A">
      <w:r>
        <w:tab/>
        <w:t>Ogólne wymagania dotyczące materiałów, ich pozyskiwania i składowania, podano w  SST D- 00.00.00 „Wymagania ogólne” pkt 2.</w:t>
      </w:r>
    </w:p>
    <w:p w:rsidR="00ED0C0A" w:rsidRDefault="00ED0C0A" w:rsidP="00ED0C0A">
      <w:pPr>
        <w:pStyle w:val="Nagwek2"/>
      </w:pPr>
      <w:r>
        <w:t>2.2. Rodzaje materiałów</w:t>
      </w:r>
    </w:p>
    <w:p w:rsidR="00ED0C0A" w:rsidRDefault="00ED0C0A" w:rsidP="00ED0C0A">
      <w:r>
        <w:tab/>
        <w:t>Materiałami stosowanymi przy umacnianiu skarp, rowów i ścieków objętymi niniejszą SST są:</w:t>
      </w:r>
    </w:p>
    <w:p w:rsidR="00ED0C0A" w:rsidRDefault="00ED0C0A" w:rsidP="00A46F82">
      <w:pPr>
        <w:numPr>
          <w:ilvl w:val="0"/>
          <w:numId w:val="213"/>
        </w:numPr>
        <w:overflowPunct w:val="0"/>
        <w:autoSpaceDE w:val="0"/>
        <w:autoSpaceDN w:val="0"/>
        <w:adjustRightInd w:val="0"/>
        <w:jc w:val="both"/>
      </w:pPr>
      <w:r>
        <w:t>darnina,</w:t>
      </w:r>
    </w:p>
    <w:p w:rsidR="00ED0C0A" w:rsidRDefault="00ED0C0A" w:rsidP="00A46F82">
      <w:pPr>
        <w:numPr>
          <w:ilvl w:val="0"/>
          <w:numId w:val="213"/>
        </w:numPr>
        <w:overflowPunct w:val="0"/>
        <w:autoSpaceDE w:val="0"/>
        <w:autoSpaceDN w:val="0"/>
        <w:adjustRightInd w:val="0"/>
        <w:jc w:val="both"/>
      </w:pPr>
      <w:r>
        <w:t>ziemia urodzajna,</w:t>
      </w:r>
    </w:p>
    <w:p w:rsidR="00ED0C0A" w:rsidRDefault="00ED0C0A" w:rsidP="00A46F82">
      <w:pPr>
        <w:numPr>
          <w:ilvl w:val="0"/>
          <w:numId w:val="213"/>
        </w:numPr>
        <w:overflowPunct w:val="0"/>
        <w:autoSpaceDE w:val="0"/>
        <w:autoSpaceDN w:val="0"/>
        <w:adjustRightInd w:val="0"/>
        <w:jc w:val="both"/>
      </w:pPr>
      <w:r>
        <w:t>nasiona traw oraz roślin motylkowatych,</w:t>
      </w:r>
    </w:p>
    <w:p w:rsidR="00ED0C0A" w:rsidRDefault="00ED0C0A" w:rsidP="00A46F82">
      <w:pPr>
        <w:numPr>
          <w:ilvl w:val="0"/>
          <w:numId w:val="213"/>
        </w:numPr>
        <w:overflowPunct w:val="0"/>
        <w:autoSpaceDE w:val="0"/>
        <w:autoSpaceDN w:val="0"/>
        <w:adjustRightInd w:val="0"/>
        <w:jc w:val="both"/>
      </w:pPr>
      <w:r>
        <w:t>brukowiec,</w:t>
      </w:r>
    </w:p>
    <w:p w:rsidR="00ED0C0A" w:rsidRDefault="00ED0C0A" w:rsidP="00A46F82">
      <w:pPr>
        <w:numPr>
          <w:ilvl w:val="0"/>
          <w:numId w:val="213"/>
        </w:numPr>
        <w:overflowPunct w:val="0"/>
        <w:autoSpaceDE w:val="0"/>
        <w:autoSpaceDN w:val="0"/>
        <w:adjustRightInd w:val="0"/>
        <w:jc w:val="both"/>
      </w:pPr>
      <w:r>
        <w:t>mech, szpilki, paliki i pale,</w:t>
      </w:r>
    </w:p>
    <w:p w:rsidR="00ED0C0A" w:rsidRDefault="00ED0C0A" w:rsidP="00A46F82">
      <w:pPr>
        <w:numPr>
          <w:ilvl w:val="0"/>
          <w:numId w:val="213"/>
        </w:numPr>
        <w:overflowPunct w:val="0"/>
        <w:autoSpaceDE w:val="0"/>
        <w:autoSpaceDN w:val="0"/>
        <w:adjustRightInd w:val="0"/>
        <w:jc w:val="both"/>
      </w:pPr>
      <w:r>
        <w:t>kruszywo,</w:t>
      </w:r>
    </w:p>
    <w:p w:rsidR="00ED0C0A" w:rsidRDefault="00ED0C0A" w:rsidP="00A46F82">
      <w:pPr>
        <w:numPr>
          <w:ilvl w:val="0"/>
          <w:numId w:val="213"/>
        </w:numPr>
        <w:overflowPunct w:val="0"/>
        <w:autoSpaceDE w:val="0"/>
        <w:autoSpaceDN w:val="0"/>
        <w:adjustRightInd w:val="0"/>
        <w:jc w:val="both"/>
      </w:pPr>
      <w:r>
        <w:t>cement,</w:t>
      </w:r>
    </w:p>
    <w:p w:rsidR="00ED0C0A" w:rsidRDefault="00ED0C0A" w:rsidP="00A46F82">
      <w:pPr>
        <w:numPr>
          <w:ilvl w:val="0"/>
          <w:numId w:val="213"/>
        </w:numPr>
        <w:overflowPunct w:val="0"/>
        <w:autoSpaceDE w:val="0"/>
        <w:autoSpaceDN w:val="0"/>
        <w:adjustRightInd w:val="0"/>
        <w:jc w:val="both"/>
      </w:pPr>
      <w:r>
        <w:t>zaprawa cementowa,</w:t>
      </w:r>
    </w:p>
    <w:p w:rsidR="00ED0C0A" w:rsidRDefault="00ED0C0A" w:rsidP="00A46F82">
      <w:pPr>
        <w:numPr>
          <w:ilvl w:val="0"/>
          <w:numId w:val="213"/>
        </w:numPr>
        <w:overflowPunct w:val="0"/>
        <w:autoSpaceDE w:val="0"/>
        <w:autoSpaceDN w:val="0"/>
        <w:adjustRightInd w:val="0"/>
        <w:jc w:val="both"/>
      </w:pPr>
      <w:r>
        <w:t>elementy prefabrykowane,</w:t>
      </w:r>
    </w:p>
    <w:p w:rsidR="00ED0C0A" w:rsidRDefault="00ED0C0A" w:rsidP="00A46F82">
      <w:pPr>
        <w:numPr>
          <w:ilvl w:val="0"/>
          <w:numId w:val="213"/>
        </w:numPr>
        <w:overflowPunct w:val="0"/>
        <w:autoSpaceDE w:val="0"/>
        <w:autoSpaceDN w:val="0"/>
        <w:adjustRightInd w:val="0"/>
        <w:jc w:val="both"/>
      </w:pPr>
      <w:proofErr w:type="spellStart"/>
      <w:r>
        <w:t>biowłóknina</w:t>
      </w:r>
      <w:proofErr w:type="spellEnd"/>
      <w:r>
        <w:t xml:space="preserve"> i materiały do jej przytwierdzania,</w:t>
      </w:r>
    </w:p>
    <w:p w:rsidR="00ED0C0A" w:rsidRDefault="00ED0C0A" w:rsidP="00A46F82">
      <w:pPr>
        <w:numPr>
          <w:ilvl w:val="0"/>
          <w:numId w:val="213"/>
        </w:numPr>
        <w:overflowPunct w:val="0"/>
        <w:autoSpaceDE w:val="0"/>
        <w:autoSpaceDN w:val="0"/>
        <w:adjustRightInd w:val="0"/>
        <w:jc w:val="both"/>
      </w:pPr>
      <w:proofErr w:type="spellStart"/>
      <w:r>
        <w:t>geosyntetyki</w:t>
      </w:r>
      <w:proofErr w:type="spellEnd"/>
      <w:r>
        <w:t xml:space="preserve"> i materiały do ich przytwierdzania,</w:t>
      </w:r>
    </w:p>
    <w:p w:rsidR="00ED0C0A" w:rsidRDefault="00ED0C0A" w:rsidP="00A46F82">
      <w:pPr>
        <w:numPr>
          <w:ilvl w:val="0"/>
          <w:numId w:val="213"/>
        </w:numPr>
        <w:overflowPunct w:val="0"/>
        <w:autoSpaceDE w:val="0"/>
        <w:autoSpaceDN w:val="0"/>
        <w:adjustRightInd w:val="0"/>
        <w:jc w:val="both"/>
      </w:pPr>
      <w:r>
        <w:t xml:space="preserve">mieszaniny do mulczowania, </w:t>
      </w:r>
      <w:proofErr w:type="spellStart"/>
      <w:r>
        <w:t>hydromulczowania</w:t>
      </w:r>
      <w:proofErr w:type="spellEnd"/>
      <w:r>
        <w:t xml:space="preserve">, </w:t>
      </w:r>
      <w:proofErr w:type="spellStart"/>
      <w:r>
        <w:t>hydroobsiewu</w:t>
      </w:r>
      <w:proofErr w:type="spellEnd"/>
      <w:r>
        <w:t xml:space="preserve"> oraz do zabiegów konserwacyjnych,</w:t>
      </w:r>
    </w:p>
    <w:p w:rsidR="00ED0C0A" w:rsidRDefault="00ED0C0A" w:rsidP="00A46F82">
      <w:pPr>
        <w:numPr>
          <w:ilvl w:val="0"/>
          <w:numId w:val="213"/>
        </w:numPr>
        <w:overflowPunct w:val="0"/>
        <w:autoSpaceDE w:val="0"/>
        <w:autoSpaceDN w:val="0"/>
        <w:adjustRightInd w:val="0"/>
        <w:jc w:val="both"/>
      </w:pPr>
      <w:r>
        <w:t>osady ściekowe.</w:t>
      </w:r>
    </w:p>
    <w:p w:rsidR="00ED0C0A" w:rsidRDefault="00ED0C0A" w:rsidP="00ED0C0A">
      <w:pPr>
        <w:pStyle w:val="Nagwek2"/>
      </w:pPr>
      <w:r>
        <w:t>2.3. Darnina</w:t>
      </w:r>
    </w:p>
    <w:p w:rsidR="00ED0C0A" w:rsidRDefault="00ED0C0A" w:rsidP="00ED0C0A">
      <w:r>
        <w:tab/>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rsidR="00ED0C0A" w:rsidRDefault="00ED0C0A" w:rsidP="00ED0C0A">
      <w:r>
        <w:tab/>
        <w:t>Wycięta darnina powinna być w krótkim czasie wbudowana.</w:t>
      </w:r>
    </w:p>
    <w:p w:rsidR="00ED0C0A" w:rsidRDefault="00ED0C0A" w:rsidP="00ED0C0A">
      <w:r>
        <w:tab/>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ED0C0A" w:rsidRDefault="00ED0C0A" w:rsidP="00ED0C0A">
      <w:pPr>
        <w:pStyle w:val="Nagwek2"/>
      </w:pPr>
      <w:r>
        <w:t>2.4. Ziemia urodzajna (humus)</w:t>
      </w:r>
    </w:p>
    <w:p w:rsidR="00ED0C0A" w:rsidRDefault="00ED0C0A" w:rsidP="00ED0C0A">
      <w:r>
        <w:tab/>
        <w:t>Ziemia urodzajna powinna zawierać co najmniej 2% części organicznych. Ziemia urodzajna powinna być wilgotna i pozbawiona kamieni większych od 5 cm oraz wolna od zanieczyszczeń obcych.</w:t>
      </w:r>
    </w:p>
    <w:p w:rsidR="00ED0C0A" w:rsidRDefault="00ED0C0A" w:rsidP="00ED0C0A">
      <w:r>
        <w:lastRenderedPageBreak/>
        <w:t>W przypadkach wątpliwych Inżynier może zlecić wykonanie badań w celu stwierdzenia, że ziemia urodzajna odpowiada następującym kryteriom:</w:t>
      </w:r>
    </w:p>
    <w:p w:rsidR="00ED0C0A" w:rsidRDefault="00ED0C0A" w:rsidP="00A46F82">
      <w:pPr>
        <w:numPr>
          <w:ilvl w:val="0"/>
          <w:numId w:val="215"/>
        </w:numPr>
        <w:overflowPunct w:val="0"/>
        <w:autoSpaceDE w:val="0"/>
        <w:autoSpaceDN w:val="0"/>
        <w:adjustRightInd w:val="0"/>
        <w:jc w:val="both"/>
      </w:pPr>
      <w:r>
        <w:t>optymalny skład granulometryczny:</w:t>
      </w:r>
    </w:p>
    <w:p w:rsidR="00ED0C0A" w:rsidRDefault="00ED0C0A" w:rsidP="00A46F82">
      <w:pPr>
        <w:numPr>
          <w:ilvl w:val="0"/>
          <w:numId w:val="216"/>
        </w:numPr>
        <w:overflowPunct w:val="0"/>
        <w:autoSpaceDE w:val="0"/>
        <w:autoSpaceDN w:val="0"/>
        <w:adjustRightInd w:val="0"/>
        <w:ind w:left="284"/>
        <w:jc w:val="both"/>
      </w:pPr>
      <w:r>
        <w:t xml:space="preserve">frakcja ilasta (d &lt; 0,002 mm) </w:t>
      </w:r>
      <w:r>
        <w:tab/>
      </w:r>
      <w:r>
        <w:tab/>
        <w:t>12 - 18%,</w:t>
      </w:r>
    </w:p>
    <w:p w:rsidR="00ED0C0A" w:rsidRDefault="00ED0C0A" w:rsidP="00A46F82">
      <w:pPr>
        <w:numPr>
          <w:ilvl w:val="0"/>
          <w:numId w:val="216"/>
        </w:numPr>
        <w:overflowPunct w:val="0"/>
        <w:autoSpaceDE w:val="0"/>
        <w:autoSpaceDN w:val="0"/>
        <w:adjustRightInd w:val="0"/>
        <w:ind w:left="284"/>
        <w:jc w:val="both"/>
      </w:pPr>
      <w:r>
        <w:t>frakcja pylasta (0,002 do 0,05mm)</w:t>
      </w:r>
      <w:r>
        <w:tab/>
      </w:r>
      <w:r>
        <w:tab/>
        <w:t>20 - 30%,</w:t>
      </w:r>
    </w:p>
    <w:p w:rsidR="00ED0C0A" w:rsidRDefault="00ED0C0A" w:rsidP="00A46F82">
      <w:pPr>
        <w:numPr>
          <w:ilvl w:val="0"/>
          <w:numId w:val="216"/>
        </w:numPr>
        <w:overflowPunct w:val="0"/>
        <w:autoSpaceDE w:val="0"/>
        <w:autoSpaceDN w:val="0"/>
        <w:adjustRightInd w:val="0"/>
        <w:ind w:left="284"/>
        <w:jc w:val="both"/>
      </w:pPr>
      <w:r>
        <w:t>frakcja piaszczysta (0,05 do 2,0 mm)</w:t>
      </w:r>
      <w:r>
        <w:tab/>
      </w:r>
      <w:r>
        <w:tab/>
        <w:t>45 - 70%,</w:t>
      </w:r>
    </w:p>
    <w:p w:rsidR="00ED0C0A" w:rsidRDefault="00ED0C0A" w:rsidP="00A46F82">
      <w:pPr>
        <w:numPr>
          <w:ilvl w:val="0"/>
          <w:numId w:val="215"/>
        </w:numPr>
        <w:overflowPunct w:val="0"/>
        <w:autoSpaceDE w:val="0"/>
        <w:autoSpaceDN w:val="0"/>
        <w:adjustRightInd w:val="0"/>
        <w:jc w:val="both"/>
      </w:pPr>
      <w:r>
        <w:t>zawartość fosforu (P</w:t>
      </w:r>
      <w:r>
        <w:rPr>
          <w:vertAlign w:val="subscript"/>
        </w:rPr>
        <w:t>2</w:t>
      </w:r>
      <w:r>
        <w:t>O</w:t>
      </w:r>
      <w:r>
        <w:rPr>
          <w:vertAlign w:val="subscript"/>
        </w:rPr>
        <w:t>5</w:t>
      </w:r>
      <w:r>
        <w:t>)</w:t>
      </w:r>
      <w:r>
        <w:tab/>
        <w:t>&gt; 20 mg/m</w:t>
      </w:r>
      <w:r>
        <w:rPr>
          <w:vertAlign w:val="superscript"/>
        </w:rPr>
        <w:t>2</w:t>
      </w:r>
      <w:r>
        <w:t>,</w:t>
      </w:r>
    </w:p>
    <w:p w:rsidR="00ED0C0A" w:rsidRDefault="00ED0C0A" w:rsidP="00A46F82">
      <w:pPr>
        <w:numPr>
          <w:ilvl w:val="0"/>
          <w:numId w:val="215"/>
        </w:numPr>
        <w:overflowPunct w:val="0"/>
        <w:autoSpaceDE w:val="0"/>
        <w:autoSpaceDN w:val="0"/>
        <w:adjustRightInd w:val="0"/>
        <w:jc w:val="both"/>
      </w:pPr>
      <w:r>
        <w:t>zawartość potasu (K</w:t>
      </w:r>
      <w:r>
        <w:rPr>
          <w:vertAlign w:val="subscript"/>
        </w:rPr>
        <w:t>2</w:t>
      </w:r>
      <w:r>
        <w:t>O)</w:t>
      </w:r>
      <w:r>
        <w:tab/>
        <w:t>&gt; 30 mg/m</w:t>
      </w:r>
      <w:r>
        <w:rPr>
          <w:vertAlign w:val="superscript"/>
        </w:rPr>
        <w:t>2</w:t>
      </w:r>
      <w:r>
        <w:t>,</w:t>
      </w:r>
    </w:p>
    <w:p w:rsidR="00ED0C0A" w:rsidRDefault="00ED0C0A" w:rsidP="00A46F82">
      <w:pPr>
        <w:numPr>
          <w:ilvl w:val="0"/>
          <w:numId w:val="215"/>
        </w:numPr>
        <w:overflowPunct w:val="0"/>
        <w:autoSpaceDE w:val="0"/>
        <w:autoSpaceDN w:val="0"/>
        <w:adjustRightInd w:val="0"/>
        <w:jc w:val="both"/>
      </w:pPr>
      <w:r>
        <w:t xml:space="preserve">kwasowość </w:t>
      </w:r>
      <w:proofErr w:type="spellStart"/>
      <w:r>
        <w:t>pH</w:t>
      </w:r>
      <w:proofErr w:type="spellEnd"/>
      <w:r>
        <w:tab/>
      </w:r>
      <w:r>
        <w:tab/>
      </w:r>
      <w:r>
        <w:sym w:font="Symbol" w:char="F0B3"/>
      </w:r>
      <w:r>
        <w:t xml:space="preserve"> 5,5.</w:t>
      </w:r>
    </w:p>
    <w:p w:rsidR="00ED0C0A" w:rsidRDefault="00ED0C0A" w:rsidP="00ED0C0A">
      <w:pPr>
        <w:pStyle w:val="Nagwek2"/>
      </w:pPr>
      <w:r>
        <w:t>2.5. Nasiona traw</w:t>
      </w:r>
    </w:p>
    <w:p w:rsidR="00ED0C0A" w:rsidRDefault="00ED0C0A" w:rsidP="00ED0C0A">
      <w:r>
        <w:tab/>
        <w:t>Wybór gatunków traw należy dostosować do rodzaju gleby i stopnia jej zawilgocenia. Zaleca się stosować mieszanki traw o drobnym, gęstym ukorzenieniu, spełniające wymagania PN-R-65023:1999 [9] i PN-B-12074:1998 [4].</w:t>
      </w:r>
    </w:p>
    <w:p w:rsidR="00ED0C0A" w:rsidRDefault="00ED0C0A" w:rsidP="00ED0C0A">
      <w:pPr>
        <w:pStyle w:val="Nagwek2"/>
      </w:pPr>
      <w:r>
        <w:t>2.6. Brukowiec</w:t>
      </w:r>
    </w:p>
    <w:p w:rsidR="00ED0C0A" w:rsidRDefault="00ED0C0A" w:rsidP="00ED0C0A">
      <w:r>
        <w:tab/>
        <w:t>Brukowiec powinien odpowiadać wymaganiom PN-B-11104:1960 [1].</w:t>
      </w:r>
    </w:p>
    <w:p w:rsidR="00ED0C0A" w:rsidRDefault="00ED0C0A" w:rsidP="00ED0C0A">
      <w:pPr>
        <w:pStyle w:val="Nagwek2"/>
      </w:pPr>
      <w:r>
        <w:t>2.7. Mech</w:t>
      </w:r>
    </w:p>
    <w:p w:rsidR="00ED0C0A" w:rsidRDefault="00ED0C0A" w:rsidP="00ED0C0A">
      <w:r>
        <w:rPr>
          <w:b/>
        </w:rPr>
        <w:tab/>
      </w:r>
      <w:r>
        <w:t>Mech używany przy brukowaniu powinien być wysuszony, posiadać długie włókna - nie zanieczyszczone trawą, liśćmi i ziemią.</w:t>
      </w:r>
    </w:p>
    <w:p w:rsidR="00ED0C0A" w:rsidRDefault="00ED0C0A" w:rsidP="00ED0C0A">
      <w:r>
        <w:tab/>
        <w:t>Składowanie mchu polega na układaniu go w stosy lub pryzmy. Wysokość stosu nie powinna przekraczać 1 m.</w:t>
      </w:r>
    </w:p>
    <w:p w:rsidR="00ED0C0A" w:rsidRDefault="00ED0C0A" w:rsidP="00ED0C0A">
      <w:pPr>
        <w:pStyle w:val="Nagwek2"/>
      </w:pPr>
      <w:r>
        <w:t>2.8. Szpilki do przybijania darniny</w:t>
      </w:r>
    </w:p>
    <w:p w:rsidR="00ED0C0A" w:rsidRDefault="00ED0C0A" w:rsidP="00ED0C0A">
      <w:r>
        <w:tab/>
        <w:t>Szpilki do przybijania darniny powinny być wykonane z gałęzi, żerdzi lub drewna szczapowego. Szpilki powinny być proste, ostro zaciosane. Grubość szpilek powinna wynosić od 1,5 do 2,5 cm, a długość od 20 do 30 cm.</w:t>
      </w:r>
    </w:p>
    <w:p w:rsidR="00ED0C0A" w:rsidRDefault="00ED0C0A" w:rsidP="00ED0C0A">
      <w:pPr>
        <w:pStyle w:val="Nagwek2"/>
      </w:pPr>
      <w:r>
        <w:t>2.9. Kruszywo</w:t>
      </w:r>
    </w:p>
    <w:p w:rsidR="00ED0C0A" w:rsidRDefault="00ED0C0A" w:rsidP="00ED0C0A">
      <w:r>
        <w:rPr>
          <w:b/>
        </w:rPr>
        <w:tab/>
      </w:r>
      <w:r>
        <w:t>Żwir i mieszanka powinny odpowiadać wymaganiom PN-B-11111:1996 [2].</w:t>
      </w:r>
    </w:p>
    <w:p w:rsidR="00ED0C0A" w:rsidRDefault="00ED0C0A" w:rsidP="00ED0C0A">
      <w:r>
        <w:tab/>
        <w:t>Piasek powinien odpowiadać wymaganiom PN-B-11113:1996 [3].</w:t>
      </w:r>
    </w:p>
    <w:p w:rsidR="00ED0C0A" w:rsidRDefault="00ED0C0A" w:rsidP="00ED0C0A">
      <w:pPr>
        <w:pStyle w:val="Nagwek2"/>
      </w:pPr>
      <w:r>
        <w:t>2.10. Cement</w:t>
      </w:r>
    </w:p>
    <w:p w:rsidR="00ED0C0A" w:rsidRDefault="00ED0C0A" w:rsidP="00ED0C0A">
      <w:pPr>
        <w:ind w:left="709"/>
      </w:pPr>
      <w:r>
        <w:t>Cement portlandzki powinien odpowiadać wymaganiom PN-B-19701:1997 [7].</w:t>
      </w:r>
    </w:p>
    <w:p w:rsidR="00ED0C0A" w:rsidRDefault="00ED0C0A" w:rsidP="00ED0C0A">
      <w:pPr>
        <w:ind w:left="709"/>
      </w:pPr>
      <w:r>
        <w:t>Cement hutniczy powinien odpowiadać wymaganiom PN-B-19701:1997 [7].</w:t>
      </w:r>
    </w:p>
    <w:p w:rsidR="00ED0C0A" w:rsidRDefault="00ED0C0A" w:rsidP="00ED0C0A">
      <w:r>
        <w:tab/>
        <w:t>Składowanie cementu powinno być zgodne z BN-88/6731-08 [12].</w:t>
      </w:r>
    </w:p>
    <w:p w:rsidR="00ED0C0A" w:rsidRDefault="00ED0C0A" w:rsidP="00ED0C0A">
      <w:pPr>
        <w:pStyle w:val="Nagwek2"/>
      </w:pPr>
      <w:r>
        <w:t>2.11. Zaprawa cementowa</w:t>
      </w:r>
    </w:p>
    <w:p w:rsidR="00ED0C0A" w:rsidRDefault="00ED0C0A" w:rsidP="00ED0C0A">
      <w:r>
        <w:rPr>
          <w:b/>
        </w:rPr>
        <w:tab/>
      </w:r>
      <w:r>
        <w:t>Przy wykonywaniu umocnień rowów i ścieków należy stosować zaprawy cementowe zgodne z wymaganiami PN-B-14501:1990 [6].</w:t>
      </w:r>
    </w:p>
    <w:p w:rsidR="00ED0C0A" w:rsidRDefault="00ED0C0A" w:rsidP="00ED0C0A">
      <w:pPr>
        <w:pStyle w:val="Nagwek2"/>
      </w:pPr>
      <w:r>
        <w:t>2.12. Elementy prefabrykowane</w:t>
      </w:r>
    </w:p>
    <w:p w:rsidR="00ED0C0A" w:rsidRDefault="00ED0C0A" w:rsidP="00ED0C0A">
      <w:r>
        <w:tab/>
        <w:t>Wytrzymałość, kształt i wymiary elementów powinny być zgodne z dokumentacją projektową i SST.</w:t>
      </w:r>
    </w:p>
    <w:p w:rsidR="00ED0C0A" w:rsidRDefault="00ED0C0A" w:rsidP="00ED0C0A">
      <w:r>
        <w:tab/>
        <w:t>Krawężniki betonowe powinny odpowiadać wymaganiom BN-80/6775-03/04 [13].</w:t>
      </w:r>
    </w:p>
    <w:p w:rsidR="00ED0C0A" w:rsidRDefault="00ED0C0A" w:rsidP="00ED0C0A">
      <w:pPr>
        <w:pStyle w:val="Nagwek2"/>
      </w:pPr>
      <w:r>
        <w:t xml:space="preserve">2.13. </w:t>
      </w:r>
      <w:proofErr w:type="spellStart"/>
      <w:r>
        <w:t>Biowłóknina</w:t>
      </w:r>
      <w:proofErr w:type="spellEnd"/>
    </w:p>
    <w:p w:rsidR="00ED0C0A" w:rsidRDefault="00ED0C0A" w:rsidP="00ED0C0A">
      <w:r>
        <w:tab/>
      </w:r>
      <w:proofErr w:type="spellStart"/>
      <w:r>
        <w:t>Biowłóknina</w:t>
      </w:r>
      <w:proofErr w:type="spellEnd"/>
      <w:r>
        <w:t xml:space="preserve"> oraz szpilki i kołki do jej przytwierdzania powinny odpowiadać wymaganiom PN-B-12074:1998 [4]. </w:t>
      </w:r>
      <w:proofErr w:type="spellStart"/>
      <w:r>
        <w:t>Biowłóknina</w:t>
      </w:r>
      <w:proofErr w:type="spellEnd"/>
      <w:r>
        <w:t xml:space="preserve"> powinna zawierać mieszankę nasion zaleconą przez PN-B-12074:1998 [4] dla typu siedliska i rodzaju gruntu znajdującego się na umacnianej powierzchni.</w:t>
      </w:r>
    </w:p>
    <w:p w:rsidR="00ED0C0A" w:rsidRDefault="00ED0C0A" w:rsidP="00ED0C0A">
      <w:r>
        <w:tab/>
      </w:r>
      <w:proofErr w:type="spellStart"/>
      <w:r>
        <w:t>Biowłóknina</w:t>
      </w:r>
      <w:proofErr w:type="spellEnd"/>
      <w:r>
        <w:t xml:space="preserve"> powinna być składowana i przechowywana w belach owiniętych folią, w suchym i przewiewnym pomieszczeniu, zgodnie z zaleceniami producenta. Pomieszczenie to powinno być </w:t>
      </w:r>
      <w:proofErr w:type="spellStart"/>
      <w:r>
        <w:t>niedSSTępne</w:t>
      </w:r>
      <w:proofErr w:type="spellEnd"/>
      <w:r>
        <w:t xml:space="preserve"> dla gryzoni.</w:t>
      </w:r>
    </w:p>
    <w:p w:rsidR="00ED0C0A" w:rsidRDefault="00ED0C0A" w:rsidP="00ED0C0A">
      <w:r>
        <w:tab/>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ED0C0A" w:rsidRDefault="00ED0C0A" w:rsidP="00ED0C0A">
      <w:r>
        <w:tab/>
        <w:t xml:space="preserve">Sznurek polipropylenowy do przytwierdzania </w:t>
      </w:r>
      <w:proofErr w:type="spellStart"/>
      <w:r>
        <w:t>biowłókniny</w:t>
      </w:r>
      <w:proofErr w:type="spellEnd"/>
      <w:r>
        <w:t xml:space="preserve"> powinien spełniać wymagania PN-P-85012:1992 [8].</w:t>
      </w:r>
    </w:p>
    <w:p w:rsidR="00ED0C0A" w:rsidRDefault="00ED0C0A" w:rsidP="00ED0C0A">
      <w:pPr>
        <w:pStyle w:val="Nagwek2"/>
      </w:pPr>
      <w:r>
        <w:lastRenderedPageBreak/>
        <w:t xml:space="preserve">2.14. </w:t>
      </w:r>
      <w:proofErr w:type="spellStart"/>
      <w:r>
        <w:t>Geosyntetyki</w:t>
      </w:r>
      <w:proofErr w:type="spellEnd"/>
    </w:p>
    <w:p w:rsidR="00ED0C0A" w:rsidRDefault="00ED0C0A" w:rsidP="00ED0C0A">
      <w:r>
        <w:tab/>
        <w:t xml:space="preserve">Do powierzchniowego umocnienia przeciwerozyjnego skarp należy stosować </w:t>
      </w:r>
      <w:proofErr w:type="spellStart"/>
      <w:r>
        <w:t>geosyntetyki</w:t>
      </w:r>
      <w:proofErr w:type="spellEnd"/>
      <w:r>
        <w:t xml:space="preserve"> określone w dokumentacji projektowej, np.:</w:t>
      </w:r>
    </w:p>
    <w:p w:rsidR="00ED0C0A" w:rsidRDefault="00ED0C0A" w:rsidP="00A46F82">
      <w:pPr>
        <w:numPr>
          <w:ilvl w:val="0"/>
          <w:numId w:val="216"/>
        </w:numPr>
        <w:overflowPunct w:val="0"/>
        <w:autoSpaceDE w:val="0"/>
        <w:autoSpaceDN w:val="0"/>
        <w:adjustRightInd w:val="0"/>
        <w:ind w:left="283" w:hanging="283"/>
        <w:jc w:val="both"/>
      </w:pPr>
      <w:proofErr w:type="spellStart"/>
      <w:r>
        <w:t>geotekstylia</w:t>
      </w:r>
      <w:proofErr w:type="spellEnd"/>
      <w:r>
        <w:t xml:space="preserve">, w tym </w:t>
      </w:r>
      <w:proofErr w:type="spellStart"/>
      <w:r>
        <w:t>geotkaniny</w:t>
      </w:r>
      <w:proofErr w:type="spellEnd"/>
      <w:r>
        <w:t xml:space="preserve"> (wytwarzane przez przeplatanie przędzy, włókien, </w:t>
      </w:r>
      <w:proofErr w:type="spellStart"/>
      <w:r>
        <w:t>filamentów</w:t>
      </w:r>
      <w:proofErr w:type="spellEnd"/>
      <w:r>
        <w:t xml:space="preserve">, taśm) i </w:t>
      </w:r>
      <w:proofErr w:type="spellStart"/>
      <w:r>
        <w:t>geowłókniny</w:t>
      </w:r>
      <w:proofErr w:type="spellEnd"/>
      <w:r>
        <w:t xml:space="preserve"> (warstwa runa lub włóknin połączonych siłami tarcia lub kohezji albo adhezji),</w:t>
      </w:r>
    </w:p>
    <w:p w:rsidR="00ED0C0A" w:rsidRDefault="00ED0C0A" w:rsidP="00A46F82">
      <w:pPr>
        <w:numPr>
          <w:ilvl w:val="0"/>
          <w:numId w:val="216"/>
        </w:numPr>
        <w:overflowPunct w:val="0"/>
        <w:autoSpaceDE w:val="0"/>
        <w:autoSpaceDN w:val="0"/>
        <w:adjustRightInd w:val="0"/>
        <w:ind w:left="283" w:hanging="283"/>
        <w:jc w:val="both"/>
      </w:pPr>
      <w:r>
        <w:t xml:space="preserve">gęste </w:t>
      </w:r>
      <w:proofErr w:type="spellStart"/>
      <w:r>
        <w:t>geosiatki</w:t>
      </w:r>
      <w:proofErr w:type="spellEnd"/>
      <w:r>
        <w:t xml:space="preserve"> bezwęzełkowe, tj. płaskie struktury w </w:t>
      </w:r>
      <w:proofErr w:type="spellStart"/>
      <w:r>
        <w:t>pSSTaci</w:t>
      </w:r>
      <w:proofErr w:type="spellEnd"/>
      <w:r>
        <w:t xml:space="preserve"> siatki o małym oczku,</w:t>
      </w:r>
    </w:p>
    <w:p w:rsidR="00ED0C0A" w:rsidRDefault="00ED0C0A" w:rsidP="00A46F82">
      <w:pPr>
        <w:numPr>
          <w:ilvl w:val="0"/>
          <w:numId w:val="216"/>
        </w:numPr>
        <w:overflowPunct w:val="0"/>
        <w:autoSpaceDE w:val="0"/>
        <w:autoSpaceDN w:val="0"/>
        <w:adjustRightInd w:val="0"/>
        <w:ind w:left="283" w:hanging="283"/>
        <w:jc w:val="both"/>
      </w:pPr>
      <w:proofErr w:type="spellStart"/>
      <w:r>
        <w:t>geokompozyty</w:t>
      </w:r>
      <w:proofErr w:type="spellEnd"/>
      <w:r>
        <w:t xml:space="preserve"> przepuszczalne, tj. materiały złożone z różnych </w:t>
      </w:r>
      <w:proofErr w:type="spellStart"/>
      <w:r>
        <w:t>geosyntetyków</w:t>
      </w:r>
      <w:proofErr w:type="spellEnd"/>
      <w:r>
        <w:t xml:space="preserve">, </w:t>
      </w:r>
    </w:p>
    <w:p w:rsidR="00ED0C0A" w:rsidRDefault="00ED0C0A" w:rsidP="00A46F82">
      <w:pPr>
        <w:numPr>
          <w:ilvl w:val="0"/>
          <w:numId w:val="216"/>
        </w:numPr>
        <w:overflowPunct w:val="0"/>
        <w:autoSpaceDE w:val="0"/>
        <w:autoSpaceDN w:val="0"/>
        <w:adjustRightInd w:val="0"/>
        <w:ind w:left="283" w:hanging="283"/>
        <w:jc w:val="both"/>
      </w:pPr>
      <w:proofErr w:type="spellStart"/>
      <w:r>
        <w:t>geosiatki</w:t>
      </w:r>
      <w:proofErr w:type="spellEnd"/>
      <w:r>
        <w:t xml:space="preserve"> komórkowe, tj. przestrzenne struktury zbliżone wyglądem do plastra miodu,</w:t>
      </w:r>
    </w:p>
    <w:p w:rsidR="00ED0C0A" w:rsidRDefault="00ED0C0A" w:rsidP="00A46F82">
      <w:pPr>
        <w:numPr>
          <w:ilvl w:val="0"/>
          <w:numId w:val="216"/>
        </w:numPr>
        <w:overflowPunct w:val="0"/>
        <w:autoSpaceDE w:val="0"/>
        <w:autoSpaceDN w:val="0"/>
        <w:adjustRightInd w:val="0"/>
        <w:ind w:left="283" w:hanging="283"/>
        <w:jc w:val="both"/>
      </w:pPr>
      <w:proofErr w:type="spellStart"/>
      <w:r>
        <w:t>geomaty</w:t>
      </w:r>
      <w:proofErr w:type="spellEnd"/>
      <w:r>
        <w:t xml:space="preserve"> z siatki, tj. materiały </w:t>
      </w:r>
      <w:proofErr w:type="spellStart"/>
      <w:r>
        <w:t>geosyntetyczne</w:t>
      </w:r>
      <w:proofErr w:type="spellEnd"/>
      <w:r>
        <w:t xml:space="preserve"> w </w:t>
      </w:r>
      <w:proofErr w:type="spellStart"/>
      <w:r>
        <w:t>pSSTaci</w:t>
      </w:r>
      <w:proofErr w:type="spellEnd"/>
      <w:r>
        <w:t xml:space="preserve"> siatki ze strukturą przestrzenną (odmianą jest </w:t>
      </w:r>
      <w:proofErr w:type="spellStart"/>
      <w:r>
        <w:t>geomata</w:t>
      </w:r>
      <w:proofErr w:type="spellEnd"/>
      <w:r>
        <w:t xml:space="preserve"> darniowa z wcześniej wyhodowaną trawą do natychmiastowego utworzenia roślinnego pokrycia skarpy).</w:t>
      </w:r>
    </w:p>
    <w:p w:rsidR="00ED0C0A" w:rsidRDefault="00ED0C0A" w:rsidP="00ED0C0A">
      <w:r>
        <w:tab/>
        <w:t xml:space="preserve">Każdy zastosowany </w:t>
      </w:r>
      <w:proofErr w:type="spellStart"/>
      <w:r>
        <w:t>geosyntetyk</w:t>
      </w:r>
      <w:proofErr w:type="spellEnd"/>
      <w:r>
        <w:t xml:space="preserve"> powinien posiadać aprobatę techniczną, wydaną przez uprawnioną </w:t>
      </w:r>
      <w:proofErr w:type="spellStart"/>
      <w:r>
        <w:t>jednSSTkę</w:t>
      </w:r>
      <w:proofErr w:type="spellEnd"/>
      <w:r>
        <w:t>.</w:t>
      </w:r>
    </w:p>
    <w:p w:rsidR="00ED0C0A" w:rsidRDefault="00ED0C0A" w:rsidP="00ED0C0A">
      <w:pPr>
        <w:numPr>
          <w:ilvl w:val="12"/>
          <w:numId w:val="0"/>
        </w:numPr>
      </w:pPr>
      <w:r>
        <w:tab/>
      </w:r>
      <w:proofErr w:type="spellStart"/>
      <w:r>
        <w:t>Geosyntetyk</w:t>
      </w:r>
      <w:proofErr w:type="spellEnd"/>
      <w:r>
        <w:t xml:space="preserve"> do umocnienia przeciwerozyjnego skarp powinien mieć charakterystykę zgodną z aprobatą techniczną oraz wymaganiami dokumentacji projektowej i SST. Zaleca się, aby </w:t>
      </w:r>
      <w:proofErr w:type="spellStart"/>
      <w:r>
        <w:t>geosyntetyki</w:t>
      </w:r>
      <w:proofErr w:type="spellEnd"/>
      <w: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ED0C0A" w:rsidRDefault="00ED0C0A" w:rsidP="00ED0C0A">
      <w:r>
        <w:tab/>
      </w:r>
      <w:proofErr w:type="spellStart"/>
      <w:r>
        <w:t>Geosyntetyki</w:t>
      </w:r>
      <w:proofErr w:type="spellEnd"/>
      <w:r>
        <w:t xml:space="preserve">, dostarczane w rolkach opakowanych w folie, mogą być składowane bez specjalnego zabezpieczenia. </w:t>
      </w:r>
      <w:proofErr w:type="spellStart"/>
      <w:r>
        <w:t>Geosyntetyki</w:t>
      </w:r>
      <w:proofErr w:type="spellEnd"/>
      <w:r>
        <w:t xml:space="preserve"> nieopakowane należy chronić przed zamoczeniem wodą, zapyleniem i przed działaniem słońca. Przy składowaniu </w:t>
      </w:r>
      <w:proofErr w:type="spellStart"/>
      <w:r>
        <w:t>geosyntetyków</w:t>
      </w:r>
      <w:proofErr w:type="spellEnd"/>
      <w:r>
        <w:t xml:space="preserve"> należy przestrzegać zaleceń producentów.</w:t>
      </w:r>
    </w:p>
    <w:p w:rsidR="00ED0C0A" w:rsidRDefault="00ED0C0A" w:rsidP="00ED0C0A">
      <w:pPr>
        <w:numPr>
          <w:ilvl w:val="12"/>
          <w:numId w:val="0"/>
        </w:numPr>
      </w:pPr>
      <w:r>
        <w:tab/>
        <w:t>Rolki mogą być wyładowane ręcznie lub za pomocą żurawi i ładowarek.</w:t>
      </w:r>
    </w:p>
    <w:p w:rsidR="00ED0C0A" w:rsidRDefault="00ED0C0A" w:rsidP="00ED0C0A">
      <w:pPr>
        <w:pStyle w:val="Nagwek2"/>
        <w:numPr>
          <w:ilvl w:val="12"/>
          <w:numId w:val="0"/>
        </w:numPr>
      </w:pPr>
      <w:r>
        <w:t xml:space="preserve">2.15. Mieszanina do </w:t>
      </w:r>
      <w:proofErr w:type="spellStart"/>
      <w:r>
        <w:t>hydroobsiewu</w:t>
      </w:r>
      <w:proofErr w:type="spellEnd"/>
    </w:p>
    <w:p w:rsidR="00ED0C0A" w:rsidRDefault="00ED0C0A" w:rsidP="00ED0C0A">
      <w:pPr>
        <w:numPr>
          <w:ilvl w:val="12"/>
          <w:numId w:val="0"/>
        </w:numPr>
      </w:pPr>
      <w:r>
        <w:tab/>
        <w:t xml:space="preserve">Mieszanina do </w:t>
      </w:r>
      <w:proofErr w:type="spellStart"/>
      <w:r>
        <w:t>hydroobsiewu</w:t>
      </w:r>
      <w:proofErr w:type="spellEnd"/>
      <w:r>
        <w:t xml:space="preserve"> powinna składać się z:</w:t>
      </w:r>
    </w:p>
    <w:p w:rsidR="00ED0C0A" w:rsidRDefault="00ED0C0A" w:rsidP="00A46F82">
      <w:pPr>
        <w:numPr>
          <w:ilvl w:val="0"/>
          <w:numId w:val="216"/>
        </w:numPr>
        <w:overflowPunct w:val="0"/>
        <w:autoSpaceDE w:val="0"/>
        <w:autoSpaceDN w:val="0"/>
        <w:adjustRightInd w:val="0"/>
        <w:ind w:left="283" w:hanging="283"/>
        <w:jc w:val="both"/>
      </w:pPr>
      <w:r>
        <w:t>przefermentowanych osadów ściekowych,</w:t>
      </w:r>
    </w:p>
    <w:p w:rsidR="00ED0C0A" w:rsidRDefault="00ED0C0A" w:rsidP="00A46F82">
      <w:pPr>
        <w:numPr>
          <w:ilvl w:val="0"/>
          <w:numId w:val="216"/>
        </w:numPr>
        <w:overflowPunct w:val="0"/>
        <w:autoSpaceDE w:val="0"/>
        <w:autoSpaceDN w:val="0"/>
        <w:adjustRightInd w:val="0"/>
        <w:ind w:left="284" w:hanging="284"/>
        <w:jc w:val="both"/>
      </w:pPr>
      <w:r>
        <w:t>kompozycji nasion traw i roślin motylkowatych,</w:t>
      </w:r>
    </w:p>
    <w:p w:rsidR="00ED0C0A" w:rsidRDefault="00ED0C0A" w:rsidP="00A46F82">
      <w:pPr>
        <w:numPr>
          <w:ilvl w:val="0"/>
          <w:numId w:val="216"/>
        </w:numPr>
        <w:overflowPunct w:val="0"/>
        <w:autoSpaceDE w:val="0"/>
        <w:autoSpaceDN w:val="0"/>
        <w:adjustRightInd w:val="0"/>
        <w:ind w:left="284" w:hanging="284"/>
        <w:jc w:val="both"/>
      </w:pPr>
      <w:r>
        <w:t>ściółki, tj. substancji poprawiających strukturę podłoża i osłaniających kiełkujące nasiona oraz siewki (np. sieczki, trocin, strużyn, konfetti),</w:t>
      </w:r>
    </w:p>
    <w:p w:rsidR="00ED0C0A" w:rsidRDefault="00ED0C0A" w:rsidP="00A46F82">
      <w:pPr>
        <w:numPr>
          <w:ilvl w:val="0"/>
          <w:numId w:val="216"/>
        </w:numPr>
        <w:overflowPunct w:val="0"/>
        <w:autoSpaceDE w:val="0"/>
        <w:autoSpaceDN w:val="0"/>
        <w:adjustRightInd w:val="0"/>
        <w:ind w:left="284" w:hanging="284"/>
        <w:jc w:val="both"/>
      </w:pPr>
      <w:r>
        <w:t>popiołów lotnych, spełniających rolę nawozów o wydłużonym działaniu oraz odkwaszania,</w:t>
      </w:r>
    </w:p>
    <w:p w:rsidR="00ED0C0A" w:rsidRDefault="00ED0C0A" w:rsidP="00A46F82">
      <w:pPr>
        <w:numPr>
          <w:ilvl w:val="0"/>
          <w:numId w:val="216"/>
        </w:numPr>
        <w:overflowPunct w:val="0"/>
        <w:autoSpaceDE w:val="0"/>
        <w:autoSpaceDN w:val="0"/>
        <w:adjustRightInd w:val="0"/>
        <w:ind w:left="284" w:hanging="284"/>
        <w:jc w:val="both"/>
      </w:pPr>
      <w:r>
        <w:t>nawozów mineralnych, np. gdy osady ściekowe mają małą wartość nawozową.</w:t>
      </w:r>
    </w:p>
    <w:p w:rsidR="00ED0C0A" w:rsidRDefault="00ED0C0A" w:rsidP="00ED0C0A">
      <w:r>
        <w:tab/>
        <w:t>Dopuszcza się, po zaakceptowaniu przez Inżyniera, stosowanie mieszaniny, w której zamiast osadów ściekowych i popiołów lotnych znajduje się woda i substancje zabezpieczające podłoże przed wysychaniem i erozją (np. emulsja asfaltowa i lateksowa).</w:t>
      </w:r>
    </w:p>
    <w:p w:rsidR="00ED0C0A" w:rsidRDefault="00ED0C0A" w:rsidP="00ED0C0A">
      <w:pPr>
        <w:numPr>
          <w:ilvl w:val="12"/>
          <w:numId w:val="0"/>
        </w:numPr>
      </w:pPr>
      <w:r>
        <w:tab/>
        <w:t>Osady ściekowe powinny pochodzić z oczyszczalni komunalnych i powinny być przefermentowane lub kompostowane, a zawartość metali ciężkich nie może przekroczyć na 1 kg suchej masy: 1500 mg ołowiu, 50 mg kadmu, 25 mg rtęci, 500 mg niklu oraz 2500 mg chromu.</w:t>
      </w:r>
    </w:p>
    <w:p w:rsidR="00ED0C0A" w:rsidRDefault="00ED0C0A" w:rsidP="00ED0C0A">
      <w:pPr>
        <w:numPr>
          <w:ilvl w:val="12"/>
          <w:numId w:val="0"/>
        </w:numPr>
      </w:pPr>
      <w:r>
        <w:tab/>
        <w:t>Skład  mieszanek traw, uzależniony od rodzaju gruntu, może być przyjmowany według PN-B-12074:1998 [4]. Nasiona roślin powinny spełniać wymagania PN-R-65023:1999 [9].</w:t>
      </w:r>
    </w:p>
    <w:p w:rsidR="00ED0C0A" w:rsidRDefault="00ED0C0A" w:rsidP="00ED0C0A">
      <w:pPr>
        <w:numPr>
          <w:ilvl w:val="12"/>
          <w:numId w:val="0"/>
        </w:numPr>
      </w:pPr>
      <w:r>
        <w:tab/>
        <w:t>Emulsja asfaltowa powinna odpowiadać wymaganiom wytycznych technicznych [15], a popioły lotne PN-S-96035:1997 [11].</w:t>
      </w:r>
    </w:p>
    <w:p w:rsidR="00ED0C0A" w:rsidRDefault="00ED0C0A" w:rsidP="00ED0C0A">
      <w:pPr>
        <w:numPr>
          <w:ilvl w:val="12"/>
          <w:numId w:val="0"/>
        </w:numPr>
      </w:pPr>
      <w:r>
        <w:tab/>
        <w:t>Ramowy skład mieszaniny na 1 m</w:t>
      </w:r>
      <w:r>
        <w:rPr>
          <w:vertAlign w:val="superscript"/>
        </w:rPr>
        <w:t>2</w:t>
      </w:r>
      <w:r>
        <w:t xml:space="preserve"> </w:t>
      </w:r>
      <w:proofErr w:type="spellStart"/>
      <w:r>
        <w:t>hydroobsiewu</w:t>
      </w:r>
      <w:proofErr w:type="spellEnd"/>
      <w:r>
        <w:t xml:space="preserve"> powinien być następujący:</w:t>
      </w:r>
    </w:p>
    <w:p w:rsidR="00ED0C0A" w:rsidRDefault="00ED0C0A" w:rsidP="00A46F82">
      <w:pPr>
        <w:numPr>
          <w:ilvl w:val="0"/>
          <w:numId w:val="216"/>
        </w:numPr>
        <w:overflowPunct w:val="0"/>
        <w:autoSpaceDE w:val="0"/>
        <w:autoSpaceDN w:val="0"/>
        <w:adjustRightInd w:val="0"/>
        <w:ind w:left="283" w:hanging="283"/>
        <w:jc w:val="both"/>
      </w:pPr>
      <w:r>
        <w:t xml:space="preserve">przefermentowane osady ściekowe </w:t>
      </w:r>
      <w:r>
        <w:tab/>
        <w:t xml:space="preserve">           od 12 do 30 dm</w:t>
      </w:r>
      <w:r>
        <w:rPr>
          <w:vertAlign w:val="superscript"/>
        </w:rPr>
        <w:t>3</w:t>
      </w:r>
      <w:r>
        <w:t xml:space="preserve"> (o 4-10% suchej masy),</w:t>
      </w:r>
    </w:p>
    <w:p w:rsidR="00ED0C0A" w:rsidRDefault="00ED0C0A" w:rsidP="00A46F82">
      <w:pPr>
        <w:numPr>
          <w:ilvl w:val="0"/>
          <w:numId w:val="216"/>
        </w:numPr>
        <w:overflowPunct w:val="0"/>
        <w:autoSpaceDE w:val="0"/>
        <w:autoSpaceDN w:val="0"/>
        <w:adjustRightInd w:val="0"/>
        <w:ind w:left="283" w:hanging="283"/>
        <w:jc w:val="both"/>
      </w:pPr>
      <w:r>
        <w:t xml:space="preserve">kompozycje (mieszanki) nasion traw </w:t>
      </w:r>
    </w:p>
    <w:p w:rsidR="00ED0C0A" w:rsidRDefault="00ED0C0A" w:rsidP="00ED0C0A">
      <w:pPr>
        <w:ind w:left="283"/>
      </w:pPr>
      <w:r>
        <w:t xml:space="preserve">i roślin motylkowatych </w:t>
      </w:r>
      <w:r>
        <w:tab/>
      </w:r>
      <w:r>
        <w:tab/>
        <w:t xml:space="preserve">            od 0,018 do 0,03 kg,</w:t>
      </w:r>
    </w:p>
    <w:p w:rsidR="00ED0C0A" w:rsidRDefault="00ED0C0A" w:rsidP="00A46F82">
      <w:pPr>
        <w:numPr>
          <w:ilvl w:val="0"/>
          <w:numId w:val="216"/>
        </w:numPr>
        <w:overflowPunct w:val="0"/>
        <w:autoSpaceDE w:val="0"/>
        <w:autoSpaceDN w:val="0"/>
        <w:adjustRightInd w:val="0"/>
        <w:ind w:left="283" w:hanging="283"/>
        <w:jc w:val="both"/>
      </w:pPr>
      <w:r>
        <w:t>ściółka (sieczka, strużyny, substrat torfowy)       od 0,06   do 0,10 kg,</w:t>
      </w:r>
    </w:p>
    <w:p w:rsidR="00ED0C0A" w:rsidRDefault="00ED0C0A" w:rsidP="00A46F82">
      <w:pPr>
        <w:numPr>
          <w:ilvl w:val="0"/>
          <w:numId w:val="216"/>
        </w:numPr>
        <w:overflowPunct w:val="0"/>
        <w:autoSpaceDE w:val="0"/>
        <w:autoSpaceDN w:val="0"/>
        <w:adjustRightInd w:val="0"/>
        <w:ind w:left="283" w:hanging="283"/>
        <w:jc w:val="both"/>
      </w:pPr>
      <w:r>
        <w:t>popioły lotne</w:t>
      </w:r>
      <w:r>
        <w:tab/>
      </w:r>
      <w:r>
        <w:tab/>
      </w:r>
      <w:r>
        <w:tab/>
      </w:r>
      <w:r>
        <w:tab/>
        <w:t xml:space="preserve">            od 0,08   do 0,14 kg,</w:t>
      </w:r>
    </w:p>
    <w:p w:rsidR="00ED0C0A" w:rsidRDefault="00ED0C0A" w:rsidP="00A46F82">
      <w:pPr>
        <w:numPr>
          <w:ilvl w:val="0"/>
          <w:numId w:val="216"/>
        </w:numPr>
        <w:overflowPunct w:val="0"/>
        <w:autoSpaceDE w:val="0"/>
        <w:autoSpaceDN w:val="0"/>
        <w:adjustRightInd w:val="0"/>
        <w:ind w:left="283" w:hanging="283"/>
        <w:jc w:val="both"/>
      </w:pPr>
      <w:r>
        <w:t>nawozy mineralne (NPK)</w:t>
      </w:r>
      <w:r>
        <w:tab/>
      </w:r>
      <w:r>
        <w:tab/>
        <w:t xml:space="preserve">            od 0,02   do 0,05 kg.</w:t>
      </w:r>
    </w:p>
    <w:p w:rsidR="00ED0C0A" w:rsidRDefault="00ED0C0A" w:rsidP="00ED0C0A">
      <w:r>
        <w:tab/>
        <w:t>Wykonawca przedstawi Inżynierowi do akceptacji szczegółowy skład mieszaniny na podstawie:</w:t>
      </w:r>
    </w:p>
    <w:p w:rsidR="00ED0C0A" w:rsidRDefault="00ED0C0A" w:rsidP="00A46F82">
      <w:pPr>
        <w:numPr>
          <w:ilvl w:val="0"/>
          <w:numId w:val="216"/>
        </w:numPr>
        <w:overflowPunct w:val="0"/>
        <w:autoSpaceDE w:val="0"/>
        <w:autoSpaceDN w:val="0"/>
        <w:adjustRightInd w:val="0"/>
        <w:ind w:left="283" w:hanging="283"/>
        <w:jc w:val="both"/>
      </w:pPr>
      <w:r>
        <w:t>orzeczenia wydanego po badaniach składników mieszaniny z gruntem w specjalistycznym instytucie naukowo-badawczym, stacji rolniczo-chemicznej lub innej uprawnionej jednostce, względnie,</w:t>
      </w:r>
    </w:p>
    <w:p w:rsidR="00ED0C0A" w:rsidRDefault="00ED0C0A" w:rsidP="00A46F82">
      <w:pPr>
        <w:numPr>
          <w:ilvl w:val="0"/>
          <w:numId w:val="216"/>
        </w:numPr>
        <w:overflowPunct w:val="0"/>
        <w:autoSpaceDE w:val="0"/>
        <w:autoSpaceDN w:val="0"/>
        <w:adjustRightInd w:val="0"/>
        <w:ind w:left="283" w:hanging="283"/>
        <w:jc w:val="both"/>
      </w:pPr>
      <w:r>
        <w:t>wyników prób dokonanych na odcinku próbnym (poletku doświadczalnym) utworzonym na umacnianej powierzchni.</w:t>
      </w:r>
    </w:p>
    <w:p w:rsidR="00ED0C0A" w:rsidRDefault="00ED0C0A" w:rsidP="00ED0C0A">
      <w:pPr>
        <w:pStyle w:val="Nagwek1"/>
      </w:pPr>
      <w:bookmarkStart w:id="519" w:name="_Toc497107500"/>
      <w:bookmarkStart w:id="520" w:name="_Toc428243644"/>
      <w:r>
        <w:lastRenderedPageBreak/>
        <w:t>3. SPRZĘT</w:t>
      </w:r>
      <w:bookmarkEnd w:id="519"/>
      <w:bookmarkEnd w:id="520"/>
    </w:p>
    <w:p w:rsidR="00ED0C0A" w:rsidRDefault="00ED0C0A" w:rsidP="00ED0C0A">
      <w:pPr>
        <w:pStyle w:val="Nagwek2"/>
        <w:numPr>
          <w:ilvl w:val="12"/>
          <w:numId w:val="0"/>
        </w:numPr>
      </w:pPr>
      <w:r>
        <w:t>3.1. Ogólne wymagania dotyczące sprzętu</w:t>
      </w:r>
    </w:p>
    <w:p w:rsidR="00ED0C0A" w:rsidRDefault="00ED0C0A" w:rsidP="00ED0C0A">
      <w:pPr>
        <w:numPr>
          <w:ilvl w:val="12"/>
          <w:numId w:val="0"/>
        </w:numPr>
      </w:pPr>
      <w:r>
        <w:tab/>
        <w:t>Ogólne wymagania dotyczące sprzętu podano w SST D-00.00.00 „Wymagania ogólne” pkt 3.</w:t>
      </w:r>
    </w:p>
    <w:p w:rsidR="00ED0C0A" w:rsidRDefault="00ED0C0A" w:rsidP="00ED0C0A">
      <w:pPr>
        <w:pStyle w:val="Nagwek2"/>
        <w:numPr>
          <w:ilvl w:val="12"/>
          <w:numId w:val="0"/>
        </w:numPr>
      </w:pPr>
      <w:r>
        <w:t>3.2. Sprzęt do wykonania robót</w:t>
      </w:r>
    </w:p>
    <w:p w:rsidR="00ED0C0A" w:rsidRDefault="00ED0C0A" w:rsidP="00ED0C0A">
      <w:pPr>
        <w:numPr>
          <w:ilvl w:val="12"/>
          <w:numId w:val="0"/>
        </w:numPr>
      </w:pPr>
      <w:r>
        <w:rPr>
          <w:b/>
        </w:rPr>
        <w:tab/>
      </w:r>
      <w:r>
        <w:t>Wykonawca przystępujący do wykonania umocnienia techniczno-biologicznego powinien wykazać się możliwością korzystania z następującego sprzętu:</w:t>
      </w:r>
    </w:p>
    <w:p w:rsidR="00ED0C0A" w:rsidRDefault="00ED0C0A" w:rsidP="00A46F82">
      <w:pPr>
        <w:numPr>
          <w:ilvl w:val="0"/>
          <w:numId w:val="213"/>
        </w:numPr>
        <w:overflowPunct w:val="0"/>
        <w:autoSpaceDE w:val="0"/>
        <w:autoSpaceDN w:val="0"/>
        <w:adjustRightInd w:val="0"/>
        <w:jc w:val="both"/>
      </w:pPr>
      <w:r>
        <w:t>równiarek,</w:t>
      </w:r>
    </w:p>
    <w:p w:rsidR="00ED0C0A" w:rsidRDefault="00ED0C0A" w:rsidP="00A46F82">
      <w:pPr>
        <w:numPr>
          <w:ilvl w:val="0"/>
          <w:numId w:val="213"/>
        </w:numPr>
        <w:overflowPunct w:val="0"/>
        <w:autoSpaceDE w:val="0"/>
        <w:autoSpaceDN w:val="0"/>
        <w:adjustRightInd w:val="0"/>
        <w:jc w:val="both"/>
      </w:pPr>
      <w:r>
        <w:t>ew. walców gładkich, żebrowanych lub ryflowanych,</w:t>
      </w:r>
    </w:p>
    <w:p w:rsidR="00ED0C0A" w:rsidRDefault="00ED0C0A" w:rsidP="00A46F82">
      <w:pPr>
        <w:numPr>
          <w:ilvl w:val="0"/>
          <w:numId w:val="213"/>
        </w:numPr>
        <w:overflowPunct w:val="0"/>
        <w:autoSpaceDE w:val="0"/>
        <w:autoSpaceDN w:val="0"/>
        <w:adjustRightInd w:val="0"/>
        <w:jc w:val="both"/>
      </w:pPr>
      <w:r>
        <w:t>ubijaków o ręcznym prowadzeniu,</w:t>
      </w:r>
    </w:p>
    <w:p w:rsidR="00ED0C0A" w:rsidRDefault="00ED0C0A" w:rsidP="00A46F82">
      <w:pPr>
        <w:numPr>
          <w:ilvl w:val="0"/>
          <w:numId w:val="213"/>
        </w:numPr>
        <w:overflowPunct w:val="0"/>
        <w:autoSpaceDE w:val="0"/>
        <w:autoSpaceDN w:val="0"/>
        <w:adjustRightInd w:val="0"/>
        <w:jc w:val="both"/>
      </w:pPr>
      <w:r>
        <w:t>wibratorów samobieżnych,</w:t>
      </w:r>
    </w:p>
    <w:p w:rsidR="00ED0C0A" w:rsidRDefault="00ED0C0A" w:rsidP="00A46F82">
      <w:pPr>
        <w:numPr>
          <w:ilvl w:val="0"/>
          <w:numId w:val="213"/>
        </w:numPr>
        <w:overflowPunct w:val="0"/>
        <w:autoSpaceDE w:val="0"/>
        <w:autoSpaceDN w:val="0"/>
        <w:adjustRightInd w:val="0"/>
        <w:jc w:val="both"/>
      </w:pPr>
      <w:r>
        <w:t>płyt ubijających,</w:t>
      </w:r>
    </w:p>
    <w:p w:rsidR="00ED0C0A" w:rsidRDefault="00ED0C0A" w:rsidP="00A46F82">
      <w:pPr>
        <w:numPr>
          <w:ilvl w:val="0"/>
          <w:numId w:val="213"/>
        </w:numPr>
        <w:overflowPunct w:val="0"/>
        <w:autoSpaceDE w:val="0"/>
        <w:autoSpaceDN w:val="0"/>
        <w:adjustRightInd w:val="0"/>
        <w:jc w:val="both"/>
      </w:pPr>
      <w:r>
        <w:t>ew. sprzętu do podwieszania i podciągania,</w:t>
      </w:r>
    </w:p>
    <w:p w:rsidR="00ED0C0A" w:rsidRDefault="00ED0C0A" w:rsidP="00A46F82">
      <w:pPr>
        <w:numPr>
          <w:ilvl w:val="0"/>
          <w:numId w:val="213"/>
        </w:numPr>
        <w:overflowPunct w:val="0"/>
        <w:autoSpaceDE w:val="0"/>
        <w:autoSpaceDN w:val="0"/>
        <w:adjustRightInd w:val="0"/>
        <w:jc w:val="both"/>
      </w:pPr>
      <w:proofErr w:type="spellStart"/>
      <w:r>
        <w:t>hydrosiewnika</w:t>
      </w:r>
      <w:proofErr w:type="spellEnd"/>
      <w:r>
        <w:t xml:space="preserve"> z ciągnikiem oraz osprzętu do </w:t>
      </w:r>
      <w:proofErr w:type="spellStart"/>
      <w:r>
        <w:t>agrouprawy</w:t>
      </w:r>
      <w:proofErr w:type="spellEnd"/>
      <w:r>
        <w:t xml:space="preserve"> (np. włóki obręczowo-pierścieniowej, brony chwastownika - zgrzebła, </w:t>
      </w:r>
      <w:proofErr w:type="spellStart"/>
      <w:r>
        <w:t>wałowłóki</w:t>
      </w:r>
      <w:proofErr w:type="spellEnd"/>
      <w:r>
        <w:t>),</w:t>
      </w:r>
    </w:p>
    <w:p w:rsidR="00ED0C0A" w:rsidRDefault="00ED0C0A" w:rsidP="00A46F82">
      <w:pPr>
        <w:numPr>
          <w:ilvl w:val="0"/>
          <w:numId w:val="213"/>
        </w:numPr>
        <w:overflowPunct w:val="0"/>
        <w:autoSpaceDE w:val="0"/>
        <w:autoSpaceDN w:val="0"/>
        <w:adjustRightInd w:val="0"/>
        <w:jc w:val="both"/>
      </w:pPr>
      <w:r>
        <w:t>cysterny z wodą pod ciśnieniem (do zraszania) oraz węży do podlewania (miejsc niedostępnych).</w:t>
      </w:r>
    </w:p>
    <w:p w:rsidR="00ED0C0A" w:rsidRDefault="00ED0C0A" w:rsidP="00ED0C0A">
      <w:pPr>
        <w:pStyle w:val="Nagwek1"/>
      </w:pPr>
      <w:bookmarkStart w:id="521" w:name="_Toc497107501"/>
      <w:bookmarkStart w:id="522" w:name="_Toc428243645"/>
      <w:r>
        <w:t>4. TRANSPORT</w:t>
      </w:r>
      <w:bookmarkEnd w:id="521"/>
      <w:bookmarkEnd w:id="522"/>
    </w:p>
    <w:p w:rsidR="00ED0C0A" w:rsidRDefault="00ED0C0A" w:rsidP="00ED0C0A">
      <w:pPr>
        <w:pStyle w:val="Nagwek2"/>
      </w:pPr>
      <w:r>
        <w:t>4.1. Ogólne wymagania dotyczące transportu</w:t>
      </w:r>
    </w:p>
    <w:p w:rsidR="00ED0C0A" w:rsidRDefault="00ED0C0A" w:rsidP="00ED0C0A">
      <w:r>
        <w:tab/>
        <w:t>Ogólne wymagania dotyczące transportu podano w SST D-00.00.00 „Wymagania ogólne” pkt 4.</w:t>
      </w:r>
    </w:p>
    <w:p w:rsidR="00ED0C0A" w:rsidRDefault="00ED0C0A" w:rsidP="00ED0C0A">
      <w:pPr>
        <w:pStyle w:val="Nagwek2"/>
      </w:pPr>
      <w:r>
        <w:t>4.2. Transport materiałów</w:t>
      </w:r>
    </w:p>
    <w:p w:rsidR="00ED0C0A" w:rsidRDefault="00ED0C0A" w:rsidP="00ED0C0A">
      <w:r>
        <w:rPr>
          <w:b/>
        </w:rPr>
        <w:t xml:space="preserve">4.2.1. </w:t>
      </w:r>
      <w:r>
        <w:t>Transport darniny</w:t>
      </w:r>
    </w:p>
    <w:p w:rsidR="00ED0C0A" w:rsidRDefault="00ED0C0A" w:rsidP="00ED0C0A">
      <w:pPr>
        <w:spacing w:before="120"/>
      </w:pPr>
      <w:r>
        <w:tab/>
        <w:t>Darninę można przewozić dowolnymi środkami transportu w warunkach zabezpieczających przed obsypaniem się ziemi roślinnej i odkryciem korzonków trawy oraz przed innymi uszkodzeniami.</w:t>
      </w:r>
    </w:p>
    <w:p w:rsidR="00ED0C0A" w:rsidRDefault="00ED0C0A" w:rsidP="00ED0C0A">
      <w:pPr>
        <w:spacing w:before="120"/>
      </w:pPr>
      <w:r>
        <w:rPr>
          <w:b/>
        </w:rPr>
        <w:t xml:space="preserve">4.2.2. </w:t>
      </w:r>
      <w:r>
        <w:t>Transport nasion traw</w:t>
      </w:r>
    </w:p>
    <w:p w:rsidR="00ED0C0A" w:rsidRDefault="00ED0C0A" w:rsidP="00ED0C0A">
      <w:pPr>
        <w:spacing w:before="120"/>
      </w:pPr>
      <w:r>
        <w:tab/>
        <w:t>Nasiona traw można przewozić dowolnymi środkami transportu w warunkach zabezpieczających je przed zawilgoceniem.</w:t>
      </w:r>
    </w:p>
    <w:p w:rsidR="00ED0C0A" w:rsidRDefault="00ED0C0A" w:rsidP="00ED0C0A">
      <w:pPr>
        <w:spacing w:before="120"/>
      </w:pPr>
      <w:r>
        <w:rPr>
          <w:b/>
        </w:rPr>
        <w:t xml:space="preserve">4.2.3. </w:t>
      </w:r>
      <w:r>
        <w:t>Transport brukowca</w:t>
      </w:r>
    </w:p>
    <w:p w:rsidR="00ED0C0A" w:rsidRDefault="00ED0C0A" w:rsidP="00ED0C0A">
      <w:pPr>
        <w:spacing w:before="120"/>
      </w:pPr>
      <w:r>
        <w:tab/>
        <w:t>Brukowiec można przewozić dowolnymi środkami transportu.</w:t>
      </w:r>
    </w:p>
    <w:p w:rsidR="00ED0C0A" w:rsidRDefault="00ED0C0A" w:rsidP="00ED0C0A">
      <w:pPr>
        <w:spacing w:before="120"/>
      </w:pPr>
      <w:r>
        <w:rPr>
          <w:b/>
        </w:rPr>
        <w:t xml:space="preserve">4.2.4. </w:t>
      </w:r>
      <w:r>
        <w:t>Transport mchu</w:t>
      </w:r>
    </w:p>
    <w:p w:rsidR="00ED0C0A" w:rsidRDefault="00ED0C0A" w:rsidP="00ED0C0A">
      <w:pPr>
        <w:spacing w:before="120"/>
      </w:pPr>
      <w:r>
        <w:tab/>
        <w:t>Mech można przewozić dowolnymi środkami transportu w warunkach zabezpieczających go przed zawilgoceniem i zanieczyszczeniem.</w:t>
      </w:r>
    </w:p>
    <w:p w:rsidR="00ED0C0A" w:rsidRDefault="00ED0C0A" w:rsidP="00ED0C0A">
      <w:pPr>
        <w:spacing w:before="120"/>
      </w:pPr>
      <w:r>
        <w:rPr>
          <w:b/>
        </w:rPr>
        <w:t xml:space="preserve">4.2.5. </w:t>
      </w:r>
      <w:r>
        <w:t>Transport materiałów z drewna</w:t>
      </w:r>
    </w:p>
    <w:p w:rsidR="00ED0C0A" w:rsidRDefault="00ED0C0A" w:rsidP="00ED0C0A">
      <w:pPr>
        <w:spacing w:before="120"/>
      </w:pPr>
      <w:r>
        <w:tab/>
        <w:t>Szpilki, paliki i pale można przewozić dowolnymi środkami transportu w warunkach zabezpieczających je przed uszkodzeniami.</w:t>
      </w:r>
    </w:p>
    <w:p w:rsidR="00ED0C0A" w:rsidRDefault="00ED0C0A" w:rsidP="00ED0C0A">
      <w:pPr>
        <w:spacing w:before="120"/>
      </w:pPr>
      <w:r>
        <w:rPr>
          <w:b/>
        </w:rPr>
        <w:t xml:space="preserve">4.2.6. </w:t>
      </w:r>
      <w:r>
        <w:t>Transport kruszywa</w:t>
      </w:r>
    </w:p>
    <w:p w:rsidR="00ED0C0A" w:rsidRDefault="00ED0C0A" w:rsidP="00ED0C0A">
      <w:pPr>
        <w:spacing w:before="120"/>
      </w:pPr>
      <w:r>
        <w:tab/>
        <w:t>Kruszywo można przewozić dowolnymi środkami transportu w warunkach zabezpieczających je przed zanieczyszczeniem, zmieszaniem z innymi kruszywami                 i nadmiernym zawilgoceniem.</w:t>
      </w:r>
    </w:p>
    <w:p w:rsidR="00ED0C0A" w:rsidRDefault="00ED0C0A" w:rsidP="00ED0C0A">
      <w:pPr>
        <w:spacing w:before="120"/>
      </w:pPr>
      <w:r>
        <w:rPr>
          <w:b/>
        </w:rPr>
        <w:t xml:space="preserve">4.2.7. </w:t>
      </w:r>
      <w:r>
        <w:t>Transport cementu</w:t>
      </w:r>
    </w:p>
    <w:p w:rsidR="00ED0C0A" w:rsidRDefault="00ED0C0A" w:rsidP="00ED0C0A">
      <w:pPr>
        <w:spacing w:before="120"/>
      </w:pPr>
      <w:r>
        <w:tab/>
        <w:t>Cement należy przewozić zgodnie z wymaganiami BN-88/6731-08 [12].</w:t>
      </w:r>
    </w:p>
    <w:p w:rsidR="00ED0C0A" w:rsidRDefault="00ED0C0A" w:rsidP="00A46F82">
      <w:pPr>
        <w:numPr>
          <w:ilvl w:val="0"/>
          <w:numId w:val="217"/>
        </w:numPr>
        <w:overflowPunct w:val="0"/>
        <w:autoSpaceDE w:val="0"/>
        <w:autoSpaceDN w:val="0"/>
        <w:adjustRightInd w:val="0"/>
        <w:spacing w:before="120"/>
        <w:jc w:val="both"/>
      </w:pPr>
      <w:r>
        <w:t xml:space="preserve">Transport </w:t>
      </w:r>
      <w:proofErr w:type="spellStart"/>
      <w:r>
        <w:t>biowłókniny</w:t>
      </w:r>
      <w:proofErr w:type="spellEnd"/>
    </w:p>
    <w:p w:rsidR="00ED0C0A" w:rsidRDefault="00ED0C0A" w:rsidP="00ED0C0A">
      <w:pPr>
        <w:spacing w:before="120"/>
      </w:pPr>
      <w:r>
        <w:tab/>
      </w:r>
      <w:proofErr w:type="spellStart"/>
      <w:r>
        <w:t>Biowłókninę</w:t>
      </w:r>
      <w:proofErr w:type="spellEnd"/>
      <w:r>
        <w:t xml:space="preserve"> można przewozić dowolnymi środkami transportowymi w warunkach zabezpieczających przed zawilgoceniem.</w:t>
      </w:r>
    </w:p>
    <w:p w:rsidR="00ED0C0A" w:rsidRDefault="00ED0C0A" w:rsidP="00A46F82">
      <w:pPr>
        <w:numPr>
          <w:ilvl w:val="0"/>
          <w:numId w:val="218"/>
        </w:numPr>
        <w:overflowPunct w:val="0"/>
        <w:autoSpaceDE w:val="0"/>
        <w:autoSpaceDN w:val="0"/>
        <w:adjustRightInd w:val="0"/>
        <w:spacing w:before="120"/>
        <w:jc w:val="both"/>
      </w:pPr>
      <w:r>
        <w:t xml:space="preserve">Transport </w:t>
      </w:r>
      <w:proofErr w:type="spellStart"/>
      <w:r>
        <w:t>geosyntetyków</w:t>
      </w:r>
      <w:proofErr w:type="spellEnd"/>
    </w:p>
    <w:p w:rsidR="00ED0C0A" w:rsidRDefault="00ED0C0A" w:rsidP="00ED0C0A">
      <w:pPr>
        <w:spacing w:before="120"/>
      </w:pPr>
      <w:r>
        <w:tab/>
      </w:r>
      <w:proofErr w:type="spellStart"/>
      <w:r>
        <w:t>Geosyntetyki</w:t>
      </w:r>
      <w:proofErr w:type="spellEnd"/>
      <w: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ED0C0A" w:rsidRDefault="00ED0C0A" w:rsidP="00ED0C0A">
      <w:pPr>
        <w:spacing w:before="120"/>
      </w:pPr>
      <w:r>
        <w:rPr>
          <w:b/>
        </w:rPr>
        <w:lastRenderedPageBreak/>
        <w:t xml:space="preserve">4.2.10. </w:t>
      </w:r>
      <w:r>
        <w:t>Transport elementów prefabrykowanych</w:t>
      </w:r>
    </w:p>
    <w:p w:rsidR="00ED0C0A" w:rsidRDefault="00ED0C0A" w:rsidP="00ED0C0A">
      <w:pPr>
        <w:spacing w:before="120"/>
      </w:pPr>
      <w:r>
        <w:tab/>
        <w:t>Elementy prefabrykowane można przewozić dowolnymi środkami transportu w warunkach zabezpieczających je przed uszkodzeniami.</w:t>
      </w:r>
    </w:p>
    <w:p w:rsidR="00ED0C0A" w:rsidRDefault="00ED0C0A" w:rsidP="00ED0C0A">
      <w:r>
        <w:tab/>
        <w:t>Do transportu można przekazać elementy, w których beton osiągnął wytrzymałość co najmniej 0,75 R</w:t>
      </w:r>
      <w:r>
        <w:rPr>
          <w:vertAlign w:val="subscript"/>
        </w:rPr>
        <w:t>G</w:t>
      </w:r>
      <w:r>
        <w:t>.</w:t>
      </w:r>
    </w:p>
    <w:p w:rsidR="00ED0C0A" w:rsidRDefault="00ED0C0A" w:rsidP="00ED0C0A">
      <w:pPr>
        <w:spacing w:before="120" w:after="120"/>
      </w:pPr>
      <w:r>
        <w:rPr>
          <w:b/>
        </w:rPr>
        <w:t xml:space="preserve">4.2.11. </w:t>
      </w:r>
      <w:r>
        <w:t xml:space="preserve">Transport mieszanki do </w:t>
      </w:r>
      <w:proofErr w:type="spellStart"/>
      <w:r>
        <w:t>hydroobsiewu</w:t>
      </w:r>
      <w:proofErr w:type="spellEnd"/>
      <w:r>
        <w:t xml:space="preserve"> </w:t>
      </w:r>
    </w:p>
    <w:p w:rsidR="00ED0C0A" w:rsidRDefault="00ED0C0A" w:rsidP="00ED0C0A">
      <w:r>
        <w:tab/>
        <w:t>Osady pobierane z oczyszczalni ścieków można transportować do miejsca obsiewu:</w:t>
      </w:r>
    </w:p>
    <w:p w:rsidR="00ED0C0A" w:rsidRDefault="00ED0C0A" w:rsidP="00A46F82">
      <w:pPr>
        <w:numPr>
          <w:ilvl w:val="0"/>
          <w:numId w:val="216"/>
        </w:numPr>
        <w:overflowPunct w:val="0"/>
        <w:autoSpaceDE w:val="0"/>
        <w:autoSpaceDN w:val="0"/>
        <w:adjustRightInd w:val="0"/>
        <w:ind w:left="283" w:hanging="283"/>
        <w:jc w:val="both"/>
      </w:pPr>
      <w:r>
        <w:t>komunalnymi wozami asenizacyjnymi, o pojemności do 10,0 m</w:t>
      </w:r>
      <w:r>
        <w:rPr>
          <w:vertAlign w:val="superscript"/>
        </w:rPr>
        <w:t>3</w:t>
      </w:r>
      <w:r>
        <w:t>,</w:t>
      </w:r>
    </w:p>
    <w:p w:rsidR="00ED0C0A" w:rsidRDefault="00ED0C0A" w:rsidP="00A46F82">
      <w:pPr>
        <w:numPr>
          <w:ilvl w:val="0"/>
          <w:numId w:val="216"/>
        </w:numPr>
        <w:overflowPunct w:val="0"/>
        <w:autoSpaceDE w:val="0"/>
        <w:autoSpaceDN w:val="0"/>
        <w:adjustRightInd w:val="0"/>
        <w:ind w:left="283" w:hanging="283"/>
        <w:jc w:val="both"/>
      </w:pPr>
      <w:r>
        <w:t>rolniczymi wozami asenizacyjnymi, wyposażonymi w pompy próżniowe (na odległości do około 5 km),</w:t>
      </w:r>
    </w:p>
    <w:p w:rsidR="00ED0C0A" w:rsidRDefault="00ED0C0A" w:rsidP="00A46F82">
      <w:pPr>
        <w:numPr>
          <w:ilvl w:val="0"/>
          <w:numId w:val="216"/>
        </w:numPr>
        <w:overflowPunct w:val="0"/>
        <w:autoSpaceDE w:val="0"/>
        <w:autoSpaceDN w:val="0"/>
        <w:adjustRightInd w:val="0"/>
        <w:ind w:left="283" w:hanging="283"/>
        <w:jc w:val="both"/>
      </w:pPr>
      <w:r>
        <w:t>w specjalnych zbiornikach.</w:t>
      </w:r>
    </w:p>
    <w:p w:rsidR="00ED0C0A" w:rsidRDefault="00ED0C0A" w:rsidP="00ED0C0A">
      <w:pPr>
        <w:pStyle w:val="Nagwek1"/>
      </w:pPr>
      <w:bookmarkStart w:id="523" w:name="_Toc497107502"/>
      <w:bookmarkStart w:id="524" w:name="_Toc428243646"/>
      <w:r>
        <w:t>5. WYKONANIE ROBÓT</w:t>
      </w:r>
      <w:bookmarkEnd w:id="523"/>
      <w:bookmarkEnd w:id="524"/>
    </w:p>
    <w:p w:rsidR="00ED0C0A" w:rsidRDefault="00ED0C0A" w:rsidP="00ED0C0A">
      <w:pPr>
        <w:pStyle w:val="Nagwek2"/>
      </w:pPr>
      <w:r>
        <w:t>5.1. Ogólne zasady wykonania robót</w:t>
      </w:r>
    </w:p>
    <w:p w:rsidR="00ED0C0A" w:rsidRDefault="00ED0C0A" w:rsidP="00ED0C0A">
      <w:r>
        <w:tab/>
        <w:t>Ogólne zasady wykonania robót podano w SST D-00.00.00 „Wymagania ogólne” pkt 5.</w:t>
      </w:r>
    </w:p>
    <w:p w:rsidR="00ED0C0A" w:rsidRDefault="00ED0C0A" w:rsidP="00ED0C0A">
      <w:pPr>
        <w:pStyle w:val="Nagwek2"/>
      </w:pPr>
      <w:r>
        <w:t>5.2. Humusowanie</w:t>
      </w:r>
    </w:p>
    <w:p w:rsidR="00ED0C0A" w:rsidRDefault="00ED0C0A" w:rsidP="00ED0C0A">
      <w:r>
        <w:rPr>
          <w:b/>
        </w:rPr>
        <w:tab/>
      </w:r>
      <w:r>
        <w:t>Humusowanie powinno być wykonywane od górnej krawędzi skarpy do jej dolnej krawędzi. Warstwa ziemi urodzajnej powinna sięgać poza górną krawędź skarpy i poza podnóże skarpy nasypu od 15 do 25 cm.</w:t>
      </w:r>
    </w:p>
    <w:p w:rsidR="00ED0C0A" w:rsidRDefault="00ED0C0A" w:rsidP="00ED0C0A">
      <w:r>
        <w:tab/>
        <w:t>Grubość pokrycia ziemią urodzajną powinna wynosić od 10 do 15 cm po moletowaniu i zagęszczeniu,  w zależności od gruntu występującego na powierzchni skarpy.</w:t>
      </w:r>
    </w:p>
    <w:p w:rsidR="00ED0C0A" w:rsidRDefault="00ED0C0A" w:rsidP="00ED0C0A">
      <w:r>
        <w:tab/>
        <w:t>W celu lepszego powiązania warstwy ziemi urodzajnej z gruntem, na powierzchni skarpy należy wykonywać rowki poziome lub pod kątem 30</w:t>
      </w:r>
      <w:r>
        <w:rPr>
          <w:vertAlign w:val="superscript"/>
        </w:rPr>
        <w:t>o</w:t>
      </w:r>
      <w:r>
        <w:t xml:space="preserve"> do 45</w:t>
      </w:r>
      <w:r>
        <w:rPr>
          <w:vertAlign w:val="superscript"/>
        </w:rPr>
        <w:t>o</w:t>
      </w:r>
      <w:r>
        <w:t xml:space="preserve"> o głębokości od 3 do         5 cm, w odstępach co 0,5</w:t>
      </w:r>
      <w:r>
        <w:rPr>
          <w:b/>
        </w:rPr>
        <w:t xml:space="preserve"> </w:t>
      </w:r>
      <w:r>
        <w:t>do</w:t>
      </w:r>
      <w:r>
        <w:rPr>
          <w:b/>
        </w:rPr>
        <w:t xml:space="preserve"> </w:t>
      </w:r>
      <w:r>
        <w:t>1,0 m. Ułożoną warstwę ziemi urodzajnej należy zagrabić (</w:t>
      </w:r>
      <w:proofErr w:type="spellStart"/>
      <w:r>
        <w:t>pobronować</w:t>
      </w:r>
      <w:proofErr w:type="spellEnd"/>
      <w:r>
        <w:t>) i lekko zagęścić przez ubicie ręczne lub mechaniczne.</w:t>
      </w:r>
    </w:p>
    <w:p w:rsidR="00ED0C0A" w:rsidRDefault="00ED0C0A" w:rsidP="00ED0C0A">
      <w:pPr>
        <w:pStyle w:val="Nagwek2"/>
      </w:pPr>
      <w:r>
        <w:t>5.3. Umocnienie skarp przez obsianie trawą i roślinami motylkowatymi</w:t>
      </w:r>
    </w:p>
    <w:p w:rsidR="00ED0C0A" w:rsidRDefault="00ED0C0A" w:rsidP="00ED0C0A">
      <w:r>
        <w:tab/>
        <w:t>Proces umocnienia powierzchni skarp i rowów poprzez obsianie nasionami traw         i roślin motylkowatych polega na:</w:t>
      </w:r>
    </w:p>
    <w:p w:rsidR="00ED0C0A" w:rsidRDefault="00ED0C0A" w:rsidP="00A46F82">
      <w:pPr>
        <w:numPr>
          <w:ilvl w:val="0"/>
          <w:numId w:val="219"/>
        </w:numPr>
        <w:overflowPunct w:val="0"/>
        <w:autoSpaceDE w:val="0"/>
        <w:autoSpaceDN w:val="0"/>
        <w:adjustRightInd w:val="0"/>
        <w:jc w:val="both"/>
      </w:pPr>
      <w:r>
        <w:t>wytworzeniu na skarpie warstwy ziemi urodzajnej przez:</w:t>
      </w:r>
    </w:p>
    <w:p w:rsidR="00ED0C0A" w:rsidRDefault="00ED0C0A" w:rsidP="00A46F82">
      <w:pPr>
        <w:numPr>
          <w:ilvl w:val="0"/>
          <w:numId w:val="216"/>
        </w:numPr>
        <w:overflowPunct w:val="0"/>
        <w:autoSpaceDE w:val="0"/>
        <w:autoSpaceDN w:val="0"/>
        <w:adjustRightInd w:val="0"/>
        <w:ind w:left="567" w:hanging="283"/>
        <w:jc w:val="both"/>
      </w:pPr>
      <w:r>
        <w:t>humusowanie (patrz pkt 5.2), lub,</w:t>
      </w:r>
    </w:p>
    <w:p w:rsidR="00ED0C0A" w:rsidRDefault="00ED0C0A" w:rsidP="00A46F82">
      <w:pPr>
        <w:numPr>
          <w:ilvl w:val="0"/>
          <w:numId w:val="216"/>
        </w:numPr>
        <w:overflowPunct w:val="0"/>
        <w:autoSpaceDE w:val="0"/>
        <w:autoSpaceDN w:val="0"/>
        <w:adjustRightInd w:val="0"/>
        <w:ind w:left="567" w:hanging="283"/>
        <w:jc w:val="both"/>
      </w:pPr>
      <w:r>
        <w:t xml:space="preserve">wymieszanie gruntu skarpy z naniesionymi osadami ściekowymi za pomocą osprzętu </w:t>
      </w:r>
      <w:proofErr w:type="spellStart"/>
      <w:r>
        <w:t>agrouprawowego</w:t>
      </w:r>
      <w:proofErr w:type="spellEnd"/>
      <w:r>
        <w:t>, aby uzyskać zawartość części organicznych warstwy co najmniej 1%,</w:t>
      </w:r>
    </w:p>
    <w:p w:rsidR="00ED0C0A" w:rsidRDefault="00ED0C0A" w:rsidP="00A46F82">
      <w:pPr>
        <w:numPr>
          <w:ilvl w:val="0"/>
          <w:numId w:val="219"/>
        </w:numPr>
        <w:overflowPunct w:val="0"/>
        <w:autoSpaceDE w:val="0"/>
        <w:autoSpaceDN w:val="0"/>
        <w:adjustRightInd w:val="0"/>
        <w:jc w:val="both"/>
      </w:pPr>
      <w:r>
        <w:t>obsianiu warstwy ziemi urodzajnej kompozycjami nasion traw, roślin motylkowatych           i bylin w ilości od 18 g/m</w:t>
      </w:r>
      <w:r>
        <w:rPr>
          <w:vertAlign w:val="superscript"/>
        </w:rPr>
        <w:t>2</w:t>
      </w:r>
      <w:r>
        <w:t xml:space="preserve"> do 30 g/m</w:t>
      </w:r>
      <w:r>
        <w:rPr>
          <w:vertAlign w:val="superscript"/>
        </w:rPr>
        <w:t>2</w:t>
      </w:r>
      <w:r>
        <w:t>, dobranych odpowiednio do warunków siedliskowych (rodzaju podłoża, wystawy oraz pochylenia skarp),</w:t>
      </w:r>
    </w:p>
    <w:p w:rsidR="00ED0C0A" w:rsidRDefault="00ED0C0A" w:rsidP="00A46F82">
      <w:pPr>
        <w:numPr>
          <w:ilvl w:val="0"/>
          <w:numId w:val="219"/>
        </w:numPr>
        <w:overflowPunct w:val="0"/>
        <w:autoSpaceDE w:val="0"/>
        <w:autoSpaceDN w:val="0"/>
        <w:adjustRightInd w:val="0"/>
        <w:jc w:val="both"/>
      </w:pPr>
      <w:r>
        <w:t xml:space="preserve">naniesieniu na obsianą powierzchnię tymczasowej warstwy przeciwerozyjnej (patrz        pkt 5.4) metodą mulczowania lub </w:t>
      </w:r>
      <w:proofErr w:type="spellStart"/>
      <w:r>
        <w:t>hydromulczowania</w:t>
      </w:r>
      <w:proofErr w:type="spellEnd"/>
      <w:r>
        <w:t>.</w:t>
      </w:r>
    </w:p>
    <w:p w:rsidR="00ED0C0A" w:rsidRDefault="00ED0C0A" w:rsidP="00ED0C0A">
      <w:r>
        <w:tab/>
        <w:t>W okresach posusznych należy systematycznie zraszać wodą obsiane powierzchnie.</w:t>
      </w:r>
    </w:p>
    <w:p w:rsidR="00ED0C0A" w:rsidRDefault="00ED0C0A" w:rsidP="00ED0C0A">
      <w:pPr>
        <w:pStyle w:val="Nagwek2"/>
      </w:pPr>
      <w:r>
        <w:t>5.4. Tymczasowa warstwa przeciwerozyjna</w:t>
      </w:r>
    </w:p>
    <w:p w:rsidR="00ED0C0A" w:rsidRDefault="00ED0C0A" w:rsidP="00ED0C0A">
      <w:r>
        <w:tab/>
        <w:t>Tymczasowa warstwa przeciwerozyjna doraźnie zabezpiecza przed erozją powierzchniową do czasu przejęcia tej funkcji przez okrywę roślinną.</w:t>
      </w:r>
    </w:p>
    <w:p w:rsidR="00ED0C0A" w:rsidRDefault="00ED0C0A" w:rsidP="00ED0C0A">
      <w:r>
        <w:tab/>
        <w:t xml:space="preserve">Tymczasowa warstwa przeciwerozyjna może być wykonana z </w:t>
      </w:r>
      <w:proofErr w:type="spellStart"/>
      <w:r>
        <w:t>biowłókniny</w:t>
      </w:r>
      <w:proofErr w:type="spellEnd"/>
      <w:r>
        <w:t xml:space="preserve">, </w:t>
      </w:r>
      <w:proofErr w:type="spellStart"/>
      <w:r>
        <w:t>geosyntetyków</w:t>
      </w:r>
      <w:proofErr w:type="spellEnd"/>
      <w:r>
        <w:t xml:space="preserve">,  z płynnych osadów ściekowych, emulsji bitumicznych lub lateksowych np. metodą mulczowania lub </w:t>
      </w:r>
      <w:proofErr w:type="spellStart"/>
      <w:r>
        <w:t>hydromulczowania</w:t>
      </w:r>
      <w:proofErr w:type="spellEnd"/>
      <w:r>
        <w:t>.</w:t>
      </w:r>
    </w:p>
    <w:p w:rsidR="00ED0C0A" w:rsidRDefault="00ED0C0A" w:rsidP="00ED0C0A">
      <w:r>
        <w:tab/>
        <w:t xml:space="preserve">Mulczowanie polega na naniesieniu na powierzchnię gruntu ściółki (np. sieczki, </w:t>
      </w:r>
      <w:proofErr w:type="spellStart"/>
      <w:r>
        <w:t>stróżyn</w:t>
      </w:r>
      <w:proofErr w:type="spellEnd"/>
      <w:r>
        <w:t>, trocin, substratu torfu) z lepiszczem (np. emulsją asfaltową) w celu ochrony przed wysychaniem i erozją, w ilości od 0,03 do 0,05 kg/m</w:t>
      </w:r>
      <w:r>
        <w:rPr>
          <w:vertAlign w:val="superscript"/>
        </w:rPr>
        <w:t>2</w:t>
      </w:r>
      <w:r>
        <w:t>.</w:t>
      </w:r>
    </w:p>
    <w:p w:rsidR="00ED0C0A" w:rsidRDefault="00ED0C0A" w:rsidP="00ED0C0A">
      <w:r>
        <w:tab/>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ED0C0A" w:rsidRDefault="00ED0C0A" w:rsidP="00ED0C0A">
      <w:pPr>
        <w:pStyle w:val="Nagwek2"/>
      </w:pPr>
      <w:r>
        <w:t>5.5. Darniowanie</w:t>
      </w:r>
    </w:p>
    <w:p w:rsidR="00ED0C0A" w:rsidRDefault="00ED0C0A" w:rsidP="00ED0C0A">
      <w:r>
        <w:tab/>
        <w:t>Darniowanie należy wykonywać wczesną wiosną do końca maja oraz we wrześniu, a w razie konieczności w październiku.</w:t>
      </w:r>
    </w:p>
    <w:p w:rsidR="00ED0C0A" w:rsidRDefault="00ED0C0A" w:rsidP="00ED0C0A">
      <w:r>
        <w:tab/>
        <w:t>Powierzchnia przeznaczona do darniowania powinna być dokładnie wyrównana, a w uzasadnionych przypadkach pokryta warstwą ziemi urodzajnej.</w:t>
      </w:r>
    </w:p>
    <w:p w:rsidR="00ED0C0A" w:rsidRDefault="00ED0C0A" w:rsidP="00ED0C0A">
      <w:r>
        <w:lastRenderedPageBreak/>
        <w:tab/>
        <w:t>W okresach suchych powierzchnie darniowane należy polewać wodą w godzinach popołudniowych przez okres od 2 do 3 tygodni. Można stosować inne zabiegi chroniące darń przed wysychaniem, zaakceptowane przez Inżyniera.</w:t>
      </w:r>
    </w:p>
    <w:p w:rsidR="00ED0C0A" w:rsidRDefault="00ED0C0A" w:rsidP="00ED0C0A">
      <w:pPr>
        <w:spacing w:before="120" w:after="120"/>
      </w:pPr>
      <w:r>
        <w:rPr>
          <w:b/>
        </w:rPr>
        <w:t xml:space="preserve">5.5.1. </w:t>
      </w:r>
      <w:r>
        <w:t>Darniowanie kożuchowe</w:t>
      </w:r>
    </w:p>
    <w:p w:rsidR="00ED0C0A" w:rsidRDefault="00ED0C0A" w:rsidP="00ED0C0A">
      <w:r>
        <w:tab/>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ED0C0A" w:rsidRDefault="00ED0C0A" w:rsidP="00ED0C0A">
      <w:r>
        <w:tab/>
        <w:t>Wykonując darniowanie pod koniec okresu wegetacji oraz na skarpach o nachyleniu bardzo stromym, płaty darniny należy przybić szpilkami, w ilości nie mniejszej niż 16 szt./m</w:t>
      </w:r>
      <w:r>
        <w:rPr>
          <w:vertAlign w:val="superscript"/>
        </w:rPr>
        <w:t>3</w:t>
      </w:r>
      <w:r>
        <w:t xml:space="preserve"> i nie mniej niż 2 szt. na płat.</w:t>
      </w:r>
    </w:p>
    <w:p w:rsidR="00ED0C0A" w:rsidRDefault="00ED0C0A" w:rsidP="00ED0C0A">
      <w:pPr>
        <w:spacing w:before="120" w:after="120"/>
      </w:pPr>
      <w:r>
        <w:rPr>
          <w:b/>
        </w:rPr>
        <w:t xml:space="preserve">5.5.2. </w:t>
      </w:r>
      <w:r>
        <w:t>Darniowanie w kratę</w:t>
      </w:r>
    </w:p>
    <w:p w:rsidR="00ED0C0A" w:rsidRDefault="00ED0C0A" w:rsidP="00ED0C0A">
      <w:r>
        <w:tab/>
        <w:t>Umocnienie skarp przez darniowanie w kratę wykonuje się na wysokich nasypach (powyżej 3,5 m). Darniowanie w kratę należy wykonywać pasami nachylonymi do podstawy skarpy pod kątem 45</w:t>
      </w:r>
      <w:r>
        <w:rPr>
          <w:vertAlign w:val="superscript"/>
        </w:rPr>
        <w:t>o</w:t>
      </w:r>
      <w:r>
        <w:t>, krzyżującymi się w taki sposób, aby tworzyły nie pokryte darniną kwadraty (okienka), o wymiarach zgodnych z dokumentacją projektową i SST. Ułożone w kratę płaty darniny należy uklepać ubijakiem i przybić do podłoża szpilkami.</w:t>
      </w:r>
    </w:p>
    <w:p w:rsidR="00ED0C0A" w:rsidRDefault="00ED0C0A" w:rsidP="00ED0C0A">
      <w:r>
        <w:tab/>
        <w:t>Pola okienek powinny być obsiane mieszanką traw spełniającą wymagania PN-R-65023:1999 [9].</w:t>
      </w:r>
    </w:p>
    <w:p w:rsidR="00ED0C0A" w:rsidRDefault="00ED0C0A" w:rsidP="00ED0C0A">
      <w:pPr>
        <w:pStyle w:val="Nagwek2"/>
      </w:pPr>
      <w:r>
        <w:t>5.6. Brukowanie</w:t>
      </w:r>
    </w:p>
    <w:p w:rsidR="00ED0C0A" w:rsidRDefault="00ED0C0A" w:rsidP="00ED0C0A">
      <w:r>
        <w:tab/>
        <w:t>Umocnienie brukowcem stosuje się przy nachyleniu skarp wyższym od 1:1,5 oraz w celu zabezpieczenia przed silnym działaniem strumieni przepływającej wody.</w:t>
      </w:r>
    </w:p>
    <w:p w:rsidR="00ED0C0A" w:rsidRDefault="00ED0C0A" w:rsidP="00ED0C0A">
      <w:pPr>
        <w:spacing w:before="120" w:after="120"/>
      </w:pPr>
      <w:r>
        <w:rPr>
          <w:b/>
        </w:rPr>
        <w:t xml:space="preserve">5.6.1. </w:t>
      </w:r>
      <w:r>
        <w:t>Przygotowanie podłoża</w:t>
      </w:r>
    </w:p>
    <w:p w:rsidR="00ED0C0A" w:rsidRDefault="00ED0C0A" w:rsidP="00ED0C0A">
      <w:r>
        <w:tab/>
        <w:t>Podłoże pod brukowiec należy przygotować zgodnie z PN-S-02205:1998 [10].</w:t>
      </w:r>
    </w:p>
    <w:p w:rsidR="00ED0C0A" w:rsidRDefault="00ED0C0A" w:rsidP="00ED0C0A">
      <w:pPr>
        <w:spacing w:before="120" w:after="120"/>
      </w:pPr>
      <w:r>
        <w:rPr>
          <w:b/>
        </w:rPr>
        <w:t xml:space="preserve">5.6.2. </w:t>
      </w:r>
      <w:r>
        <w:t>Podkład</w:t>
      </w:r>
    </w:p>
    <w:p w:rsidR="00ED0C0A" w:rsidRDefault="00ED0C0A" w:rsidP="00ED0C0A">
      <w:r>
        <w:tab/>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ED0C0A" w:rsidRDefault="00ED0C0A" w:rsidP="00ED0C0A">
      <w:r>
        <w:t>Przy umocnieniu rowów i ścieków na warstwie podkładu z kruszywa można ułożyć warstwę zaprawy cementowo-piaskowej w stosunku 1:4 i grubości od 3 cm do 5 cm.</w:t>
      </w:r>
    </w:p>
    <w:p w:rsidR="00ED0C0A" w:rsidRDefault="00ED0C0A" w:rsidP="00ED0C0A">
      <w:pPr>
        <w:spacing w:before="120" w:after="120"/>
        <w:rPr>
          <w:b/>
        </w:rPr>
      </w:pPr>
    </w:p>
    <w:p w:rsidR="00ED0C0A" w:rsidRDefault="00ED0C0A" w:rsidP="00ED0C0A">
      <w:pPr>
        <w:spacing w:before="120" w:after="120"/>
        <w:rPr>
          <w:b/>
        </w:rPr>
      </w:pPr>
    </w:p>
    <w:p w:rsidR="00ED0C0A" w:rsidRDefault="00ED0C0A" w:rsidP="00ED0C0A">
      <w:pPr>
        <w:spacing w:before="120" w:after="120"/>
      </w:pPr>
      <w:r>
        <w:rPr>
          <w:b/>
        </w:rPr>
        <w:t xml:space="preserve">5.6.3. </w:t>
      </w:r>
      <w:r>
        <w:t>Krawężniki betonowe</w:t>
      </w:r>
    </w:p>
    <w:p w:rsidR="00ED0C0A" w:rsidRDefault="00ED0C0A" w:rsidP="00ED0C0A">
      <w: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ED0C0A" w:rsidRDefault="00ED0C0A" w:rsidP="00ED0C0A">
      <w:pPr>
        <w:spacing w:before="120" w:after="120"/>
      </w:pPr>
      <w:r>
        <w:rPr>
          <w:b/>
        </w:rPr>
        <w:t xml:space="preserve">5.6.4. </w:t>
      </w:r>
      <w:r>
        <w:t>Palisada</w:t>
      </w:r>
    </w:p>
    <w:p w:rsidR="00ED0C0A" w:rsidRDefault="00ED0C0A" w:rsidP="00ED0C0A">
      <w:r>
        <w:tab/>
        <w:t>Palisadę (obramowanie powierzchni brukowanej) stosuje się na gruntach słabych, plastycznych, ustępujących pod naciskiem skrajnych brukowców lub krawężników.</w:t>
      </w:r>
    </w:p>
    <w:p w:rsidR="00ED0C0A" w:rsidRDefault="00ED0C0A" w:rsidP="00ED0C0A">
      <w:r>
        <w:tab/>
        <w:t>Pale należy wbijać „pod sznur” równo z poziomem górnej warstwy bruku. Szerokość szczelin między palami nie powinna przekraczać 1 cm.</w:t>
      </w:r>
    </w:p>
    <w:p w:rsidR="00ED0C0A" w:rsidRDefault="00ED0C0A" w:rsidP="00ED0C0A">
      <w:pPr>
        <w:spacing w:before="120" w:after="120"/>
      </w:pPr>
      <w:r>
        <w:rPr>
          <w:b/>
        </w:rPr>
        <w:t xml:space="preserve">5.6.5. </w:t>
      </w:r>
      <w:r>
        <w:t>Układanie brukowca</w:t>
      </w:r>
    </w:p>
    <w:p w:rsidR="00ED0C0A" w:rsidRDefault="00ED0C0A" w:rsidP="00ED0C0A">
      <w:r>
        <w:tab/>
        <w:t xml:space="preserve">Brukowiec należy układać na przygotowanym podkładzie wg </w:t>
      </w:r>
      <w:proofErr w:type="spellStart"/>
      <w:r>
        <w:t>pktu</w:t>
      </w:r>
      <w:proofErr w:type="spellEnd"/>
      <w:r>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ED0C0A" w:rsidRDefault="00ED0C0A" w:rsidP="00ED0C0A">
      <w:r>
        <w:tab/>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ED0C0A" w:rsidRDefault="00ED0C0A" w:rsidP="00ED0C0A">
      <w:r>
        <w:lastRenderedPageBreak/>
        <w:tab/>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ED0C0A" w:rsidRDefault="00ED0C0A" w:rsidP="00ED0C0A">
      <w:pPr>
        <w:pStyle w:val="Nagwek2"/>
      </w:pPr>
      <w:r>
        <w:t>5.7. Układanie elementów prefabrykowanych</w:t>
      </w:r>
    </w:p>
    <w:p w:rsidR="00ED0C0A" w:rsidRDefault="00ED0C0A" w:rsidP="00ED0C0A">
      <w:r>
        <w:tab/>
        <w:t>Typowymi elementami prefabrykowanymi stosowanymi dla umocnienia skarp              i rowów są:</w:t>
      </w:r>
    </w:p>
    <w:p w:rsidR="00ED0C0A" w:rsidRDefault="00ED0C0A" w:rsidP="00A46F82">
      <w:pPr>
        <w:numPr>
          <w:ilvl w:val="0"/>
          <w:numId w:val="213"/>
        </w:numPr>
        <w:overflowPunct w:val="0"/>
        <w:autoSpaceDE w:val="0"/>
        <w:autoSpaceDN w:val="0"/>
        <w:adjustRightInd w:val="0"/>
        <w:jc w:val="both"/>
      </w:pPr>
      <w:r>
        <w:t>płyty ściekowe betonowe - typ korytkowy wg KPED-01.03 [14],</w:t>
      </w:r>
    </w:p>
    <w:p w:rsidR="00ED0C0A" w:rsidRDefault="00ED0C0A" w:rsidP="00A46F82">
      <w:pPr>
        <w:numPr>
          <w:ilvl w:val="0"/>
          <w:numId w:val="213"/>
        </w:numPr>
        <w:overflowPunct w:val="0"/>
        <w:autoSpaceDE w:val="0"/>
        <w:autoSpaceDN w:val="0"/>
        <w:adjustRightInd w:val="0"/>
        <w:jc w:val="both"/>
      </w:pPr>
      <w:r>
        <w:t>płyty ściekowe betonowe - typ trójkątny wg KPED-01.05 [14],</w:t>
      </w:r>
    </w:p>
    <w:p w:rsidR="00ED0C0A" w:rsidRDefault="00ED0C0A" w:rsidP="00A46F82">
      <w:pPr>
        <w:numPr>
          <w:ilvl w:val="0"/>
          <w:numId w:val="213"/>
        </w:numPr>
        <w:overflowPunct w:val="0"/>
        <w:autoSpaceDE w:val="0"/>
        <w:autoSpaceDN w:val="0"/>
        <w:adjustRightInd w:val="0"/>
        <w:jc w:val="both"/>
      </w:pPr>
      <w:r>
        <w:t>prefabrykaty ścieku skarpowego - typ trapezowy wg KPED-01.25 [14].</w:t>
      </w:r>
    </w:p>
    <w:p w:rsidR="00ED0C0A" w:rsidRDefault="00ED0C0A" w:rsidP="00A46F82">
      <w:pPr>
        <w:numPr>
          <w:ilvl w:val="0"/>
          <w:numId w:val="213"/>
        </w:numPr>
        <w:autoSpaceDN w:val="0"/>
      </w:pPr>
      <w:r>
        <w:t xml:space="preserve">Podłoże, na którym układane będą elementy prefabrykowane, powinno być zagęszczone do wskaźnika </w:t>
      </w:r>
      <w:proofErr w:type="spellStart"/>
      <w:r>
        <w:t>I</w:t>
      </w:r>
      <w:r>
        <w:rPr>
          <w:vertAlign w:val="subscript"/>
        </w:rPr>
        <w:t>s</w:t>
      </w:r>
      <w:proofErr w:type="spellEnd"/>
      <w:r>
        <w:t xml:space="preserve"> </w:t>
      </w:r>
      <w:r>
        <w:sym w:font="Courier New" w:char="F03D"/>
      </w:r>
      <w:r>
        <w:t xml:space="preserve"> 1,0. Na przygotowanym podłożu należy ułożyć podsypkę cementowo-piaskową o stosunku 1:4 i zagęścić do wskaźnika </w:t>
      </w:r>
      <w:proofErr w:type="spellStart"/>
      <w:r>
        <w:t>I</w:t>
      </w:r>
      <w:r>
        <w:rPr>
          <w:vertAlign w:val="subscript"/>
        </w:rPr>
        <w:t>s</w:t>
      </w:r>
      <w:proofErr w:type="spellEnd"/>
      <w:r>
        <w:t xml:space="preserve"> </w:t>
      </w:r>
      <w:r>
        <w:sym w:font="Courier New" w:char="F03D"/>
      </w:r>
      <w:r>
        <w:t xml:space="preserve"> 1,0. Elementy prefabrykowane należy układać z zachowaniem spadku podłużnego i rzędnych ścieku zgodnie z dokumentacją projektową lub SST.</w:t>
      </w:r>
    </w:p>
    <w:p w:rsidR="00ED0C0A" w:rsidRDefault="00ED0C0A" w:rsidP="00A46F82">
      <w:pPr>
        <w:numPr>
          <w:ilvl w:val="0"/>
          <w:numId w:val="213"/>
        </w:numPr>
        <w:autoSpaceDN w:val="0"/>
      </w:pPr>
      <w:r>
        <w:tab/>
        <w:t>Spoiny pomiędzy płytami należy wypełnić zaprawą cementowo-piaskową o stosunku 1:2 i utrzymywać w stanie wilgotnym przez co najmniej 7 dni.</w:t>
      </w:r>
    </w:p>
    <w:p w:rsidR="00ED0C0A" w:rsidRDefault="00ED0C0A" w:rsidP="00A46F82">
      <w:pPr>
        <w:pStyle w:val="Nagwek2"/>
        <w:numPr>
          <w:ilvl w:val="0"/>
          <w:numId w:val="213"/>
        </w:numPr>
        <w:autoSpaceDN w:val="0"/>
      </w:pPr>
      <w:r>
        <w:t xml:space="preserve">5.8. Umacnianie powierzchni </w:t>
      </w:r>
      <w:proofErr w:type="spellStart"/>
      <w:r>
        <w:t>biowłókniną</w:t>
      </w:r>
      <w:proofErr w:type="spellEnd"/>
    </w:p>
    <w:p w:rsidR="00ED0C0A" w:rsidRDefault="00ED0C0A" w:rsidP="00A46F82">
      <w:pPr>
        <w:numPr>
          <w:ilvl w:val="0"/>
          <w:numId w:val="213"/>
        </w:numPr>
        <w:autoSpaceDN w:val="0"/>
        <w:spacing w:after="120"/>
      </w:pPr>
      <w:r>
        <w:rPr>
          <w:b/>
        </w:rPr>
        <w:t xml:space="preserve">5.8.1. </w:t>
      </w:r>
      <w:r>
        <w:t>Zasady ogólne</w:t>
      </w:r>
    </w:p>
    <w:p w:rsidR="00ED0C0A" w:rsidRDefault="00ED0C0A" w:rsidP="00A46F82">
      <w:pPr>
        <w:numPr>
          <w:ilvl w:val="0"/>
          <w:numId w:val="213"/>
        </w:numPr>
        <w:autoSpaceDN w:val="0"/>
      </w:pPr>
      <w:r>
        <w:tab/>
        <w:t xml:space="preserve">Umacnianie powierzchni </w:t>
      </w:r>
      <w:proofErr w:type="spellStart"/>
      <w:r>
        <w:t>biowłókniną</w:t>
      </w:r>
      <w:proofErr w:type="spellEnd"/>
      <w:r>
        <w:t xml:space="preserve"> powinno odpowiadać wymaganiom PN-B-12074:1998 [4].</w:t>
      </w:r>
    </w:p>
    <w:p w:rsidR="00ED0C0A" w:rsidRDefault="00ED0C0A" w:rsidP="00A46F82">
      <w:pPr>
        <w:numPr>
          <w:ilvl w:val="0"/>
          <w:numId w:val="213"/>
        </w:numPr>
        <w:autoSpaceDN w:val="0"/>
        <w:spacing w:before="120" w:after="120"/>
      </w:pPr>
      <w:r>
        <w:rPr>
          <w:b/>
        </w:rPr>
        <w:t xml:space="preserve">5.8.2. </w:t>
      </w:r>
      <w:r>
        <w:t>Przygotowanie powierzchni</w:t>
      </w:r>
    </w:p>
    <w:p w:rsidR="00ED0C0A" w:rsidRDefault="00ED0C0A" w:rsidP="00A46F82">
      <w:pPr>
        <w:numPr>
          <w:ilvl w:val="0"/>
          <w:numId w:val="213"/>
        </w:numPr>
        <w:autoSpaceDN w:val="0"/>
      </w:pPr>
      <w:r>
        <w:t xml:space="preserve">Przygotowana powierzchnia powinna być wyrównana i oczyszczona z kamieni, korzeni, z rozkruszonymi bryłami gruntu; gleby o odczynie kwasowości </w:t>
      </w:r>
      <w:proofErr w:type="spellStart"/>
      <w:r>
        <w:t>pH</w:t>
      </w:r>
      <w:proofErr w:type="spellEnd"/>
      <w:r>
        <w:t xml:space="preserve"> &gt; 5,5 powinny być potraktowane wapnem, a nieurodzajne grunty powinny być przykryte warstwą ziemi urodzajnej 5 cm lub 8 cm w zależności od rodzaju gruntu.</w:t>
      </w:r>
    </w:p>
    <w:p w:rsidR="00ED0C0A" w:rsidRDefault="00ED0C0A" w:rsidP="00A46F82">
      <w:pPr>
        <w:numPr>
          <w:ilvl w:val="0"/>
          <w:numId w:val="213"/>
        </w:numPr>
        <w:autoSpaceDN w:val="0"/>
        <w:spacing w:before="120" w:after="120"/>
      </w:pPr>
      <w:r>
        <w:rPr>
          <w:b/>
        </w:rPr>
        <w:t xml:space="preserve">5.8.3. </w:t>
      </w:r>
      <w:r>
        <w:t xml:space="preserve">Układanie </w:t>
      </w:r>
      <w:proofErr w:type="spellStart"/>
      <w:r>
        <w:t>biowłókniny</w:t>
      </w:r>
      <w:proofErr w:type="spellEnd"/>
      <w:r>
        <w:t xml:space="preserve"> na skarpach wykopów</w:t>
      </w:r>
    </w:p>
    <w:p w:rsidR="00ED0C0A" w:rsidRDefault="00ED0C0A" w:rsidP="00A46F82">
      <w:pPr>
        <w:numPr>
          <w:ilvl w:val="0"/>
          <w:numId w:val="213"/>
        </w:numPr>
        <w:autoSpaceDN w:val="0"/>
      </w:pPr>
      <w:r>
        <w:t xml:space="preserve">Na skarpach wykopów </w:t>
      </w:r>
      <w:proofErr w:type="spellStart"/>
      <w:r>
        <w:t>biowłóknina</w:t>
      </w:r>
      <w:proofErr w:type="spellEnd"/>
      <w: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w:t>
      </w:r>
      <w:proofErr w:type="spellStart"/>
      <w:r>
        <w:t>biowłókniny</w:t>
      </w:r>
      <w:proofErr w:type="spellEnd"/>
      <w:r>
        <w:t xml:space="preserve"> powinny być układane na zakładkę szerokości 0,1 m. Wierzchołki wbitych szpilek nie powinny wystawać ponad </w:t>
      </w:r>
      <w:proofErr w:type="spellStart"/>
      <w:r>
        <w:t>biowłókninę</w:t>
      </w:r>
      <w:proofErr w:type="spellEnd"/>
      <w:r>
        <w:t xml:space="preserve"> więcej niż 2 cm. </w:t>
      </w:r>
      <w:proofErr w:type="spellStart"/>
      <w:r>
        <w:t>Biowłókninę</w:t>
      </w:r>
      <w:proofErr w:type="spellEnd"/>
      <w:r>
        <w:t xml:space="preserve"> należy rozwijać i układać luźno, zostawiając około 5% zapasu długości na kurczenie się po jej zamoczeniu. Przy umacnianiu skarp wykopów  pasem o szerokości większej niż 1,0 m, należy formować w </w:t>
      </w:r>
      <w:proofErr w:type="spellStart"/>
      <w:r>
        <w:t>biowłókninie</w:t>
      </w:r>
      <w:proofErr w:type="spellEnd"/>
      <w:r>
        <w:t xml:space="preserve"> poziome fałdy, ułatwiające zatrzymywanie się ziemi po jej przysypaniu. W przypadku szerokości skarpy większej niż 3 m, zaleca się układanie </w:t>
      </w:r>
      <w:proofErr w:type="spellStart"/>
      <w:r>
        <w:t>biowłókniny</w:t>
      </w:r>
      <w:proofErr w:type="spellEnd"/>
      <w:r>
        <w:t xml:space="preserve"> pasami pionowymi (jak na skarpach nasypów).</w:t>
      </w:r>
    </w:p>
    <w:p w:rsidR="00ED0C0A" w:rsidRDefault="00ED0C0A" w:rsidP="00A46F82">
      <w:pPr>
        <w:numPr>
          <w:ilvl w:val="0"/>
          <w:numId w:val="213"/>
        </w:numPr>
        <w:autoSpaceDN w:val="0"/>
        <w:spacing w:before="120" w:after="120"/>
      </w:pPr>
      <w:r>
        <w:rPr>
          <w:b/>
        </w:rPr>
        <w:t xml:space="preserve">5.8.4. </w:t>
      </w:r>
      <w:r>
        <w:t xml:space="preserve">Układanie </w:t>
      </w:r>
      <w:proofErr w:type="spellStart"/>
      <w:r>
        <w:t>biowłókniny</w:t>
      </w:r>
      <w:proofErr w:type="spellEnd"/>
      <w:r>
        <w:t xml:space="preserve"> na skarpach nasypów</w:t>
      </w:r>
    </w:p>
    <w:p w:rsidR="00ED0C0A" w:rsidRDefault="00ED0C0A" w:rsidP="00ED0C0A">
      <w:pPr>
        <w:ind w:firstLine="709"/>
      </w:pPr>
      <w:r>
        <w:t xml:space="preserve">Na skarpach nasypów wyrównaną powierzchnię skarpy należy pokryć warstwą ziemi urodzajnej minimum 5 cm. </w:t>
      </w:r>
      <w:proofErr w:type="spellStart"/>
      <w:r>
        <w:t>Biowłókninę</w:t>
      </w:r>
      <w:proofErr w:type="spellEnd"/>
      <w:r>
        <w:t xml:space="preserve"> należy układać prostopadle do górnej krawędzi skarpy, wykonując w  odstępach 1 m poziome fałdy </w:t>
      </w:r>
      <w:proofErr w:type="spellStart"/>
      <w:r>
        <w:t>biowłókniny</w:t>
      </w:r>
      <w:proofErr w:type="spellEnd"/>
      <w:r>
        <w:t xml:space="preserve"> szerokości 3 cm, zabezpieczające przed zsuwaniem się ziemi pokrywającej włókninę i umożliwiające kurczenie się </w:t>
      </w:r>
      <w:proofErr w:type="spellStart"/>
      <w:r>
        <w:t>biowłókniny</w:t>
      </w:r>
      <w:proofErr w:type="spellEnd"/>
      <w:r>
        <w:t xml:space="preserve"> po zamoczeniu. U podstawy oraz na koronie nasypu należy pozostawić zapas </w:t>
      </w:r>
      <w:proofErr w:type="spellStart"/>
      <w:r>
        <w:t>biowłókniny</w:t>
      </w:r>
      <w:proofErr w:type="spellEnd"/>
      <w:r>
        <w:t xml:space="preserve"> długości 0,5 m. Zapas ten należy wykorzystać do zakotwiczenia </w:t>
      </w:r>
      <w:proofErr w:type="spellStart"/>
      <w:r>
        <w:t>biowłókniny</w:t>
      </w:r>
      <w:proofErr w:type="spellEnd"/>
      <w:r>
        <w:t xml:space="preserve"> w rowkach głębokości 0,2 m. W przypadku układania </w:t>
      </w:r>
      <w:proofErr w:type="spellStart"/>
      <w:r>
        <w:t>biowłókniny</w:t>
      </w:r>
      <w:proofErr w:type="spellEnd"/>
      <w:r>
        <w:t xml:space="preserve"> na całej powierzchni nasypu kotwiczenie jej na koronie jest zbędne. </w:t>
      </w:r>
      <w:proofErr w:type="spellStart"/>
      <w:r>
        <w:t>Biowłókninę</w:t>
      </w:r>
      <w:proofErr w:type="spellEnd"/>
      <w: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t>biowłókniny</w:t>
      </w:r>
      <w:proofErr w:type="spellEnd"/>
      <w:r>
        <w:t xml:space="preserve">, ani po jej ułożeniu. Sąsiednie pasy </w:t>
      </w:r>
      <w:proofErr w:type="spellStart"/>
      <w:r>
        <w:t>biowłókniny</w:t>
      </w:r>
      <w:proofErr w:type="spellEnd"/>
      <w:r>
        <w:t xml:space="preserve"> powinny zachodzić na siebie pasem szerokości 0,1 m. W pas ten należy wbić szpilki mocujące </w:t>
      </w:r>
      <w:proofErr w:type="spellStart"/>
      <w:r>
        <w:t>biowłókninę</w:t>
      </w:r>
      <w:proofErr w:type="spellEnd"/>
      <w:r>
        <w:t xml:space="preserve"> w odstępach od 0,8 m do 1,0 m. Wierzchołki wbitych szpilek nie powinny wystawać ponad </w:t>
      </w:r>
      <w:proofErr w:type="spellStart"/>
      <w:r>
        <w:t>biowłókninę</w:t>
      </w:r>
      <w:proofErr w:type="spellEnd"/>
      <w:r>
        <w:t xml:space="preserve"> więcej niż 2 cm. W przypadku gdy nachylenie skarpy jest większe niż 1:2, a jej szerokość większa niż 3 m, oprócz szpilek zaleca się użyć kołków usytuowanych w poziomych rzędach, w środku pasów </w:t>
      </w:r>
      <w:proofErr w:type="spellStart"/>
      <w:r>
        <w:t>biowłókniny</w:t>
      </w:r>
      <w:proofErr w:type="spellEnd"/>
      <w:r>
        <w:t xml:space="preserve">. Kołki należy częściowo wbić, pozostawiając 0,1 m jego długości. Na zacięcia należy nawinąć sznurek polipropylenowy i wbić kołki równo z terenem, dociskając włókninę do skarpy. Bezpośrednio po ułożeniu i umocowaniu pasa </w:t>
      </w:r>
      <w:proofErr w:type="spellStart"/>
      <w:r>
        <w:t>biowłókniny</w:t>
      </w:r>
      <w:proofErr w:type="spellEnd"/>
      <w:r>
        <w:t xml:space="preserve"> należy przysypać ją, z drabiny, warstwą ziemi urodzajnej o miąższości od 1 cm do 2 cm.</w:t>
      </w:r>
    </w:p>
    <w:p w:rsidR="00ED0C0A" w:rsidRDefault="00ED0C0A" w:rsidP="00ED0C0A">
      <w:pPr>
        <w:spacing w:before="120" w:after="120"/>
      </w:pPr>
      <w:r>
        <w:rPr>
          <w:b/>
        </w:rPr>
        <w:t xml:space="preserve">5.8.5. </w:t>
      </w:r>
      <w:r>
        <w:t>Zabiegi pielęgnacyjne</w:t>
      </w:r>
    </w:p>
    <w:p w:rsidR="00ED0C0A" w:rsidRDefault="00ED0C0A" w:rsidP="00ED0C0A">
      <w:pPr>
        <w:ind w:firstLine="709"/>
      </w:pPr>
      <w:r>
        <w:lastRenderedPageBreak/>
        <w:t xml:space="preserve">Pielęgnacja polega na utrzymaniu w stanie wilgotnym skarp umacnianych </w:t>
      </w:r>
      <w:proofErr w:type="spellStart"/>
      <w:r>
        <w:t>biowłókniną</w:t>
      </w:r>
      <w:proofErr w:type="spellEnd"/>
      <w: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ED0C0A" w:rsidRDefault="00ED0C0A" w:rsidP="00ED0C0A">
      <w:pPr>
        <w:pStyle w:val="Nagwek2"/>
      </w:pPr>
      <w:r>
        <w:t xml:space="preserve">5.9. Umocnienie powierzchni </w:t>
      </w:r>
      <w:proofErr w:type="spellStart"/>
      <w:r>
        <w:t>geosyntetykami</w:t>
      </w:r>
      <w:proofErr w:type="spellEnd"/>
    </w:p>
    <w:p w:rsidR="00ED0C0A" w:rsidRDefault="00ED0C0A" w:rsidP="00ED0C0A">
      <w:r>
        <w:tab/>
        <w:t xml:space="preserve">Umocnienie skarp </w:t>
      </w:r>
      <w:proofErr w:type="spellStart"/>
      <w:r>
        <w:t>geosyntetykami</w:t>
      </w:r>
      <w:proofErr w:type="spellEnd"/>
      <w:r>
        <w:t xml:space="preserve"> powinno odpowiadać ustaleniom dokumentacji projektowej.</w:t>
      </w:r>
    </w:p>
    <w:p w:rsidR="00ED0C0A" w:rsidRDefault="00ED0C0A" w:rsidP="00ED0C0A">
      <w:r>
        <w:tab/>
        <w:t xml:space="preserve">Ułożenie </w:t>
      </w:r>
      <w:proofErr w:type="spellStart"/>
      <w:r>
        <w:t>geosyntetyków</w:t>
      </w:r>
      <w:proofErr w:type="spellEnd"/>
      <w:r>
        <w:t xml:space="preserve"> na skarpie powinno być zgodne z zaleceniami producenta i aprobaty technicznej, a w przypadku ich braku lub niepełnych danych - zgodne ze wskazaniami podanymi w dalszym ciągu.</w:t>
      </w:r>
    </w:p>
    <w:p w:rsidR="00ED0C0A" w:rsidRDefault="00ED0C0A" w:rsidP="00ED0C0A">
      <w:r>
        <w:tab/>
        <w:t xml:space="preserve">Folię, w którą są zapakowane rolki </w:t>
      </w:r>
      <w:proofErr w:type="spellStart"/>
      <w:r>
        <w:t>geosyntetyków</w:t>
      </w:r>
      <w:proofErr w:type="spellEnd"/>
      <w:r>
        <w:t>, zaleca się zdejmować bezpośrednio przed układaniem. W celu uzyskania mniejszej szerokości rolki można ją przeciąć piłą.</w:t>
      </w:r>
    </w:p>
    <w:p w:rsidR="00ED0C0A" w:rsidRDefault="00ED0C0A" w:rsidP="00ED0C0A">
      <w:r>
        <w:tab/>
        <w:t xml:space="preserve">Z powierzchni skarpy należy usunąć przedmioty mogące spowodować uszkodzenie </w:t>
      </w:r>
      <w:proofErr w:type="spellStart"/>
      <w:r>
        <w:t>geosyntetyków</w:t>
      </w:r>
      <w:proofErr w:type="spellEnd"/>
      <w:r>
        <w:t>, np. gałęzie, korzenie, gruz, ostre ziarna tłucznia, grudy, bryły gruntu spoistego itp. Powierzchnia skarpy powinna być wyrównana, zwłaszcza należy wypełnić zagłębienia i wyrwy powstałe po rozmyciu przez deszcz.</w:t>
      </w:r>
    </w:p>
    <w:p w:rsidR="00ED0C0A" w:rsidRDefault="00ED0C0A" w:rsidP="00ED0C0A">
      <w: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ED0C0A" w:rsidRDefault="00ED0C0A" w:rsidP="00ED0C0A">
      <w:r>
        <w:tab/>
      </w:r>
      <w:proofErr w:type="spellStart"/>
      <w:r>
        <w:t>Geosyntetyki</w:t>
      </w:r>
      <w:proofErr w:type="spellEnd"/>
      <w:r>
        <w:t xml:space="preserve"> na skarpach można układać ręcznie, za pomocą żurawia lub przez  rozwijanie ze szpuli. Po ułożeniu, jak również przy silnym wietrze w czasie układania, </w:t>
      </w:r>
      <w:proofErr w:type="spellStart"/>
      <w:r>
        <w:t>geosyntetyki</w:t>
      </w:r>
      <w:proofErr w:type="spellEnd"/>
      <w: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t>geosyntetyków</w:t>
      </w:r>
      <w:proofErr w:type="spellEnd"/>
      <w:r>
        <w:t xml:space="preserve"> do gruntu, można tego dokonać np. szpilkami (stalowymi, z tworzywa sztucznego), klamrami lub gwoździami wbijanymi przez podkładkę w paliki uprzednio umieszczone w gruncie.</w:t>
      </w:r>
    </w:p>
    <w:p w:rsidR="00ED0C0A" w:rsidRDefault="00ED0C0A" w:rsidP="00ED0C0A">
      <w:r>
        <w:tab/>
        <w:t xml:space="preserve">Układanie </w:t>
      </w:r>
      <w:proofErr w:type="spellStart"/>
      <w:r>
        <w:t>geosyntetyków</w:t>
      </w:r>
      <w:proofErr w:type="spellEnd"/>
      <w:r>
        <w:t xml:space="preserve"> na skarpie można wykonywać, w zależności od zaleceń producenta:</w:t>
      </w:r>
    </w:p>
    <w:p w:rsidR="00ED0C0A" w:rsidRDefault="00ED0C0A" w:rsidP="00A46F82">
      <w:pPr>
        <w:numPr>
          <w:ilvl w:val="0"/>
          <w:numId w:val="220"/>
        </w:numPr>
        <w:overflowPunct w:val="0"/>
        <w:autoSpaceDE w:val="0"/>
        <w:autoSpaceDN w:val="0"/>
        <w:adjustRightInd w:val="0"/>
        <w:jc w:val="both"/>
      </w:pPr>
      <w:r>
        <w:t>równolegle do krawędzi skarpy, rozpoczynając od dołu skarpy ku górze, zwracając uwagę, aby pasmo leżące wyżej przykrywało pasmo leżące niżej,</w:t>
      </w:r>
    </w:p>
    <w:p w:rsidR="00ED0C0A" w:rsidRDefault="00ED0C0A" w:rsidP="00A46F82">
      <w:pPr>
        <w:numPr>
          <w:ilvl w:val="0"/>
          <w:numId w:val="220"/>
        </w:numPr>
        <w:overflowPunct w:val="0"/>
        <w:autoSpaceDE w:val="0"/>
        <w:autoSpaceDN w:val="0"/>
        <w:adjustRightInd w:val="0"/>
        <w:jc w:val="both"/>
      </w:pPr>
      <w:r>
        <w:t>od góry ku dołowi, rozwijając rulony po linii największego spadku z odpowiednimi zakładkami, zwykle kotwiąc je u góry i dołu skarpy w rowach kotwiących, wypełnionych zagęszczonym gruntem.</w:t>
      </w:r>
    </w:p>
    <w:p w:rsidR="00ED0C0A" w:rsidRDefault="00ED0C0A" w:rsidP="00ED0C0A">
      <w:r>
        <w:tab/>
        <w:t xml:space="preserve">Przy układaniu </w:t>
      </w:r>
      <w:proofErr w:type="spellStart"/>
      <w:r>
        <w:t>geosyntetyków</w:t>
      </w:r>
      <w:proofErr w:type="spellEnd"/>
      <w:r>
        <w:t xml:space="preserve"> należy unikać jakichkolwiek przeciągań lub przesunięć rozwiniętej beli, mogących spowodować uszkodzenie materiału.</w:t>
      </w:r>
    </w:p>
    <w:p w:rsidR="00ED0C0A" w:rsidRDefault="00ED0C0A" w:rsidP="00ED0C0A">
      <w:r>
        <w:tab/>
        <w:t xml:space="preserve">Połączenia rozwiniętych rulonów powinny być wykonane zgodnie z zaleceniami producenta </w:t>
      </w:r>
      <w:proofErr w:type="spellStart"/>
      <w:r>
        <w:t>geotekstylii</w:t>
      </w:r>
      <w:proofErr w:type="spellEnd"/>
      <w:r>
        <w:t>, w postaci: luźnego zakładu o ustalonej jego szerokości lub zszycia, zgrzewania, sklejenia, klamrowania, szpilkowania itp.</w:t>
      </w:r>
    </w:p>
    <w:p w:rsidR="00ED0C0A" w:rsidRDefault="00ED0C0A" w:rsidP="00ED0C0A">
      <w:r>
        <w:tab/>
        <w:t xml:space="preserve">Zależnie od rodzaju materiału, </w:t>
      </w:r>
      <w:proofErr w:type="spellStart"/>
      <w:r>
        <w:t>geosyntetyk</w:t>
      </w:r>
      <w:proofErr w:type="spellEnd"/>
      <w:r>
        <w:t xml:space="preserve"> układa się, zgodnie z instrukcją producenta, przed lub po naniesieniu humusu i obsiewie wykonanymi według punktów 5.2   i 5.3, lub </w:t>
      </w:r>
      <w:proofErr w:type="spellStart"/>
      <w:r>
        <w:t>hydroobsiewie</w:t>
      </w:r>
      <w:proofErr w:type="spellEnd"/>
      <w:r>
        <w:t xml:space="preserve"> według punktu 5.10.</w:t>
      </w:r>
    </w:p>
    <w:p w:rsidR="00ED0C0A" w:rsidRDefault="00ED0C0A" w:rsidP="00ED0C0A">
      <w:pPr>
        <w:pStyle w:val="Nagwek2"/>
      </w:pPr>
      <w:r>
        <w:t xml:space="preserve">5.10. Wykonanie </w:t>
      </w:r>
      <w:proofErr w:type="spellStart"/>
      <w:r>
        <w:t>hydroobsiewu</w:t>
      </w:r>
      <w:proofErr w:type="spellEnd"/>
    </w:p>
    <w:p w:rsidR="00ED0C0A" w:rsidRDefault="00ED0C0A" w:rsidP="00ED0C0A">
      <w:r>
        <w:tab/>
      </w:r>
      <w:proofErr w:type="spellStart"/>
      <w:r>
        <w:t>Hydroobsiew</w:t>
      </w:r>
      <w:proofErr w:type="spellEnd"/>
      <w:r>
        <w:t xml:space="preserve"> może być wykonywany wyłącznie przez przedsiębiorstwa posiadające doświadczenie w tej technologii umacniania skarp i rowów.</w:t>
      </w:r>
    </w:p>
    <w:p w:rsidR="00ED0C0A" w:rsidRDefault="00ED0C0A" w:rsidP="00ED0C0A">
      <w:r>
        <w:tab/>
        <w:t xml:space="preserve">Materiały używane do </w:t>
      </w:r>
      <w:proofErr w:type="spellStart"/>
      <w:r>
        <w:t>hydroobsiewu</w:t>
      </w:r>
      <w:proofErr w:type="spellEnd"/>
      <w:r>
        <w:t xml:space="preserve"> powinny odpowiadać wymaganiom </w:t>
      </w:r>
      <w:proofErr w:type="spellStart"/>
      <w:r>
        <w:t>pktu</w:t>
      </w:r>
      <w:proofErr w:type="spellEnd"/>
      <w:r>
        <w:t xml:space="preserve"> 2,       a sprzęt - </w:t>
      </w:r>
      <w:proofErr w:type="spellStart"/>
      <w:r>
        <w:t>pktu</w:t>
      </w:r>
      <w:proofErr w:type="spellEnd"/>
      <w:r>
        <w:t xml:space="preserve"> 3.</w:t>
      </w:r>
    </w:p>
    <w:p w:rsidR="00ED0C0A" w:rsidRDefault="00ED0C0A" w:rsidP="00ED0C0A">
      <w:r>
        <w:tab/>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t>hydroobsiewu</w:t>
      </w:r>
      <w:proofErr w:type="spellEnd"/>
      <w: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Pr>
          <w:vertAlign w:val="superscript"/>
        </w:rPr>
        <w:t>2</w:t>
      </w:r>
      <w:r>
        <w:t>, zlokalizowanych na zacienionej (np. północnej) i niezacienionej (np. południowej) skarpie.</w:t>
      </w:r>
    </w:p>
    <w:p w:rsidR="00ED0C0A" w:rsidRDefault="00ED0C0A" w:rsidP="00ED0C0A">
      <w:r>
        <w:tab/>
      </w:r>
      <w:proofErr w:type="spellStart"/>
      <w:r>
        <w:t>Hydroobsiewu</w:t>
      </w:r>
      <w:proofErr w:type="spellEnd"/>
      <w:r>
        <w:t xml:space="preserve"> przy użyciu osadów ściekowych nie można wykonywać w strefach ujęć wody oraz w odległości mniejszej niż 20 m od budynków i kąpielisk.</w:t>
      </w:r>
    </w:p>
    <w:p w:rsidR="00ED0C0A" w:rsidRDefault="00ED0C0A" w:rsidP="00ED0C0A">
      <w:r>
        <w:tab/>
      </w:r>
      <w:proofErr w:type="spellStart"/>
      <w:r>
        <w:t>Hydroobsiew</w:t>
      </w:r>
      <w:proofErr w:type="spellEnd"/>
      <w:r>
        <w:t xml:space="preserve"> powinien być wykonany możliwie w najkrótszym czasie po zakończeniu robót ziemnych, w okresie od 1 kwietnia do 15 października oraz, w razie potrzeby,  tuż po pierwszych jesiennych przymrozkach.</w:t>
      </w:r>
    </w:p>
    <w:p w:rsidR="00ED0C0A" w:rsidRDefault="00ED0C0A" w:rsidP="00ED0C0A">
      <w:r>
        <w:tab/>
      </w:r>
      <w:proofErr w:type="spellStart"/>
      <w:r>
        <w:t>Hydroobsiew</w:t>
      </w:r>
      <w:proofErr w:type="spellEnd"/>
      <w:r>
        <w:t xml:space="preserve"> należy wykonywać przy obsiewie:</w:t>
      </w:r>
    </w:p>
    <w:p w:rsidR="00ED0C0A" w:rsidRDefault="00ED0C0A" w:rsidP="00A46F82">
      <w:pPr>
        <w:numPr>
          <w:ilvl w:val="0"/>
          <w:numId w:val="221"/>
        </w:numPr>
        <w:overflowPunct w:val="0"/>
        <w:autoSpaceDE w:val="0"/>
        <w:autoSpaceDN w:val="0"/>
        <w:adjustRightInd w:val="0"/>
        <w:jc w:val="both"/>
      </w:pPr>
      <w:r>
        <w:t>gruntów humusowanych i żyznych - z zastosowaniem uwodnionej dawki osadów ściekowych (min. 12 l/m</w:t>
      </w:r>
      <w:r>
        <w:rPr>
          <w:vertAlign w:val="superscript"/>
        </w:rPr>
        <w:t>2</w:t>
      </w:r>
      <w:r>
        <w:t>) o zawartości  4-6% suchej masy, z dodatkiem ściółki i nasion (min. 0,03 kg/m</w:t>
      </w:r>
      <w:r>
        <w:rPr>
          <w:vertAlign w:val="superscript"/>
        </w:rPr>
        <w:t>2</w:t>
      </w:r>
      <w:r>
        <w:t xml:space="preserve"> suchej masy),</w:t>
      </w:r>
    </w:p>
    <w:p w:rsidR="00ED0C0A" w:rsidRDefault="00ED0C0A" w:rsidP="00A46F82">
      <w:pPr>
        <w:numPr>
          <w:ilvl w:val="0"/>
          <w:numId w:val="221"/>
        </w:numPr>
        <w:overflowPunct w:val="0"/>
        <w:autoSpaceDE w:val="0"/>
        <w:autoSpaceDN w:val="0"/>
        <w:adjustRightInd w:val="0"/>
        <w:jc w:val="both"/>
      </w:pPr>
      <w:r>
        <w:t xml:space="preserve">gruntów ubogich i </w:t>
      </w:r>
      <w:proofErr w:type="spellStart"/>
      <w:r>
        <w:t>bezglebowych</w:t>
      </w:r>
      <w:proofErr w:type="spellEnd"/>
      <w:r>
        <w:t>, z dawką odwodnionych osadów ściekowych zwiększoną do 30 l/m</w:t>
      </w:r>
      <w:r>
        <w:rPr>
          <w:vertAlign w:val="superscript"/>
        </w:rPr>
        <w:t>2</w:t>
      </w:r>
      <w:r>
        <w:t xml:space="preserve"> przy zawartości 5-10% suchej masy.</w:t>
      </w:r>
    </w:p>
    <w:p w:rsidR="00ED0C0A" w:rsidRDefault="00ED0C0A" w:rsidP="00ED0C0A">
      <w:proofErr w:type="spellStart"/>
      <w:r>
        <w:lastRenderedPageBreak/>
        <w:t>Hydroobsiew</w:t>
      </w:r>
      <w:proofErr w:type="spellEnd"/>
      <w:r>
        <w:t xml:space="preserve"> w zasadzie nie wymaga podlewania w czasie kiełkowania nasion i w okresie początkowego rozwoju roślin. Podlewanie może być potrzebne podczas długotrwałej suszy oraz ewentualnie, gdy wymagany jest szybki efekt </w:t>
      </w:r>
      <w:proofErr w:type="spellStart"/>
      <w:r>
        <w:t>porSSTu</w:t>
      </w:r>
      <w:proofErr w:type="spellEnd"/>
      <w:r>
        <w:t xml:space="preserve"> traw.</w:t>
      </w:r>
    </w:p>
    <w:p w:rsidR="00ED0C0A" w:rsidRDefault="00ED0C0A" w:rsidP="00ED0C0A">
      <w:r>
        <w:tab/>
        <w:t>Do zabiegów pielęgnacyjnych (</w:t>
      </w:r>
      <w:proofErr w:type="spellStart"/>
      <w:r>
        <w:t>pratotechnicznych</w:t>
      </w:r>
      <w:proofErr w:type="spellEnd"/>
      <w:r>
        <w:t>) należy: koszenie (po wschodach), użyźnianie (np. nawozami azotowymi do 100 kg/ha) oraz ścinanie nierówności, kęp oraz kretowisk oraz nawadnianie w okresach suszy.</w:t>
      </w:r>
    </w:p>
    <w:p w:rsidR="00ED0C0A" w:rsidRDefault="00ED0C0A" w:rsidP="00ED0C0A">
      <w:pPr>
        <w:pStyle w:val="Nagwek1"/>
      </w:pPr>
      <w:bookmarkStart w:id="525" w:name="_Toc497107503"/>
      <w:bookmarkStart w:id="526" w:name="_Toc428243647"/>
      <w:r>
        <w:t>6. KONTROLA JAKOŚCI ROBÓT</w:t>
      </w:r>
      <w:bookmarkEnd w:id="525"/>
      <w:bookmarkEnd w:id="526"/>
    </w:p>
    <w:p w:rsidR="00ED0C0A" w:rsidRDefault="00ED0C0A" w:rsidP="00ED0C0A">
      <w:pPr>
        <w:pStyle w:val="Nagwek2"/>
      </w:pPr>
      <w:r>
        <w:t>6.1. Ogólne zasady kontroli jakości robót</w:t>
      </w:r>
    </w:p>
    <w:p w:rsidR="00ED0C0A" w:rsidRDefault="00ED0C0A" w:rsidP="00ED0C0A">
      <w:r>
        <w:tab/>
        <w:t>Ogólne zasady kontroli jakości robót podano w SST D-00.00.00 „Wymagania ogólne” pkt 6.</w:t>
      </w:r>
    </w:p>
    <w:p w:rsidR="00ED0C0A" w:rsidRDefault="00ED0C0A" w:rsidP="00ED0C0A">
      <w:pPr>
        <w:pStyle w:val="Nagwek2"/>
      </w:pPr>
      <w:r>
        <w:t>6.2. Kontrola jakości humusowania i obsiania</w:t>
      </w:r>
    </w:p>
    <w:p w:rsidR="00ED0C0A" w:rsidRDefault="00ED0C0A" w:rsidP="00ED0C0A">
      <w:r>
        <w:tab/>
        <w:t>Kontrola polega na ocenie wizualnej jakości wykonanych robót i ich zgodności z SST, oraz na sprawdzeniu daty ważności świadectwa wartości siewnej wysianej mieszanki nasion traw.</w:t>
      </w:r>
    </w:p>
    <w:p w:rsidR="00ED0C0A" w:rsidRDefault="00ED0C0A" w:rsidP="00ED0C0A">
      <w:r>
        <w:tab/>
        <w:t xml:space="preserve">Po wzejściu roślin, łączna powierzchnia nie porośniętych miejsc nie powinna być większa niż 2% powierzchni obsianej skarpy, a maksymalny wymiar pojedynczych nie </w:t>
      </w:r>
      <w:proofErr w:type="spellStart"/>
      <w:r>
        <w:t>zatrawionych</w:t>
      </w:r>
      <w:proofErr w:type="spellEnd"/>
      <w:r>
        <w:t xml:space="preserve"> miejsc nie powinien przekraczać 0,2 m</w:t>
      </w:r>
      <w:r>
        <w:rPr>
          <w:vertAlign w:val="superscript"/>
        </w:rPr>
        <w:t>2</w:t>
      </w:r>
      <w:r>
        <w:t>. Na zarośniętej powierzchni nie mogą występować wyżłobienia erozyjne ani lokalne zsuwy.</w:t>
      </w:r>
    </w:p>
    <w:p w:rsidR="00ED0C0A" w:rsidRDefault="00ED0C0A" w:rsidP="00ED0C0A">
      <w:pPr>
        <w:pStyle w:val="Nagwek2"/>
      </w:pPr>
      <w:r>
        <w:t>6.3. Kontrola jakości darniowania</w:t>
      </w:r>
    </w:p>
    <w:p w:rsidR="00ED0C0A" w:rsidRDefault="00ED0C0A" w:rsidP="00ED0C0A">
      <w:r>
        <w:tab/>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ED0C0A" w:rsidRDefault="00ED0C0A" w:rsidP="00ED0C0A">
      <w:r>
        <w:tab/>
        <w:t>Na powierzchni ok. 1 m</w:t>
      </w:r>
      <w:r>
        <w:rPr>
          <w:vertAlign w:val="superscript"/>
        </w:rPr>
        <w:t>2</w:t>
      </w:r>
      <w:r>
        <w:t xml:space="preserve">  należy sprawdzić dokładność przylegania poszczególnych płatów darniny do siebie i do powierzchni gruntu.</w:t>
      </w:r>
    </w:p>
    <w:p w:rsidR="00ED0C0A" w:rsidRDefault="00ED0C0A" w:rsidP="00ED0C0A">
      <w:pPr>
        <w:pStyle w:val="Nagwek2"/>
      </w:pPr>
      <w:r>
        <w:t>6.4. Kontrola jakości brukowania</w:t>
      </w:r>
    </w:p>
    <w:p w:rsidR="00ED0C0A" w:rsidRDefault="00ED0C0A" w:rsidP="00ED0C0A">
      <w:r>
        <w:rPr>
          <w:b/>
        </w:rPr>
        <w:tab/>
      </w:r>
      <w:r>
        <w:t>Kontrola polega na rozebraniu ok. 1 m</w:t>
      </w:r>
      <w:r>
        <w:rPr>
          <w:vertAlign w:val="superscript"/>
        </w:rPr>
        <w:t>2</w:t>
      </w:r>
      <w:r>
        <w:t xml:space="preserve"> powierzchni zabrukowanej i ponownym zabrukowaniu tym samym brukowcem. Ścisłość ułożenia uważa się za dostateczną, jeśli przy ponownym zabrukowaniu rozebranej powierzchni zostanie nie więcej niż 4% powierzchni niezabrukowanej.</w:t>
      </w:r>
    </w:p>
    <w:p w:rsidR="00ED0C0A" w:rsidRDefault="00ED0C0A" w:rsidP="00ED0C0A">
      <w:pPr>
        <w:pStyle w:val="Nagwek2"/>
      </w:pPr>
      <w:r>
        <w:t>6.5. Kontrola jakości umocnień elementami prefabrykowanymi</w:t>
      </w:r>
    </w:p>
    <w:p w:rsidR="00ED0C0A" w:rsidRDefault="00ED0C0A" w:rsidP="00ED0C0A">
      <w:r>
        <w:tab/>
        <w:t>Kontrola polega na sprawdzeniu:</w:t>
      </w:r>
    </w:p>
    <w:p w:rsidR="00ED0C0A" w:rsidRDefault="00ED0C0A" w:rsidP="00A46F82">
      <w:pPr>
        <w:numPr>
          <w:ilvl w:val="0"/>
          <w:numId w:val="213"/>
        </w:numPr>
        <w:overflowPunct w:val="0"/>
        <w:autoSpaceDE w:val="0"/>
        <w:autoSpaceDN w:val="0"/>
        <w:adjustRightInd w:val="0"/>
        <w:jc w:val="both"/>
      </w:pPr>
      <w:r>
        <w:t xml:space="preserve">wskaźnika zagęszczenia gruntu w korycie - zgodnego z </w:t>
      </w:r>
      <w:proofErr w:type="spellStart"/>
      <w:r>
        <w:t>pktem</w:t>
      </w:r>
      <w:proofErr w:type="spellEnd"/>
      <w:r>
        <w:t xml:space="preserve"> 5.7,</w:t>
      </w:r>
    </w:p>
    <w:p w:rsidR="00ED0C0A" w:rsidRDefault="00ED0C0A" w:rsidP="00A46F82">
      <w:pPr>
        <w:numPr>
          <w:ilvl w:val="0"/>
          <w:numId w:val="213"/>
        </w:numPr>
        <w:overflowPunct w:val="0"/>
        <w:autoSpaceDE w:val="0"/>
        <w:autoSpaceDN w:val="0"/>
        <w:adjustRightInd w:val="0"/>
        <w:jc w:val="both"/>
      </w:pPr>
      <w:r>
        <w:t xml:space="preserve">szerokości dna koryta - dopuszczalna odchyłka </w:t>
      </w:r>
      <w:r>
        <w:sym w:font="Symbol" w:char="F0B1"/>
      </w:r>
      <w:r>
        <w:t xml:space="preserve"> 2 cm,</w:t>
      </w:r>
    </w:p>
    <w:p w:rsidR="00ED0C0A" w:rsidRDefault="00ED0C0A" w:rsidP="00A46F82">
      <w:pPr>
        <w:numPr>
          <w:ilvl w:val="0"/>
          <w:numId w:val="213"/>
        </w:numPr>
        <w:overflowPunct w:val="0"/>
        <w:autoSpaceDE w:val="0"/>
        <w:autoSpaceDN w:val="0"/>
        <w:adjustRightInd w:val="0"/>
        <w:jc w:val="both"/>
      </w:pPr>
      <w:r>
        <w:t xml:space="preserve">odchylenia linii ścieku w planie od linii projektowanej - na 100 m dopuszczalne </w:t>
      </w:r>
      <w:r>
        <w:sym w:font="Symbol" w:char="F0B1"/>
      </w:r>
      <w:r>
        <w:t xml:space="preserve"> 1 cm,</w:t>
      </w:r>
    </w:p>
    <w:p w:rsidR="00ED0C0A" w:rsidRDefault="00ED0C0A" w:rsidP="00A46F82">
      <w:pPr>
        <w:numPr>
          <w:ilvl w:val="0"/>
          <w:numId w:val="213"/>
        </w:numPr>
        <w:overflowPunct w:val="0"/>
        <w:autoSpaceDE w:val="0"/>
        <w:autoSpaceDN w:val="0"/>
        <w:adjustRightInd w:val="0"/>
        <w:jc w:val="both"/>
      </w:pPr>
      <w:r>
        <w:t>równości górnej powierzchni ścieku - na 100 m dopuszczalny prześwit mierzony łatą           2 m - 1 cm,</w:t>
      </w:r>
    </w:p>
    <w:p w:rsidR="00ED0C0A" w:rsidRDefault="00ED0C0A" w:rsidP="00A46F82">
      <w:pPr>
        <w:numPr>
          <w:ilvl w:val="0"/>
          <w:numId w:val="213"/>
        </w:numPr>
        <w:overflowPunct w:val="0"/>
        <w:autoSpaceDE w:val="0"/>
        <w:autoSpaceDN w:val="0"/>
        <w:adjustRightInd w:val="0"/>
        <w:jc w:val="both"/>
      </w:pPr>
      <w:r>
        <w:t>dokładności wypełnienia szczelin między prefabrykatami - pełna głębokość.</w:t>
      </w:r>
    </w:p>
    <w:p w:rsidR="00ED0C0A" w:rsidRDefault="00ED0C0A" w:rsidP="00ED0C0A">
      <w:pPr>
        <w:pStyle w:val="Nagwek2"/>
      </w:pPr>
      <w:r>
        <w:t xml:space="preserve">6.6. Kontrola jakości umocnienia powierzchni </w:t>
      </w:r>
      <w:proofErr w:type="spellStart"/>
      <w:r>
        <w:t>biowłókniną</w:t>
      </w:r>
      <w:proofErr w:type="spellEnd"/>
    </w:p>
    <w:p w:rsidR="00ED0C0A" w:rsidRDefault="00ED0C0A" w:rsidP="00ED0C0A">
      <w:r>
        <w:tab/>
        <w:t xml:space="preserve">Przed wykonaniem robót Wykonawca powinien przedstawić Inżynierowi atest wyrobu, stwierdzający charakterystykę, skład mieszanki nasion roślin i typ siedliska, dla którego przeznaczona jest </w:t>
      </w:r>
      <w:proofErr w:type="spellStart"/>
      <w:r>
        <w:t>biowłóknina</w:t>
      </w:r>
      <w:proofErr w:type="spellEnd"/>
      <w:r>
        <w:t>.</w:t>
      </w:r>
    </w:p>
    <w:p w:rsidR="00ED0C0A" w:rsidRDefault="00ED0C0A" w:rsidP="00ED0C0A">
      <w:r>
        <w:tab/>
        <w:t>Kontrola umocnionej powierzchni polega na wykonaniu oględzin zewnętrznych          i badaniach zgodnych z wymaganiami PN-B-12074:1998 [4].</w:t>
      </w:r>
    </w:p>
    <w:p w:rsidR="00ED0C0A" w:rsidRDefault="00ED0C0A" w:rsidP="00ED0C0A">
      <w:pPr>
        <w:pStyle w:val="Nagwek2"/>
      </w:pPr>
      <w:r>
        <w:t xml:space="preserve">6.7. Kontrola jakości umocnienia powierzchni </w:t>
      </w:r>
      <w:proofErr w:type="spellStart"/>
      <w:r>
        <w:t>geosyntetykami</w:t>
      </w:r>
      <w:proofErr w:type="spellEnd"/>
    </w:p>
    <w:p w:rsidR="00ED0C0A" w:rsidRDefault="00ED0C0A" w:rsidP="00ED0C0A">
      <w:r>
        <w:tab/>
        <w:t>Przed wykonaniem robót Wykonawca powinien przedstawić Inżynierowi dokumenty dopuszczające wyroby budowlane (</w:t>
      </w:r>
      <w:proofErr w:type="spellStart"/>
      <w:r>
        <w:t>geosyntetyk</w:t>
      </w:r>
      <w:proofErr w:type="spellEnd"/>
      <w:r>
        <w:t>) do obrotu i powszechnego stosowania (dotyczy aprobaty technicznej, certyfikatu, deklaracji zgodności).</w:t>
      </w:r>
    </w:p>
    <w:p w:rsidR="00ED0C0A" w:rsidRDefault="00ED0C0A" w:rsidP="00ED0C0A">
      <w:r>
        <w:tab/>
        <w:t xml:space="preserve">Wszystkie nadesłane materiały </w:t>
      </w:r>
      <w:proofErr w:type="spellStart"/>
      <w:r>
        <w:t>geotekstylne</w:t>
      </w:r>
      <w:proofErr w:type="spellEnd"/>
      <w:r>
        <w:t xml:space="preserve"> należy sprawdzić w zakresie widocznych wad technologicznych i uszkodzeń mechanicznych, decydując o ich ewentualnym zastosowaniu po usunięciu wad (np. przez nałożenie lub naszycie łat z zakładem).</w:t>
      </w:r>
    </w:p>
    <w:p w:rsidR="00ED0C0A" w:rsidRDefault="00ED0C0A" w:rsidP="00ED0C0A">
      <w:r>
        <w:tab/>
        <w:t>W czasie wykonywania robót należy sprawdzać:</w:t>
      </w:r>
    </w:p>
    <w:p w:rsidR="00ED0C0A" w:rsidRDefault="00ED0C0A" w:rsidP="00ED0C0A">
      <w:pPr>
        <w:numPr>
          <w:ilvl w:val="0"/>
          <w:numId w:val="97"/>
        </w:numPr>
        <w:overflowPunct w:val="0"/>
        <w:autoSpaceDE w:val="0"/>
        <w:autoSpaceDN w:val="0"/>
        <w:adjustRightInd w:val="0"/>
        <w:jc w:val="both"/>
      </w:pPr>
      <w:r>
        <w:t xml:space="preserve">wyrównanie podłoża i usunięcie z niego przedmiotów mogących uszkadzać </w:t>
      </w:r>
      <w:proofErr w:type="spellStart"/>
      <w:r>
        <w:t>geosyntetyki</w:t>
      </w:r>
      <w:proofErr w:type="spellEnd"/>
      <w:r>
        <w:t>,</w:t>
      </w:r>
    </w:p>
    <w:p w:rsidR="00ED0C0A" w:rsidRDefault="00ED0C0A" w:rsidP="00ED0C0A">
      <w:pPr>
        <w:numPr>
          <w:ilvl w:val="0"/>
          <w:numId w:val="97"/>
        </w:numPr>
        <w:overflowPunct w:val="0"/>
        <w:autoSpaceDE w:val="0"/>
        <w:autoSpaceDN w:val="0"/>
        <w:adjustRightInd w:val="0"/>
        <w:jc w:val="both"/>
      </w:pPr>
      <w:r>
        <w:t xml:space="preserve">poprawność rozwijania i mocowania rulonów </w:t>
      </w:r>
      <w:proofErr w:type="spellStart"/>
      <w:r>
        <w:t>geosyntetyków</w:t>
      </w:r>
      <w:proofErr w:type="spellEnd"/>
      <w:r>
        <w:t xml:space="preserve"> oraz ich układania i łączenia, zgodnie z ew. projektem (rysunkiem) układania,</w:t>
      </w:r>
    </w:p>
    <w:p w:rsidR="00ED0C0A" w:rsidRDefault="00ED0C0A" w:rsidP="00ED0C0A">
      <w:pPr>
        <w:numPr>
          <w:ilvl w:val="0"/>
          <w:numId w:val="97"/>
        </w:numPr>
        <w:overflowPunct w:val="0"/>
        <w:autoSpaceDE w:val="0"/>
        <w:autoSpaceDN w:val="0"/>
        <w:adjustRightInd w:val="0"/>
        <w:jc w:val="both"/>
      </w:pPr>
      <w:r>
        <w:t xml:space="preserve">naniesienie humusu i obsianie trawą lub wykonanie </w:t>
      </w:r>
      <w:proofErr w:type="spellStart"/>
      <w:r>
        <w:t>hydroobsiewu</w:t>
      </w:r>
      <w:proofErr w:type="spellEnd"/>
      <w:r>
        <w:t>,</w:t>
      </w:r>
    </w:p>
    <w:p w:rsidR="00ED0C0A" w:rsidRDefault="00ED0C0A" w:rsidP="00ED0C0A">
      <w:pPr>
        <w:numPr>
          <w:ilvl w:val="0"/>
          <w:numId w:val="97"/>
        </w:numPr>
        <w:overflowPunct w:val="0"/>
        <w:autoSpaceDE w:val="0"/>
        <w:autoSpaceDN w:val="0"/>
        <w:adjustRightInd w:val="0"/>
        <w:jc w:val="both"/>
      </w:pPr>
      <w:r>
        <w:t>równomierność zadarnienia i równość powierzchni umocnionej.</w:t>
      </w:r>
    </w:p>
    <w:p w:rsidR="00ED0C0A" w:rsidRDefault="00ED0C0A" w:rsidP="00ED0C0A">
      <w:r>
        <w:lastRenderedPageBreak/>
        <w:tab/>
        <w:t>Jakość wykonanego umocnienia powinna odpowiadać wymaganiom punktów 2 i 5 specyfikacji, instrukcji producenta i aprobaty technicznej.</w:t>
      </w:r>
    </w:p>
    <w:p w:rsidR="00ED0C0A" w:rsidRDefault="00ED0C0A" w:rsidP="00ED0C0A">
      <w:pPr>
        <w:pStyle w:val="Nagwek2"/>
        <w:numPr>
          <w:ilvl w:val="12"/>
          <w:numId w:val="0"/>
        </w:numPr>
      </w:pPr>
      <w:r>
        <w:t xml:space="preserve">6.8. Kontrola jakości wykonania </w:t>
      </w:r>
      <w:proofErr w:type="spellStart"/>
      <w:r>
        <w:t>hydroobsiewu</w:t>
      </w:r>
      <w:proofErr w:type="spellEnd"/>
    </w:p>
    <w:p w:rsidR="00ED0C0A" w:rsidRDefault="00ED0C0A" w:rsidP="00ED0C0A">
      <w:pPr>
        <w:numPr>
          <w:ilvl w:val="12"/>
          <w:numId w:val="0"/>
        </w:numPr>
      </w:pPr>
      <w:r>
        <w:tab/>
        <w:t xml:space="preserve">Przed wykonaniem robót Wykonawca powinien przedstawić Inżynierowi wyniki badań składników mieszaniny do </w:t>
      </w:r>
      <w:proofErr w:type="spellStart"/>
      <w:r>
        <w:t>hydroobsiewu</w:t>
      </w:r>
      <w:proofErr w:type="spellEnd"/>
      <w:r>
        <w:t xml:space="preserve"> z gruntem lub wyniki z wykonanego odcinka próbnego.</w:t>
      </w:r>
    </w:p>
    <w:p w:rsidR="00ED0C0A" w:rsidRDefault="00ED0C0A" w:rsidP="00ED0C0A">
      <w:pPr>
        <w:numPr>
          <w:ilvl w:val="12"/>
          <w:numId w:val="0"/>
        </w:numPr>
      </w:pPr>
      <w:r>
        <w:tab/>
        <w:t xml:space="preserve">Kontrola wykonanego </w:t>
      </w:r>
      <w:proofErr w:type="spellStart"/>
      <w:r>
        <w:t>hydroobsiewu</w:t>
      </w:r>
      <w:proofErr w:type="spellEnd"/>
      <w:r>
        <w:t xml:space="preserve"> powinna odpowiadać wymaganiom określonym w PN-B-12099:1997 [5],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ED0C0A" w:rsidRDefault="00ED0C0A" w:rsidP="00ED0C0A">
      <w:pPr>
        <w:numPr>
          <w:ilvl w:val="12"/>
          <w:numId w:val="0"/>
        </w:numPr>
      </w:pPr>
      <w:r>
        <w:tab/>
        <w:t>W przypadku trudności z określeniem gęstości porostu przez oględziny, należy  przeprowadzać badania z zastosowaniem ramki Webera w dziesięciu losowo wybranych miejscach.</w:t>
      </w:r>
    </w:p>
    <w:p w:rsidR="00ED0C0A" w:rsidRDefault="00ED0C0A" w:rsidP="00ED0C0A">
      <w:pPr>
        <w:pStyle w:val="Nagwek1"/>
        <w:numPr>
          <w:ilvl w:val="12"/>
          <w:numId w:val="0"/>
        </w:numPr>
      </w:pPr>
      <w:bookmarkStart w:id="527" w:name="_Toc497107504"/>
      <w:bookmarkStart w:id="528" w:name="_Toc428243648"/>
      <w:r>
        <w:t>7. OBMIAR ROBÓT</w:t>
      </w:r>
      <w:bookmarkEnd w:id="527"/>
      <w:bookmarkEnd w:id="528"/>
    </w:p>
    <w:p w:rsidR="00ED0C0A" w:rsidRDefault="00ED0C0A" w:rsidP="00ED0C0A">
      <w:pPr>
        <w:pStyle w:val="Nagwek2"/>
        <w:numPr>
          <w:ilvl w:val="12"/>
          <w:numId w:val="0"/>
        </w:numPr>
      </w:pPr>
      <w:r>
        <w:t>7.1. Ogólne zasady obmiaru robót</w:t>
      </w:r>
    </w:p>
    <w:p w:rsidR="00ED0C0A" w:rsidRDefault="00ED0C0A" w:rsidP="00ED0C0A">
      <w:pPr>
        <w:numPr>
          <w:ilvl w:val="12"/>
          <w:numId w:val="0"/>
        </w:numPr>
      </w:pPr>
      <w:r>
        <w:tab/>
        <w:t>Ogólne zasady obmiaru robót podano w SST D-00.00.00 „Wymagania ogólne” pkt 7.</w:t>
      </w:r>
    </w:p>
    <w:p w:rsidR="00ED0C0A" w:rsidRDefault="00ED0C0A" w:rsidP="00ED0C0A">
      <w:pPr>
        <w:pStyle w:val="Nagwek2"/>
        <w:numPr>
          <w:ilvl w:val="12"/>
          <w:numId w:val="0"/>
        </w:numPr>
      </w:pPr>
      <w:r>
        <w:t>7.2. Jednostka obmiarowa</w:t>
      </w:r>
    </w:p>
    <w:p w:rsidR="00ED0C0A" w:rsidRDefault="00ED0C0A" w:rsidP="00ED0C0A">
      <w:pPr>
        <w:numPr>
          <w:ilvl w:val="12"/>
          <w:numId w:val="0"/>
        </w:numPr>
      </w:pPr>
      <w:r>
        <w:tab/>
        <w:t>Jednostką obmiarową jest:</w:t>
      </w:r>
    </w:p>
    <w:p w:rsidR="00ED0C0A" w:rsidRDefault="00ED0C0A" w:rsidP="00A46F82">
      <w:pPr>
        <w:numPr>
          <w:ilvl w:val="0"/>
          <w:numId w:val="213"/>
        </w:numPr>
        <w:overflowPunct w:val="0"/>
        <w:autoSpaceDE w:val="0"/>
        <w:autoSpaceDN w:val="0"/>
        <w:adjustRightInd w:val="0"/>
        <w:jc w:val="both"/>
      </w:pPr>
      <w:r>
        <w:t>m</w:t>
      </w:r>
      <w:r>
        <w:rPr>
          <w:vertAlign w:val="superscript"/>
        </w:rPr>
        <w:t>2</w:t>
      </w:r>
      <w:r>
        <w:t xml:space="preserve"> (metr kwadratowy) powierzchni skarp i rowów umocnionych przez humusowanie, obsianie, darniowanie,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w:t>
      </w:r>
    </w:p>
    <w:p w:rsidR="00ED0C0A" w:rsidRDefault="00ED0C0A" w:rsidP="00A46F82">
      <w:pPr>
        <w:numPr>
          <w:ilvl w:val="0"/>
          <w:numId w:val="213"/>
        </w:numPr>
        <w:overflowPunct w:val="0"/>
        <w:autoSpaceDE w:val="0"/>
        <w:autoSpaceDN w:val="0"/>
        <w:adjustRightInd w:val="0"/>
        <w:jc w:val="both"/>
      </w:pPr>
      <w:r>
        <w:t>m (metr) ułożonego ścieku z elementów prefabrykowanych.</w:t>
      </w:r>
    </w:p>
    <w:p w:rsidR="00ED0C0A" w:rsidRDefault="00ED0C0A" w:rsidP="00ED0C0A">
      <w:pPr>
        <w:pStyle w:val="Nagwek1"/>
      </w:pPr>
      <w:bookmarkStart w:id="529" w:name="_Toc497107505"/>
      <w:bookmarkStart w:id="530" w:name="_Toc428243649"/>
      <w:r>
        <w:t>8. ODBIÓR ROBÓT</w:t>
      </w:r>
      <w:bookmarkEnd w:id="529"/>
      <w:bookmarkEnd w:id="530"/>
    </w:p>
    <w:p w:rsidR="00ED0C0A" w:rsidRDefault="00ED0C0A" w:rsidP="00ED0C0A">
      <w:pPr>
        <w:numPr>
          <w:ilvl w:val="12"/>
          <w:numId w:val="0"/>
        </w:numPr>
      </w:pPr>
      <w:r>
        <w:tab/>
        <w:t>Ogólne zasady odbioru robót podano w SST D-00.00.00 „Wymagania ogólne” pkt 8.</w:t>
      </w:r>
    </w:p>
    <w:p w:rsidR="00ED0C0A" w:rsidRDefault="00ED0C0A" w:rsidP="00ED0C0A">
      <w:pPr>
        <w:numPr>
          <w:ilvl w:val="12"/>
          <w:numId w:val="0"/>
        </w:numPr>
      </w:pPr>
      <w:r>
        <w:tab/>
        <w:t xml:space="preserve">Roboty uznaje się za wykonane zgodnie z dokumentacją projektową, SST                        i wymaganiami Inżyniera, jeżeli wszystkie pomiary i badania z zachowaniem tolerancji wg </w:t>
      </w:r>
      <w:proofErr w:type="spellStart"/>
      <w:r>
        <w:t>pktu</w:t>
      </w:r>
      <w:proofErr w:type="spellEnd"/>
      <w:r>
        <w:t xml:space="preserve"> 6 dały wyniki pozytywne.</w:t>
      </w:r>
    </w:p>
    <w:p w:rsidR="00ED0C0A" w:rsidRDefault="00ED0C0A" w:rsidP="00ED0C0A">
      <w:pPr>
        <w:pStyle w:val="Nagwek1"/>
        <w:numPr>
          <w:ilvl w:val="12"/>
          <w:numId w:val="0"/>
        </w:numPr>
      </w:pPr>
      <w:bookmarkStart w:id="531" w:name="_Toc497107506"/>
      <w:bookmarkStart w:id="532" w:name="_Toc428243650"/>
      <w:r>
        <w:t>9. PODSTAWA PŁATNOŚCI</w:t>
      </w:r>
      <w:bookmarkEnd w:id="531"/>
      <w:bookmarkEnd w:id="532"/>
    </w:p>
    <w:p w:rsidR="00ED0C0A" w:rsidRDefault="00ED0C0A" w:rsidP="00ED0C0A">
      <w:pPr>
        <w:pStyle w:val="Nagwek2"/>
        <w:numPr>
          <w:ilvl w:val="12"/>
          <w:numId w:val="0"/>
        </w:numPr>
      </w:pPr>
      <w:r>
        <w:t>9.1. Ogólne ustalenia dotyczące podstawy płatności</w:t>
      </w:r>
    </w:p>
    <w:p w:rsidR="00ED0C0A" w:rsidRDefault="00ED0C0A" w:rsidP="00ED0C0A">
      <w:pPr>
        <w:numPr>
          <w:ilvl w:val="12"/>
          <w:numId w:val="0"/>
        </w:numPr>
      </w:pPr>
      <w:r>
        <w:tab/>
        <w:t>Ogólne ustalenia dotyczące podstawy płatności podano w SST D-00.00.00 „Wymagania ogólne” pkt 9.</w:t>
      </w:r>
    </w:p>
    <w:p w:rsidR="00ED0C0A" w:rsidRDefault="00ED0C0A" w:rsidP="00ED0C0A">
      <w:pPr>
        <w:pStyle w:val="Nagwek2"/>
        <w:numPr>
          <w:ilvl w:val="12"/>
          <w:numId w:val="0"/>
        </w:numPr>
      </w:pPr>
      <w:r>
        <w:t>9.2. Cena jednostki obmiarowej</w:t>
      </w:r>
    </w:p>
    <w:p w:rsidR="00ED0C0A" w:rsidRDefault="00ED0C0A" w:rsidP="00ED0C0A">
      <w:pPr>
        <w:numPr>
          <w:ilvl w:val="12"/>
          <w:numId w:val="0"/>
        </w:numPr>
      </w:pPr>
      <w:r>
        <w:tab/>
        <w:t>Cena wykonania 1m</w:t>
      </w:r>
      <w:r>
        <w:rPr>
          <w:vertAlign w:val="superscript"/>
        </w:rPr>
        <w:t>2</w:t>
      </w:r>
      <w:r>
        <w:t xml:space="preserve"> umocnienia skarp i rowów przez humusowanie, obsianie,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 xml:space="preserve"> obejmuje:</w:t>
      </w:r>
    </w:p>
    <w:p w:rsidR="00ED0C0A" w:rsidRDefault="00ED0C0A" w:rsidP="00A46F82">
      <w:pPr>
        <w:numPr>
          <w:ilvl w:val="0"/>
          <w:numId w:val="213"/>
        </w:numPr>
        <w:overflowPunct w:val="0"/>
        <w:autoSpaceDE w:val="0"/>
        <w:autoSpaceDN w:val="0"/>
        <w:adjustRightInd w:val="0"/>
        <w:jc w:val="both"/>
      </w:pPr>
      <w:r>
        <w:t>roboty pomiarowe i przygotowawcze,</w:t>
      </w:r>
    </w:p>
    <w:p w:rsidR="00ED0C0A" w:rsidRDefault="00ED0C0A" w:rsidP="00A46F82">
      <w:pPr>
        <w:numPr>
          <w:ilvl w:val="0"/>
          <w:numId w:val="213"/>
        </w:numPr>
        <w:overflowPunct w:val="0"/>
        <w:autoSpaceDE w:val="0"/>
        <w:autoSpaceDN w:val="0"/>
        <w:adjustRightInd w:val="0"/>
        <w:jc w:val="both"/>
      </w:pPr>
      <w:r>
        <w:t>dostarczenie i wbudowanie materiałów,</w:t>
      </w:r>
    </w:p>
    <w:p w:rsidR="00ED0C0A" w:rsidRDefault="00ED0C0A" w:rsidP="00A46F82">
      <w:pPr>
        <w:numPr>
          <w:ilvl w:val="0"/>
          <w:numId w:val="213"/>
        </w:numPr>
        <w:overflowPunct w:val="0"/>
        <w:autoSpaceDE w:val="0"/>
        <w:autoSpaceDN w:val="0"/>
        <w:adjustRightInd w:val="0"/>
        <w:jc w:val="both"/>
      </w:pPr>
      <w:r>
        <w:t>ew. pielęgnacja spoin,</w:t>
      </w:r>
    </w:p>
    <w:p w:rsidR="00ED0C0A" w:rsidRDefault="00ED0C0A" w:rsidP="00A46F82">
      <w:pPr>
        <w:numPr>
          <w:ilvl w:val="0"/>
          <w:numId w:val="213"/>
        </w:numPr>
        <w:overflowPunct w:val="0"/>
        <w:autoSpaceDE w:val="0"/>
        <w:autoSpaceDN w:val="0"/>
        <w:adjustRightInd w:val="0"/>
        <w:jc w:val="both"/>
      </w:pPr>
      <w:r>
        <w:t>uporządkowanie terenu,</w:t>
      </w:r>
    </w:p>
    <w:p w:rsidR="00ED0C0A" w:rsidRDefault="00ED0C0A" w:rsidP="00A46F82">
      <w:pPr>
        <w:numPr>
          <w:ilvl w:val="0"/>
          <w:numId w:val="213"/>
        </w:numPr>
        <w:overflowPunct w:val="0"/>
        <w:autoSpaceDE w:val="0"/>
        <w:autoSpaceDN w:val="0"/>
        <w:adjustRightInd w:val="0"/>
        <w:jc w:val="both"/>
      </w:pPr>
      <w:r>
        <w:t>przeprowadzenie badań i pomiarów wymaganych w specyfikacji technicznej.</w:t>
      </w:r>
    </w:p>
    <w:p w:rsidR="00ED0C0A" w:rsidRDefault="00ED0C0A" w:rsidP="00ED0C0A">
      <w:r>
        <w:tab/>
        <w:t>Cena 1 m ułożonego ścieku z elementów prefabrykowanych obejmuje:</w:t>
      </w:r>
    </w:p>
    <w:p w:rsidR="00ED0C0A" w:rsidRDefault="00ED0C0A" w:rsidP="00A46F82">
      <w:pPr>
        <w:numPr>
          <w:ilvl w:val="0"/>
          <w:numId w:val="213"/>
        </w:numPr>
        <w:overflowPunct w:val="0"/>
        <w:autoSpaceDE w:val="0"/>
        <w:autoSpaceDN w:val="0"/>
        <w:adjustRightInd w:val="0"/>
        <w:jc w:val="both"/>
      </w:pPr>
      <w:r>
        <w:t>roboty pomiarowe i przygotowawcze,</w:t>
      </w:r>
    </w:p>
    <w:p w:rsidR="00ED0C0A" w:rsidRDefault="00ED0C0A" w:rsidP="00A46F82">
      <w:pPr>
        <w:numPr>
          <w:ilvl w:val="0"/>
          <w:numId w:val="213"/>
        </w:numPr>
        <w:overflowPunct w:val="0"/>
        <w:autoSpaceDE w:val="0"/>
        <w:autoSpaceDN w:val="0"/>
        <w:adjustRightInd w:val="0"/>
        <w:jc w:val="both"/>
      </w:pPr>
      <w:r>
        <w:t>ew. wykonanie koryta,</w:t>
      </w:r>
    </w:p>
    <w:p w:rsidR="00ED0C0A" w:rsidRDefault="00ED0C0A" w:rsidP="00A46F82">
      <w:pPr>
        <w:numPr>
          <w:ilvl w:val="0"/>
          <w:numId w:val="213"/>
        </w:numPr>
        <w:overflowPunct w:val="0"/>
        <w:autoSpaceDE w:val="0"/>
        <w:autoSpaceDN w:val="0"/>
        <w:adjustRightInd w:val="0"/>
        <w:jc w:val="both"/>
      </w:pPr>
      <w:r>
        <w:t>dostarczenie i wbudowanie materiałów,</w:t>
      </w:r>
    </w:p>
    <w:p w:rsidR="00ED0C0A" w:rsidRDefault="00ED0C0A" w:rsidP="00A46F82">
      <w:pPr>
        <w:numPr>
          <w:ilvl w:val="0"/>
          <w:numId w:val="213"/>
        </w:numPr>
        <w:overflowPunct w:val="0"/>
        <w:autoSpaceDE w:val="0"/>
        <w:autoSpaceDN w:val="0"/>
        <w:adjustRightInd w:val="0"/>
        <w:jc w:val="both"/>
      </w:pPr>
      <w:r>
        <w:t>ułożenie prefabrykatów,</w:t>
      </w:r>
    </w:p>
    <w:p w:rsidR="00ED0C0A" w:rsidRDefault="00ED0C0A" w:rsidP="00A46F82">
      <w:pPr>
        <w:numPr>
          <w:ilvl w:val="0"/>
          <w:numId w:val="213"/>
        </w:numPr>
        <w:overflowPunct w:val="0"/>
        <w:autoSpaceDE w:val="0"/>
        <w:autoSpaceDN w:val="0"/>
        <w:adjustRightInd w:val="0"/>
        <w:jc w:val="both"/>
      </w:pPr>
      <w:r>
        <w:t>pielęgnacja spoin,</w:t>
      </w:r>
    </w:p>
    <w:p w:rsidR="00ED0C0A" w:rsidRDefault="00ED0C0A" w:rsidP="00A46F82">
      <w:pPr>
        <w:numPr>
          <w:ilvl w:val="0"/>
          <w:numId w:val="213"/>
        </w:numPr>
        <w:overflowPunct w:val="0"/>
        <w:autoSpaceDE w:val="0"/>
        <w:autoSpaceDN w:val="0"/>
        <w:adjustRightInd w:val="0"/>
        <w:jc w:val="both"/>
      </w:pPr>
      <w:r>
        <w:t>uporządkowanie terenu,</w:t>
      </w:r>
    </w:p>
    <w:p w:rsidR="00ED0C0A" w:rsidRDefault="00ED0C0A" w:rsidP="00A46F82">
      <w:pPr>
        <w:numPr>
          <w:ilvl w:val="0"/>
          <w:numId w:val="213"/>
        </w:numPr>
        <w:overflowPunct w:val="0"/>
        <w:autoSpaceDE w:val="0"/>
        <w:autoSpaceDN w:val="0"/>
        <w:adjustRightInd w:val="0"/>
        <w:jc w:val="both"/>
      </w:pPr>
      <w:r>
        <w:t>przeprowadzenie badań i pomiarów wymaganych w specyfikacji technicznej.</w:t>
      </w:r>
    </w:p>
    <w:p w:rsidR="00ED0C0A" w:rsidRDefault="00ED0C0A" w:rsidP="00ED0C0A">
      <w:pPr>
        <w:pStyle w:val="Nagwek1"/>
      </w:pPr>
      <w:bookmarkStart w:id="533" w:name="_Toc497107507"/>
      <w:bookmarkStart w:id="534" w:name="_Toc428243651"/>
      <w:r>
        <w:t>10. PRZEPISY ZWIĄZANE</w:t>
      </w:r>
      <w:bookmarkEnd w:id="533"/>
      <w:bookmarkEnd w:id="534"/>
    </w:p>
    <w:p w:rsidR="00ED0C0A" w:rsidRDefault="00ED0C0A" w:rsidP="00ED0C0A">
      <w:pPr>
        <w:pStyle w:val="Nagwek2"/>
      </w:pPr>
      <w:r>
        <w:t>10.1. Normy</w:t>
      </w:r>
    </w:p>
    <w:tbl>
      <w:tblPr>
        <w:tblW w:w="0" w:type="auto"/>
        <w:tblLayout w:type="fixed"/>
        <w:tblCellMar>
          <w:left w:w="70" w:type="dxa"/>
          <w:right w:w="70" w:type="dxa"/>
        </w:tblCellMar>
        <w:tblLook w:val="04A0" w:firstRow="1" w:lastRow="0" w:firstColumn="1" w:lastColumn="0" w:noHBand="0" w:noVBand="1"/>
      </w:tblPr>
      <w:tblGrid>
        <w:gridCol w:w="2197"/>
        <w:gridCol w:w="5244"/>
      </w:tblGrid>
      <w:tr w:rsidR="00ED0C0A" w:rsidTr="00ED0C0A">
        <w:tc>
          <w:tcPr>
            <w:tcW w:w="2197" w:type="dxa"/>
            <w:hideMark/>
          </w:tcPr>
          <w:p w:rsidR="00ED0C0A" w:rsidRDefault="00ED0C0A">
            <w:pPr>
              <w:spacing w:line="256" w:lineRule="auto"/>
              <w:rPr>
                <w:lang w:eastAsia="en-US"/>
              </w:rPr>
            </w:pPr>
            <w:r>
              <w:rPr>
                <w:lang w:eastAsia="en-US"/>
              </w:rPr>
              <w:t xml:space="preserve">  1.   PN-B-11104:1960</w:t>
            </w:r>
          </w:p>
        </w:tc>
        <w:tc>
          <w:tcPr>
            <w:tcW w:w="5244" w:type="dxa"/>
            <w:hideMark/>
          </w:tcPr>
          <w:p w:rsidR="00ED0C0A" w:rsidRDefault="00ED0C0A">
            <w:pPr>
              <w:spacing w:line="256" w:lineRule="auto"/>
              <w:rPr>
                <w:lang w:eastAsia="en-US"/>
              </w:rPr>
            </w:pPr>
            <w:r>
              <w:rPr>
                <w:lang w:eastAsia="en-US"/>
              </w:rPr>
              <w:t>Materiały kamienne. Brukowiec</w:t>
            </w:r>
          </w:p>
        </w:tc>
      </w:tr>
      <w:tr w:rsidR="00ED0C0A" w:rsidTr="00ED0C0A">
        <w:tc>
          <w:tcPr>
            <w:tcW w:w="2197" w:type="dxa"/>
            <w:hideMark/>
          </w:tcPr>
          <w:p w:rsidR="00ED0C0A" w:rsidRDefault="00ED0C0A">
            <w:pPr>
              <w:spacing w:line="256" w:lineRule="auto"/>
              <w:rPr>
                <w:lang w:eastAsia="en-US"/>
              </w:rPr>
            </w:pPr>
            <w:r>
              <w:rPr>
                <w:lang w:eastAsia="en-US"/>
              </w:rPr>
              <w:t xml:space="preserve">  2.   PN-B-11111:1996</w:t>
            </w:r>
          </w:p>
        </w:tc>
        <w:tc>
          <w:tcPr>
            <w:tcW w:w="5244" w:type="dxa"/>
            <w:hideMark/>
          </w:tcPr>
          <w:p w:rsidR="00ED0C0A" w:rsidRDefault="00ED0C0A">
            <w:pPr>
              <w:spacing w:line="256" w:lineRule="auto"/>
              <w:rPr>
                <w:lang w:eastAsia="en-US"/>
              </w:rPr>
            </w:pPr>
            <w:r>
              <w:rPr>
                <w:lang w:eastAsia="en-US"/>
              </w:rPr>
              <w:t>Kruszywa mineralne. Kruszywo naturalne do nawierzchni drogowych. Żwir i mieszanka</w:t>
            </w:r>
          </w:p>
        </w:tc>
      </w:tr>
      <w:tr w:rsidR="00ED0C0A" w:rsidTr="00ED0C0A">
        <w:tc>
          <w:tcPr>
            <w:tcW w:w="2197" w:type="dxa"/>
            <w:hideMark/>
          </w:tcPr>
          <w:p w:rsidR="00ED0C0A" w:rsidRDefault="00ED0C0A">
            <w:pPr>
              <w:spacing w:line="256" w:lineRule="auto"/>
              <w:rPr>
                <w:lang w:eastAsia="en-US"/>
              </w:rPr>
            </w:pPr>
            <w:r>
              <w:rPr>
                <w:lang w:eastAsia="en-US"/>
              </w:rPr>
              <w:t xml:space="preserve">  3.   PN-B-11113:1996</w:t>
            </w:r>
          </w:p>
        </w:tc>
        <w:tc>
          <w:tcPr>
            <w:tcW w:w="5244" w:type="dxa"/>
            <w:hideMark/>
          </w:tcPr>
          <w:p w:rsidR="00ED0C0A" w:rsidRDefault="00ED0C0A">
            <w:pPr>
              <w:spacing w:line="256" w:lineRule="auto"/>
              <w:rPr>
                <w:lang w:eastAsia="en-US"/>
              </w:rPr>
            </w:pPr>
            <w:r>
              <w:rPr>
                <w:lang w:eastAsia="en-US"/>
              </w:rPr>
              <w:t>Kruszywa mineralne. Kruszywa naturalne do nawierzchni drogowych. Piasek</w:t>
            </w:r>
          </w:p>
        </w:tc>
      </w:tr>
      <w:tr w:rsidR="00ED0C0A" w:rsidTr="00ED0C0A">
        <w:tc>
          <w:tcPr>
            <w:tcW w:w="2197" w:type="dxa"/>
            <w:hideMark/>
          </w:tcPr>
          <w:p w:rsidR="00ED0C0A" w:rsidRDefault="00ED0C0A">
            <w:pPr>
              <w:spacing w:line="256" w:lineRule="auto"/>
              <w:rPr>
                <w:lang w:eastAsia="en-US"/>
              </w:rPr>
            </w:pPr>
            <w:r>
              <w:rPr>
                <w:lang w:eastAsia="en-US"/>
              </w:rPr>
              <w:lastRenderedPageBreak/>
              <w:t xml:space="preserve">  4.   PN-B-12074:1998</w:t>
            </w:r>
          </w:p>
        </w:tc>
        <w:tc>
          <w:tcPr>
            <w:tcW w:w="5244" w:type="dxa"/>
            <w:hideMark/>
          </w:tcPr>
          <w:p w:rsidR="00ED0C0A" w:rsidRDefault="00ED0C0A">
            <w:pPr>
              <w:spacing w:line="256" w:lineRule="auto"/>
              <w:rPr>
                <w:lang w:eastAsia="en-US"/>
              </w:rPr>
            </w:pPr>
            <w:r>
              <w:rPr>
                <w:lang w:eastAsia="en-US"/>
              </w:rPr>
              <w:t xml:space="preserve">Urządzenia wodno-melioracyjne. Umacnianie i zadarnianie powierzchni </w:t>
            </w:r>
            <w:proofErr w:type="spellStart"/>
            <w:r>
              <w:rPr>
                <w:lang w:eastAsia="en-US"/>
              </w:rPr>
              <w:t>biowłókniną</w:t>
            </w:r>
            <w:proofErr w:type="spellEnd"/>
            <w:r>
              <w:rPr>
                <w:lang w:eastAsia="en-US"/>
              </w:rPr>
              <w:t>. Wymagania i badania przy odbiorze</w:t>
            </w:r>
          </w:p>
        </w:tc>
      </w:tr>
      <w:tr w:rsidR="00ED0C0A" w:rsidTr="00ED0C0A">
        <w:tc>
          <w:tcPr>
            <w:tcW w:w="2197" w:type="dxa"/>
            <w:hideMark/>
          </w:tcPr>
          <w:p w:rsidR="00ED0C0A" w:rsidRDefault="00ED0C0A">
            <w:pPr>
              <w:spacing w:line="256" w:lineRule="auto"/>
              <w:rPr>
                <w:lang w:eastAsia="en-US"/>
              </w:rPr>
            </w:pPr>
            <w:r>
              <w:rPr>
                <w:lang w:eastAsia="en-US"/>
              </w:rPr>
              <w:t xml:space="preserve">  5.   PN-B-12099:1997</w:t>
            </w:r>
          </w:p>
        </w:tc>
        <w:tc>
          <w:tcPr>
            <w:tcW w:w="5244" w:type="dxa"/>
            <w:hideMark/>
          </w:tcPr>
          <w:p w:rsidR="00ED0C0A" w:rsidRDefault="00ED0C0A">
            <w:pPr>
              <w:spacing w:line="256" w:lineRule="auto"/>
              <w:rPr>
                <w:lang w:eastAsia="en-US"/>
              </w:rPr>
            </w:pPr>
            <w:r>
              <w:rPr>
                <w:lang w:eastAsia="en-US"/>
              </w:rPr>
              <w:t>Zagospodarowanie pomelioracyjne. Wymagania i metody badań</w:t>
            </w:r>
          </w:p>
        </w:tc>
      </w:tr>
      <w:tr w:rsidR="00ED0C0A" w:rsidTr="00ED0C0A">
        <w:tc>
          <w:tcPr>
            <w:tcW w:w="2197" w:type="dxa"/>
            <w:hideMark/>
          </w:tcPr>
          <w:p w:rsidR="00ED0C0A" w:rsidRDefault="00ED0C0A">
            <w:pPr>
              <w:spacing w:line="256" w:lineRule="auto"/>
              <w:rPr>
                <w:lang w:eastAsia="en-US"/>
              </w:rPr>
            </w:pPr>
            <w:r>
              <w:rPr>
                <w:lang w:eastAsia="en-US"/>
              </w:rPr>
              <w:t xml:space="preserve">  6.   PN-B-14501:1990</w:t>
            </w:r>
          </w:p>
        </w:tc>
        <w:tc>
          <w:tcPr>
            <w:tcW w:w="5244" w:type="dxa"/>
            <w:hideMark/>
          </w:tcPr>
          <w:p w:rsidR="00ED0C0A" w:rsidRDefault="00ED0C0A">
            <w:pPr>
              <w:spacing w:line="256" w:lineRule="auto"/>
              <w:rPr>
                <w:lang w:eastAsia="en-US"/>
              </w:rPr>
            </w:pPr>
            <w:r>
              <w:rPr>
                <w:lang w:eastAsia="en-US"/>
              </w:rPr>
              <w:t>Zaprawy budowlane zwykłe</w:t>
            </w:r>
          </w:p>
        </w:tc>
      </w:tr>
      <w:tr w:rsidR="00ED0C0A" w:rsidTr="00ED0C0A">
        <w:tc>
          <w:tcPr>
            <w:tcW w:w="2197" w:type="dxa"/>
            <w:hideMark/>
          </w:tcPr>
          <w:p w:rsidR="00ED0C0A" w:rsidRDefault="00ED0C0A">
            <w:pPr>
              <w:spacing w:line="256" w:lineRule="auto"/>
              <w:rPr>
                <w:lang w:eastAsia="en-US"/>
              </w:rPr>
            </w:pPr>
            <w:r>
              <w:rPr>
                <w:lang w:eastAsia="en-US"/>
              </w:rPr>
              <w:t xml:space="preserve">  7.   PN-B-19701:1997</w:t>
            </w:r>
          </w:p>
        </w:tc>
        <w:tc>
          <w:tcPr>
            <w:tcW w:w="5244" w:type="dxa"/>
            <w:hideMark/>
          </w:tcPr>
          <w:p w:rsidR="00ED0C0A" w:rsidRDefault="00ED0C0A">
            <w:pPr>
              <w:spacing w:line="256" w:lineRule="auto"/>
              <w:rPr>
                <w:lang w:eastAsia="en-US"/>
              </w:rPr>
            </w:pPr>
            <w:r>
              <w:rPr>
                <w:lang w:eastAsia="en-US"/>
              </w:rPr>
              <w:t>Cement. Cement powszechnego użytku. Skład, wymagania                i ocena zgodności</w:t>
            </w:r>
          </w:p>
        </w:tc>
      </w:tr>
      <w:tr w:rsidR="00ED0C0A" w:rsidTr="00ED0C0A">
        <w:tc>
          <w:tcPr>
            <w:tcW w:w="2197" w:type="dxa"/>
            <w:hideMark/>
          </w:tcPr>
          <w:p w:rsidR="00ED0C0A" w:rsidRDefault="00ED0C0A">
            <w:pPr>
              <w:spacing w:line="256" w:lineRule="auto"/>
              <w:rPr>
                <w:lang w:eastAsia="en-US"/>
              </w:rPr>
            </w:pPr>
            <w:r>
              <w:rPr>
                <w:lang w:eastAsia="en-US"/>
              </w:rPr>
              <w:t xml:space="preserve">  8.   PN-P-85012:1992</w:t>
            </w:r>
          </w:p>
        </w:tc>
        <w:tc>
          <w:tcPr>
            <w:tcW w:w="5244" w:type="dxa"/>
            <w:hideMark/>
          </w:tcPr>
          <w:p w:rsidR="00ED0C0A" w:rsidRDefault="00ED0C0A">
            <w:pPr>
              <w:spacing w:line="256" w:lineRule="auto"/>
              <w:rPr>
                <w:lang w:eastAsia="en-US"/>
              </w:rPr>
            </w:pPr>
            <w:r>
              <w:rPr>
                <w:lang w:eastAsia="en-US"/>
              </w:rPr>
              <w:t>Wyroby powroźnicze. Sznurek polipropylenowy do maszyn rolniczych</w:t>
            </w:r>
          </w:p>
        </w:tc>
      </w:tr>
      <w:tr w:rsidR="00ED0C0A" w:rsidTr="00ED0C0A">
        <w:tc>
          <w:tcPr>
            <w:tcW w:w="2197" w:type="dxa"/>
            <w:hideMark/>
          </w:tcPr>
          <w:p w:rsidR="00ED0C0A" w:rsidRDefault="00ED0C0A">
            <w:pPr>
              <w:spacing w:line="256" w:lineRule="auto"/>
              <w:rPr>
                <w:lang w:eastAsia="en-US"/>
              </w:rPr>
            </w:pPr>
            <w:r>
              <w:rPr>
                <w:lang w:eastAsia="en-US"/>
              </w:rPr>
              <w:t xml:space="preserve">  9.   PN-R-65023:1999</w:t>
            </w:r>
          </w:p>
        </w:tc>
        <w:tc>
          <w:tcPr>
            <w:tcW w:w="5244" w:type="dxa"/>
            <w:hideMark/>
          </w:tcPr>
          <w:p w:rsidR="00ED0C0A" w:rsidRDefault="00ED0C0A">
            <w:pPr>
              <w:spacing w:line="256" w:lineRule="auto"/>
              <w:rPr>
                <w:lang w:eastAsia="en-US"/>
              </w:rPr>
            </w:pPr>
            <w:r>
              <w:rPr>
                <w:lang w:eastAsia="en-US"/>
              </w:rPr>
              <w:t>Materiał siewny. Nasiona roślin rolniczych</w:t>
            </w:r>
          </w:p>
        </w:tc>
      </w:tr>
      <w:tr w:rsidR="00ED0C0A" w:rsidTr="00ED0C0A">
        <w:tc>
          <w:tcPr>
            <w:tcW w:w="2197" w:type="dxa"/>
            <w:hideMark/>
          </w:tcPr>
          <w:p w:rsidR="00ED0C0A" w:rsidRDefault="00ED0C0A">
            <w:pPr>
              <w:spacing w:line="256" w:lineRule="auto"/>
              <w:rPr>
                <w:lang w:eastAsia="en-US"/>
              </w:rPr>
            </w:pPr>
            <w:r>
              <w:rPr>
                <w:lang w:eastAsia="en-US"/>
              </w:rPr>
              <w:t>10.   PN-S-02205:1998</w:t>
            </w:r>
          </w:p>
        </w:tc>
        <w:tc>
          <w:tcPr>
            <w:tcW w:w="5244" w:type="dxa"/>
            <w:hideMark/>
          </w:tcPr>
          <w:p w:rsidR="00ED0C0A" w:rsidRDefault="00ED0C0A">
            <w:pPr>
              <w:spacing w:line="256" w:lineRule="auto"/>
              <w:rPr>
                <w:lang w:eastAsia="en-US"/>
              </w:rPr>
            </w:pPr>
            <w:r>
              <w:rPr>
                <w:lang w:eastAsia="en-US"/>
              </w:rPr>
              <w:t>Drogi samochodowe. Roboty ziemne. Wymagania i badania</w:t>
            </w:r>
          </w:p>
        </w:tc>
      </w:tr>
      <w:tr w:rsidR="00ED0C0A" w:rsidTr="00ED0C0A">
        <w:tc>
          <w:tcPr>
            <w:tcW w:w="2197" w:type="dxa"/>
            <w:hideMark/>
          </w:tcPr>
          <w:p w:rsidR="00ED0C0A" w:rsidRDefault="00ED0C0A">
            <w:pPr>
              <w:spacing w:line="256" w:lineRule="auto"/>
              <w:rPr>
                <w:lang w:eastAsia="en-US"/>
              </w:rPr>
            </w:pPr>
            <w:r>
              <w:rPr>
                <w:lang w:eastAsia="en-US"/>
              </w:rPr>
              <w:t>11.   PN-S-96035:1997</w:t>
            </w:r>
          </w:p>
        </w:tc>
        <w:tc>
          <w:tcPr>
            <w:tcW w:w="5244" w:type="dxa"/>
            <w:hideMark/>
          </w:tcPr>
          <w:p w:rsidR="00ED0C0A" w:rsidRDefault="00ED0C0A">
            <w:pPr>
              <w:spacing w:line="256" w:lineRule="auto"/>
              <w:rPr>
                <w:lang w:eastAsia="en-US"/>
              </w:rPr>
            </w:pPr>
            <w:r>
              <w:rPr>
                <w:lang w:eastAsia="en-US"/>
              </w:rPr>
              <w:t>Drogi samochodowe. Popioły lotne</w:t>
            </w:r>
          </w:p>
        </w:tc>
      </w:tr>
      <w:tr w:rsidR="00ED0C0A" w:rsidTr="00ED0C0A">
        <w:tc>
          <w:tcPr>
            <w:tcW w:w="2197" w:type="dxa"/>
            <w:hideMark/>
          </w:tcPr>
          <w:p w:rsidR="00ED0C0A" w:rsidRDefault="00ED0C0A">
            <w:pPr>
              <w:spacing w:line="256" w:lineRule="auto"/>
              <w:rPr>
                <w:lang w:eastAsia="en-US"/>
              </w:rPr>
            </w:pPr>
            <w:r>
              <w:rPr>
                <w:lang w:eastAsia="en-US"/>
              </w:rPr>
              <w:t>12.   BN-88/6731-08</w:t>
            </w:r>
          </w:p>
        </w:tc>
        <w:tc>
          <w:tcPr>
            <w:tcW w:w="5244" w:type="dxa"/>
            <w:hideMark/>
          </w:tcPr>
          <w:p w:rsidR="00ED0C0A" w:rsidRDefault="00ED0C0A">
            <w:pPr>
              <w:spacing w:line="256" w:lineRule="auto"/>
              <w:rPr>
                <w:lang w:eastAsia="en-US"/>
              </w:rPr>
            </w:pPr>
            <w:r>
              <w:rPr>
                <w:lang w:eastAsia="en-US"/>
              </w:rPr>
              <w:t>Cement. Transport i przechowywanie</w:t>
            </w:r>
          </w:p>
        </w:tc>
      </w:tr>
      <w:tr w:rsidR="00ED0C0A" w:rsidTr="00ED0C0A">
        <w:tc>
          <w:tcPr>
            <w:tcW w:w="2197" w:type="dxa"/>
            <w:hideMark/>
          </w:tcPr>
          <w:p w:rsidR="00ED0C0A" w:rsidRDefault="00ED0C0A">
            <w:pPr>
              <w:spacing w:line="256" w:lineRule="auto"/>
              <w:rPr>
                <w:lang w:eastAsia="en-US"/>
              </w:rPr>
            </w:pPr>
            <w:r>
              <w:rPr>
                <w:lang w:eastAsia="en-US"/>
              </w:rPr>
              <w:t>13.   BN-80/6775-03/04</w:t>
            </w:r>
          </w:p>
        </w:tc>
        <w:tc>
          <w:tcPr>
            <w:tcW w:w="5244" w:type="dxa"/>
            <w:hideMark/>
          </w:tcPr>
          <w:p w:rsidR="00ED0C0A" w:rsidRDefault="00ED0C0A">
            <w:pPr>
              <w:spacing w:line="256" w:lineRule="auto"/>
              <w:rPr>
                <w:lang w:eastAsia="en-US"/>
              </w:rPr>
            </w:pPr>
            <w:r>
              <w:rPr>
                <w:lang w:eastAsia="en-US"/>
              </w:rPr>
              <w:t>Prefabrykaty budowlane z betonu. Elementy nawierzchni dróg, ulic, parkingów i torowisk tramwajowych. Krawężniki                  i obrzeża chodnikowe</w:t>
            </w:r>
          </w:p>
        </w:tc>
      </w:tr>
    </w:tbl>
    <w:p w:rsidR="00ED0C0A" w:rsidRDefault="00ED0C0A" w:rsidP="00ED0C0A">
      <w:pPr>
        <w:pStyle w:val="Nagwek2"/>
      </w:pPr>
      <w:r>
        <w:t>10.2. Inne materiały</w:t>
      </w:r>
    </w:p>
    <w:p w:rsidR="00ED0C0A" w:rsidRDefault="00ED0C0A" w:rsidP="00A46F82">
      <w:pPr>
        <w:numPr>
          <w:ilvl w:val="0"/>
          <w:numId w:val="222"/>
        </w:numPr>
        <w:overflowPunct w:val="0"/>
        <w:autoSpaceDE w:val="0"/>
        <w:autoSpaceDN w:val="0"/>
        <w:adjustRightInd w:val="0"/>
        <w:jc w:val="both"/>
      </w:pPr>
      <w:r>
        <w:t xml:space="preserve"> Katalog powtarzalnych elementów drogowych (KPED), </w:t>
      </w:r>
      <w:proofErr w:type="spellStart"/>
      <w:r>
        <w:t>Transprojekt</w:t>
      </w:r>
      <w:proofErr w:type="spellEnd"/>
      <w:r>
        <w:t>-Warszawa, 1979.</w:t>
      </w:r>
    </w:p>
    <w:p w:rsidR="00ED0C0A" w:rsidRDefault="00ED0C0A" w:rsidP="00A46F82">
      <w:pPr>
        <w:numPr>
          <w:ilvl w:val="0"/>
          <w:numId w:val="222"/>
        </w:numPr>
        <w:overflowPunct w:val="0"/>
        <w:autoSpaceDE w:val="0"/>
        <w:autoSpaceDN w:val="0"/>
        <w:adjustRightInd w:val="0"/>
        <w:jc w:val="both"/>
      </w:pPr>
      <w:r>
        <w:t xml:space="preserve">Warunki techniczne. Drogowe kationowe emulsje asfaltowe EmA-99. Informacje, instrukcje - zeszyt 60, </w:t>
      </w:r>
      <w:proofErr w:type="spellStart"/>
      <w:r>
        <w:t>IBDiM</w:t>
      </w:r>
      <w:proofErr w:type="spellEnd"/>
      <w:r>
        <w:t>, Warszawa, 1999.</w:t>
      </w:r>
    </w:p>
    <w:p w:rsidR="00ED0C0A" w:rsidRDefault="00ED0C0A" w:rsidP="00ED0C0A"/>
    <w:p w:rsidR="00ED0C0A" w:rsidRDefault="00ED0C0A" w:rsidP="00ED0C0A"/>
    <w:p w:rsidR="00ED0C0A" w:rsidRDefault="00ED0C0A"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ED0C0A" w:rsidRDefault="00ED0C0A" w:rsidP="00ED0C0A">
      <w:pPr>
        <w:rPr>
          <w:b/>
          <w:sz w:val="28"/>
        </w:rPr>
      </w:pPr>
      <w:bookmarkStart w:id="535" w:name="_Hlk15765849"/>
      <w:r>
        <w:rPr>
          <w:b/>
          <w:sz w:val="28"/>
        </w:rPr>
        <w:lastRenderedPageBreak/>
        <w:t xml:space="preserve">D - 06.04.01   ROWY  </w:t>
      </w:r>
      <w:r>
        <w:rPr>
          <w:b/>
          <w:sz w:val="22"/>
        </w:rPr>
        <w:t>(W przypadku robót remontowych i utrzymaniowych)</w:t>
      </w:r>
    </w:p>
    <w:p w:rsidR="00ED0C0A" w:rsidRDefault="00ED0C0A" w:rsidP="00ED0C0A">
      <w:pPr>
        <w:pStyle w:val="Nagwek1"/>
      </w:pPr>
      <w:bookmarkStart w:id="536" w:name="_Toc428169257"/>
      <w:bookmarkEnd w:id="535"/>
      <w:r>
        <w:t>1. WSTĘP</w:t>
      </w:r>
      <w:bookmarkEnd w:id="536"/>
    </w:p>
    <w:p w:rsidR="00ED0C0A" w:rsidRDefault="00ED0C0A" w:rsidP="00ED0C0A">
      <w:pPr>
        <w:pStyle w:val="Nagwek2"/>
      </w:pPr>
      <w:r>
        <w:t>1.1. Przedmiot SST</w:t>
      </w:r>
    </w:p>
    <w:p w:rsidR="00ED0C0A" w:rsidRDefault="00ED0C0A" w:rsidP="00ED0C0A">
      <w:r>
        <w:rPr>
          <w:b/>
        </w:rPr>
        <w:tab/>
      </w:r>
      <w:r>
        <w:t>Przedmiotem niniejszej szczegółowej specyfikacji technicznej (SST) są wymagania dotyczące wykonania i odbioru robót związanych z remontowaniem i utrzymaniem rowów .</w:t>
      </w:r>
    </w:p>
    <w:p w:rsidR="00ED0C0A" w:rsidRDefault="00ED0C0A" w:rsidP="00ED0C0A">
      <w:pPr>
        <w:pStyle w:val="Nagwek2"/>
      </w:pPr>
      <w:r>
        <w:t>1.2. Zakres stosowania SST</w:t>
      </w:r>
    </w:p>
    <w:p w:rsidR="00ED0C0A" w:rsidRDefault="00ED0C0A" w:rsidP="00ED0C0A">
      <w:r>
        <w:rPr>
          <w:b/>
        </w:rPr>
        <w:tab/>
      </w:r>
      <w:r>
        <w:t>Szczegółowa specyfikacja techniczna (SST) stanowi obowiązującą podstawę jako dokument przetargowy i kontraktowy przy zlecaniu i realizacji robót na drogach.</w:t>
      </w:r>
    </w:p>
    <w:p w:rsidR="00ED0C0A" w:rsidRDefault="00ED0C0A" w:rsidP="00ED0C0A">
      <w:r>
        <w:tab/>
      </w:r>
    </w:p>
    <w:p w:rsidR="00ED0C0A" w:rsidRDefault="00ED0C0A" w:rsidP="00ED0C0A">
      <w:pPr>
        <w:pStyle w:val="Nagwek2"/>
      </w:pPr>
      <w:r>
        <w:t>1.3. Zakres robót objętych SST</w:t>
      </w:r>
    </w:p>
    <w:p w:rsidR="00ED0C0A" w:rsidRDefault="00ED0C0A" w:rsidP="00ED0C0A">
      <w:r>
        <w:rPr>
          <w:b/>
        </w:rPr>
        <w:tab/>
      </w:r>
      <w:r>
        <w:t>Ustalenia zawarte w niniejszej specyfikacji dotyczą zasad prowadzenia robót związanych z oczyszczaniem, pogłębianiem oraz profilowaniem dna i skarp rowu.</w:t>
      </w:r>
    </w:p>
    <w:p w:rsidR="00ED0C0A" w:rsidRDefault="00ED0C0A" w:rsidP="00ED0C0A">
      <w:pPr>
        <w:pStyle w:val="Nagwek2"/>
      </w:pPr>
      <w:r>
        <w:t>1.4. Określenia podstawowe</w:t>
      </w:r>
    </w:p>
    <w:p w:rsidR="00ED0C0A" w:rsidRDefault="00ED0C0A" w:rsidP="00ED0C0A">
      <w:r>
        <w:rPr>
          <w:b/>
        </w:rPr>
        <w:t xml:space="preserve">1.4.1. </w:t>
      </w:r>
      <w:r>
        <w:t>Rów - otwarty wykop o głębokości co najmniej 30 cm, który zbiera i odprowadza wodę.</w:t>
      </w:r>
    </w:p>
    <w:p w:rsidR="00ED0C0A" w:rsidRDefault="00ED0C0A" w:rsidP="00ED0C0A">
      <w:pPr>
        <w:spacing w:before="120"/>
      </w:pPr>
      <w:r>
        <w:rPr>
          <w:b/>
        </w:rPr>
        <w:t xml:space="preserve">1.4.2. </w:t>
      </w:r>
      <w:r>
        <w:t>Rów przydrożny - rów zbierający wodę z korony drogi.</w:t>
      </w:r>
    </w:p>
    <w:p w:rsidR="00ED0C0A" w:rsidRDefault="00ED0C0A" w:rsidP="00ED0C0A">
      <w:pPr>
        <w:spacing w:before="120"/>
      </w:pPr>
      <w:r>
        <w:rPr>
          <w:b/>
        </w:rPr>
        <w:t xml:space="preserve">1.4.3. </w:t>
      </w:r>
      <w:r>
        <w:t>Rów odpływowy - rów odprowadzający wodę poza pas drogowy.</w:t>
      </w:r>
    </w:p>
    <w:p w:rsidR="00ED0C0A" w:rsidRDefault="00ED0C0A" w:rsidP="00ED0C0A">
      <w:pPr>
        <w:spacing w:before="120"/>
      </w:pPr>
      <w:r>
        <w:rPr>
          <w:b/>
        </w:rPr>
        <w:t xml:space="preserve">1.4.4. </w:t>
      </w:r>
      <w:r>
        <w:t>Rów stokowy - rów zbierający wodę spływającą ze stoku.</w:t>
      </w:r>
    </w:p>
    <w:p w:rsidR="00ED0C0A" w:rsidRDefault="00ED0C0A" w:rsidP="00ED0C0A">
      <w:pPr>
        <w:spacing w:before="120"/>
      </w:pPr>
      <w:r>
        <w:rPr>
          <w:b/>
        </w:rPr>
        <w:t xml:space="preserve">1.4.5. </w:t>
      </w:r>
      <w:r>
        <w:t>Pozostałe określenia podstawowe są zgodne z obowiązującymi, odpowiednimi polskimi normami i z definicjami podanymi w SST  D-00.00.00 „Wymagania ogólne” pkt 1.4.</w:t>
      </w:r>
    </w:p>
    <w:p w:rsidR="00ED0C0A" w:rsidRDefault="00ED0C0A" w:rsidP="00ED0C0A">
      <w:pPr>
        <w:pStyle w:val="Nagwek2"/>
      </w:pPr>
      <w:r>
        <w:t>1.5. Ogólne wymagania dotyczące robót</w:t>
      </w:r>
    </w:p>
    <w:p w:rsidR="00ED0C0A" w:rsidRDefault="00ED0C0A" w:rsidP="00ED0C0A">
      <w:r>
        <w:tab/>
        <w:t>Ogólne wymagania dotyczące robót podano w SST D-00.00.00 „Wymagania ogólne” pkt 1.5.</w:t>
      </w:r>
    </w:p>
    <w:p w:rsidR="00ED0C0A" w:rsidRDefault="00ED0C0A" w:rsidP="00ED0C0A">
      <w:pPr>
        <w:pStyle w:val="Nagwek1"/>
      </w:pPr>
      <w:bookmarkStart w:id="537" w:name="_Toc428169258"/>
      <w:r>
        <w:t>2. MATERIAŁY</w:t>
      </w:r>
      <w:bookmarkEnd w:id="537"/>
    </w:p>
    <w:p w:rsidR="00ED0C0A" w:rsidRDefault="00ED0C0A" w:rsidP="00ED0C0A">
      <w:r>
        <w:tab/>
        <w:t>Materiały nie występują.</w:t>
      </w:r>
    </w:p>
    <w:p w:rsidR="00ED0C0A" w:rsidRDefault="00ED0C0A" w:rsidP="00ED0C0A">
      <w:pPr>
        <w:pStyle w:val="Nagwek1"/>
      </w:pPr>
      <w:bookmarkStart w:id="538" w:name="_Toc428169259"/>
      <w:r>
        <w:t>3. SPRZĘT</w:t>
      </w:r>
      <w:bookmarkEnd w:id="538"/>
    </w:p>
    <w:p w:rsidR="00ED0C0A" w:rsidRDefault="00ED0C0A" w:rsidP="00ED0C0A">
      <w:pPr>
        <w:pStyle w:val="Nagwek2"/>
      </w:pPr>
      <w:r>
        <w:t>3.1. Ogólne wymagania dotyczące sprzętu</w:t>
      </w:r>
    </w:p>
    <w:p w:rsidR="00ED0C0A" w:rsidRDefault="00ED0C0A" w:rsidP="00ED0C0A">
      <w:r>
        <w:tab/>
        <w:t>Ogólne wymagania dotyczące sprzętu podano w SST D-00.00.00 „Wymagania ogólne” pkt 3.</w:t>
      </w:r>
    </w:p>
    <w:p w:rsidR="00ED0C0A" w:rsidRDefault="00ED0C0A" w:rsidP="00ED0C0A">
      <w:pPr>
        <w:pStyle w:val="Nagwek2"/>
      </w:pPr>
      <w:r>
        <w:t>3.2. Sprzęt do wykonywania robót remontowych i utrzymaniowych</w:t>
      </w:r>
    </w:p>
    <w:p w:rsidR="00ED0C0A" w:rsidRDefault="00ED0C0A" w:rsidP="00ED0C0A">
      <w:r>
        <w:tab/>
        <w:t>Wykonawca przystępujący do wykonania robót powinien wykazać się możliwością korzystania z następującego sprzętu:</w:t>
      </w:r>
    </w:p>
    <w:p w:rsidR="00ED0C0A" w:rsidRDefault="00ED0C0A" w:rsidP="00A46F82">
      <w:pPr>
        <w:numPr>
          <w:ilvl w:val="0"/>
          <w:numId w:val="213"/>
        </w:numPr>
        <w:overflowPunct w:val="0"/>
        <w:autoSpaceDE w:val="0"/>
        <w:autoSpaceDN w:val="0"/>
        <w:adjustRightInd w:val="0"/>
        <w:jc w:val="both"/>
      </w:pPr>
      <w:r>
        <w:t>koparek podsiębiernych,</w:t>
      </w:r>
    </w:p>
    <w:p w:rsidR="00ED0C0A" w:rsidRDefault="00ED0C0A" w:rsidP="00A46F82">
      <w:pPr>
        <w:numPr>
          <w:ilvl w:val="0"/>
          <w:numId w:val="213"/>
        </w:numPr>
        <w:overflowPunct w:val="0"/>
        <w:autoSpaceDE w:val="0"/>
        <w:autoSpaceDN w:val="0"/>
        <w:adjustRightInd w:val="0"/>
        <w:jc w:val="both"/>
      </w:pPr>
      <w:r>
        <w:t>spycharek lemieszowych,</w:t>
      </w:r>
    </w:p>
    <w:p w:rsidR="00ED0C0A" w:rsidRDefault="00ED0C0A" w:rsidP="00A46F82">
      <w:pPr>
        <w:numPr>
          <w:ilvl w:val="0"/>
          <w:numId w:val="213"/>
        </w:numPr>
        <w:overflowPunct w:val="0"/>
        <w:autoSpaceDE w:val="0"/>
        <w:autoSpaceDN w:val="0"/>
        <w:adjustRightInd w:val="0"/>
        <w:jc w:val="both"/>
      </w:pPr>
      <w:r>
        <w:t>równiarek samojezdnych lub przyczepnych,</w:t>
      </w:r>
    </w:p>
    <w:p w:rsidR="00ED0C0A" w:rsidRDefault="00ED0C0A" w:rsidP="00A46F82">
      <w:pPr>
        <w:numPr>
          <w:ilvl w:val="0"/>
          <w:numId w:val="213"/>
        </w:numPr>
        <w:overflowPunct w:val="0"/>
        <w:autoSpaceDE w:val="0"/>
        <w:autoSpaceDN w:val="0"/>
        <w:adjustRightInd w:val="0"/>
        <w:jc w:val="both"/>
      </w:pPr>
      <w:r>
        <w:t>urządzeń kontrolno-pomiarowych,</w:t>
      </w:r>
    </w:p>
    <w:p w:rsidR="00ED0C0A" w:rsidRDefault="00ED0C0A" w:rsidP="00A46F82">
      <w:pPr>
        <w:numPr>
          <w:ilvl w:val="0"/>
          <w:numId w:val="213"/>
        </w:numPr>
        <w:overflowPunct w:val="0"/>
        <w:autoSpaceDE w:val="0"/>
        <w:autoSpaceDN w:val="0"/>
        <w:adjustRightInd w:val="0"/>
        <w:jc w:val="both"/>
      </w:pPr>
      <w:r>
        <w:t>zagęszczarek płytowych wibracyjnych.</w:t>
      </w:r>
    </w:p>
    <w:p w:rsidR="00ED0C0A" w:rsidRDefault="00ED0C0A" w:rsidP="00ED0C0A">
      <w:pPr>
        <w:pStyle w:val="Nagwek1"/>
      </w:pPr>
      <w:bookmarkStart w:id="539" w:name="_Toc428169260"/>
      <w:r>
        <w:t>4. TRANSPORT</w:t>
      </w:r>
      <w:bookmarkEnd w:id="539"/>
    </w:p>
    <w:p w:rsidR="00ED0C0A" w:rsidRDefault="00ED0C0A" w:rsidP="00ED0C0A">
      <w:pPr>
        <w:pStyle w:val="Nagwek2"/>
      </w:pPr>
      <w:r>
        <w:t>4.1. Ogólne wymagania dotyczące transportu</w:t>
      </w:r>
    </w:p>
    <w:p w:rsidR="00ED0C0A" w:rsidRDefault="00ED0C0A" w:rsidP="00ED0C0A">
      <w:r>
        <w:tab/>
        <w:t>Ogólne wymagania dotyczące transportu podano w SST D-00.00.00 „Wymagania ogólne” pkt 4.</w:t>
      </w:r>
    </w:p>
    <w:p w:rsidR="00ED0C0A" w:rsidRDefault="00ED0C0A" w:rsidP="00ED0C0A">
      <w:pPr>
        <w:pStyle w:val="Nagwek2"/>
      </w:pPr>
      <w:r>
        <w:t>4.2. Transport materiałów</w:t>
      </w:r>
    </w:p>
    <w:p w:rsidR="00ED0C0A" w:rsidRDefault="00ED0C0A" w:rsidP="00ED0C0A">
      <w:r>
        <w:tab/>
        <w:t>Przy wykonywaniu robót określonych w niniejszej SST, można korzystać z dowolnych środków transportowych.</w:t>
      </w:r>
    </w:p>
    <w:p w:rsidR="00ED0C0A" w:rsidRDefault="00ED0C0A" w:rsidP="00ED0C0A">
      <w:pPr>
        <w:pStyle w:val="Nagwek1"/>
      </w:pPr>
      <w:bookmarkStart w:id="540" w:name="_Toc428169261"/>
      <w:r>
        <w:t>5. WYKONANIE ROBÓT</w:t>
      </w:r>
      <w:bookmarkEnd w:id="540"/>
    </w:p>
    <w:p w:rsidR="00ED0C0A" w:rsidRDefault="00ED0C0A" w:rsidP="00ED0C0A">
      <w:pPr>
        <w:pStyle w:val="Nagwek2"/>
      </w:pPr>
      <w:r>
        <w:t>5.1. Ogólne zasady wykonania robót</w:t>
      </w:r>
    </w:p>
    <w:p w:rsidR="00ED0C0A" w:rsidRDefault="00ED0C0A" w:rsidP="00ED0C0A">
      <w:r>
        <w:tab/>
        <w:t>Ogólne zasady wykonania robót podano w SST D-00.00.00 „Wymagania ogólne” pkt 5.</w:t>
      </w:r>
    </w:p>
    <w:p w:rsidR="00ED0C0A" w:rsidRDefault="00ED0C0A" w:rsidP="00ED0C0A">
      <w:pPr>
        <w:pStyle w:val="Nagwek2"/>
      </w:pPr>
      <w:r>
        <w:lastRenderedPageBreak/>
        <w:t>5.2. Oczyszczenie rowu</w:t>
      </w:r>
    </w:p>
    <w:p w:rsidR="00ED0C0A" w:rsidRDefault="00ED0C0A" w:rsidP="00ED0C0A">
      <w:r>
        <w:tab/>
        <w:t>Oczyszczenie rowu polega na wybraniu namułu naniesionego przez wodę, ścięciu trawy i krzaków w obrębie rowu.</w:t>
      </w:r>
    </w:p>
    <w:p w:rsidR="00ED0C0A" w:rsidRDefault="00ED0C0A" w:rsidP="00ED0C0A">
      <w:pPr>
        <w:pStyle w:val="Nagwek2"/>
      </w:pPr>
      <w:r>
        <w:t>5.3. Pogłębianie i wyprofilowanie dna i skarp rowu</w:t>
      </w:r>
    </w:p>
    <w:p w:rsidR="00ED0C0A" w:rsidRDefault="00ED0C0A" w:rsidP="00ED0C0A">
      <w:r>
        <w:rPr>
          <w:b/>
        </w:rPr>
        <w:tab/>
      </w:r>
      <w:r>
        <w:t>W wyniku prac remontowych należy uzyskać podane poniżej wymiary geometryczne rowu i skarp, zgodne z PN-S-02204 [1]:</w:t>
      </w:r>
    </w:p>
    <w:p w:rsidR="00ED0C0A" w:rsidRDefault="00ED0C0A" w:rsidP="00ED0C0A">
      <w:r>
        <w:t>- dla rowu przydrożnego w kształcie:</w:t>
      </w:r>
    </w:p>
    <w:p w:rsidR="00ED0C0A" w:rsidRDefault="00ED0C0A" w:rsidP="00A46F82">
      <w:pPr>
        <w:numPr>
          <w:ilvl w:val="0"/>
          <w:numId w:val="223"/>
        </w:numPr>
        <w:overflowPunct w:val="0"/>
        <w:autoSpaceDE w:val="0"/>
        <w:autoSpaceDN w:val="0"/>
        <w:adjustRightInd w:val="0"/>
        <w:jc w:val="both"/>
      </w:pPr>
      <w:r>
        <w:t>trapezowym - szerokość dna co najmniej 0,40 m, nachylenie skarp od 1:1,5 do 1:1,3, głębokość od 0,30 m do 1,20 m liczona jako różnica poziomów dna i niższej krawędzi górnej rowu;</w:t>
      </w:r>
    </w:p>
    <w:p w:rsidR="00ED0C0A" w:rsidRDefault="00ED0C0A" w:rsidP="00A46F82">
      <w:pPr>
        <w:numPr>
          <w:ilvl w:val="0"/>
          <w:numId w:val="223"/>
        </w:numPr>
        <w:overflowPunct w:val="0"/>
        <w:autoSpaceDE w:val="0"/>
        <w:autoSpaceDN w:val="0"/>
        <w:adjustRightInd w:val="0"/>
        <w:jc w:val="both"/>
      </w:pPr>
      <w:r>
        <w:t>trójkątnym - dno wyokrąglone łukiem kołowym o promieniu 0,50 m, nachylenie skarpy wewnętrznej 1:3, nachylenie skarpy zewnętrznej od 1:3 do 1:10, głębokość od 0,30 m do 1,50 m liczona jako różnica poziomów dna i niższej krawędzi górnej rowu;</w:t>
      </w:r>
    </w:p>
    <w:p w:rsidR="00ED0C0A" w:rsidRDefault="00ED0C0A" w:rsidP="00A46F82">
      <w:pPr>
        <w:numPr>
          <w:ilvl w:val="0"/>
          <w:numId w:val="223"/>
        </w:numPr>
        <w:overflowPunct w:val="0"/>
        <w:autoSpaceDE w:val="0"/>
        <w:autoSpaceDN w:val="0"/>
        <w:adjustRightInd w:val="0"/>
        <w:jc w:val="both"/>
      </w:pPr>
      <w:r>
        <w:t>opływowym - dno wyokrąglone łukiem kołowym o promieniu 2,0 m, krawędzie górne wyokrąglone łukami kołowymi o promieniu 1,0 m do 2,0 m, nachylenie skarpy wewnętrznej 1:3, a skarpy zewnętrznej od 1:3 do 1:10, głębokość od 0,30 m do 0,50 m liczona jako różnica poziomów dna i niższej krawędzi górnej rowu;</w:t>
      </w:r>
    </w:p>
    <w:p w:rsidR="00ED0C0A" w:rsidRDefault="00ED0C0A" w:rsidP="00A46F82">
      <w:pPr>
        <w:numPr>
          <w:ilvl w:val="0"/>
          <w:numId w:val="213"/>
        </w:numPr>
        <w:overflowPunct w:val="0"/>
        <w:autoSpaceDE w:val="0"/>
        <w:autoSpaceDN w:val="0"/>
        <w:adjustRightInd w:val="0"/>
        <w:jc w:val="both"/>
      </w:pPr>
      <w:r>
        <w:t>dla rowu stokowego - kształt trapezowy, szerokość dna co najmniej   0,40 m, nachylenie skarp od 1:1,5 do 1:3, głębokość co najmniej 0,50 m. Rów ten powinien być oddalony co najmniej o 3,0 m od krawędzi skarpy drogowej przy gruntach suchych i zwartych i co najmniej o 5,0 m w pozostałych przypadkach.</w:t>
      </w:r>
    </w:p>
    <w:p w:rsidR="00ED0C0A" w:rsidRDefault="00ED0C0A" w:rsidP="00A46F82">
      <w:pPr>
        <w:numPr>
          <w:ilvl w:val="0"/>
          <w:numId w:val="213"/>
        </w:numPr>
        <w:overflowPunct w:val="0"/>
        <w:autoSpaceDE w:val="0"/>
        <w:autoSpaceDN w:val="0"/>
        <w:adjustRightInd w:val="0"/>
        <w:jc w:val="both"/>
      </w:pPr>
      <w:r>
        <w:t>dla rowu odpływowego - kształt trapezowy, szerokość dna co najmniej  0,40 m, głębokość minimum 0,50 m, przebieg prostoliniowy, na załamaniach trasy łuki kołowe o promieniu co najmniej 10,0 m.</w:t>
      </w:r>
    </w:p>
    <w:p w:rsidR="00ED0C0A" w:rsidRDefault="00ED0C0A" w:rsidP="00ED0C0A">
      <w:r>
        <w:tab/>
        <w:t>Najmniejszy dopuszczalny spadek podłużny rowu powinien wynosić 0,2%;                  w wyjątkowych sytuacjach na odcinkach nie przekraczających 200 m - 0,1%.</w:t>
      </w:r>
    </w:p>
    <w:p w:rsidR="00ED0C0A" w:rsidRDefault="00ED0C0A" w:rsidP="00ED0C0A">
      <w:r>
        <w:tab/>
        <w:t>Największy spadek podłużny rowu nie powinien przekraczać:</w:t>
      </w:r>
    </w:p>
    <w:p w:rsidR="00ED0C0A" w:rsidRDefault="00ED0C0A" w:rsidP="00A46F82">
      <w:pPr>
        <w:numPr>
          <w:ilvl w:val="0"/>
          <w:numId w:val="224"/>
        </w:numPr>
        <w:overflowPunct w:val="0"/>
        <w:autoSpaceDE w:val="0"/>
        <w:autoSpaceDN w:val="0"/>
        <w:adjustRightInd w:val="0"/>
        <w:jc w:val="both"/>
      </w:pPr>
      <w:r>
        <w:t>przy nieumocnionych skarpach i dnie</w:t>
      </w:r>
    </w:p>
    <w:p w:rsidR="00ED0C0A" w:rsidRDefault="00ED0C0A" w:rsidP="00ED0C0A">
      <w:r>
        <w:tab/>
        <w:t>- w gruntach piaszczystych - 1,5%,</w:t>
      </w:r>
    </w:p>
    <w:p w:rsidR="00ED0C0A" w:rsidRDefault="00ED0C0A" w:rsidP="00ED0C0A">
      <w:r>
        <w:tab/>
        <w:t>- w gruntach piaszczysto-gliniastych, pylastych - 2,0%,</w:t>
      </w:r>
    </w:p>
    <w:p w:rsidR="00ED0C0A" w:rsidRDefault="00ED0C0A" w:rsidP="00ED0C0A">
      <w:r>
        <w:tab/>
        <w:t>- w gruntach gliniastych i ilastych - 3,0%,</w:t>
      </w:r>
    </w:p>
    <w:p w:rsidR="00ED0C0A" w:rsidRDefault="00ED0C0A" w:rsidP="00ED0C0A">
      <w:r>
        <w:tab/>
        <w:t>- w gruntach skalistych - 10,0%;</w:t>
      </w:r>
    </w:p>
    <w:p w:rsidR="00ED0C0A" w:rsidRDefault="00ED0C0A" w:rsidP="00A46F82">
      <w:pPr>
        <w:numPr>
          <w:ilvl w:val="0"/>
          <w:numId w:val="225"/>
        </w:numPr>
        <w:overflowPunct w:val="0"/>
        <w:autoSpaceDE w:val="0"/>
        <w:autoSpaceDN w:val="0"/>
        <w:adjustRightInd w:val="0"/>
        <w:jc w:val="both"/>
      </w:pPr>
      <w:r>
        <w:t>przy umocnionych skarpach i dnie</w:t>
      </w:r>
    </w:p>
    <w:p w:rsidR="00ED0C0A" w:rsidRDefault="00ED0C0A" w:rsidP="00ED0C0A">
      <w:r>
        <w:tab/>
        <w:t>- matą trawiastą - 2,0%,</w:t>
      </w:r>
    </w:p>
    <w:p w:rsidR="00ED0C0A" w:rsidRDefault="00ED0C0A" w:rsidP="00ED0C0A">
      <w:r>
        <w:tab/>
        <w:t>- darniną - 3,0%,</w:t>
      </w:r>
    </w:p>
    <w:p w:rsidR="00ED0C0A" w:rsidRDefault="00ED0C0A" w:rsidP="00ED0C0A">
      <w:r>
        <w:tab/>
        <w:t>- faszyną - 4,0%,</w:t>
      </w:r>
    </w:p>
    <w:p w:rsidR="00ED0C0A" w:rsidRDefault="00ED0C0A" w:rsidP="00ED0C0A">
      <w:r>
        <w:tab/>
        <w:t>- brukiem na sucho - 6,0%,</w:t>
      </w:r>
    </w:p>
    <w:p w:rsidR="00ED0C0A" w:rsidRDefault="00ED0C0A" w:rsidP="00ED0C0A">
      <w:r>
        <w:tab/>
        <w:t>- elementami betonowymi - 10,0%,</w:t>
      </w:r>
    </w:p>
    <w:p w:rsidR="00ED0C0A" w:rsidRDefault="00ED0C0A" w:rsidP="00ED0C0A">
      <w:r>
        <w:tab/>
        <w:t>- brukiem na podsypce cementowo-piaskowej - 15,0%.</w:t>
      </w:r>
    </w:p>
    <w:p w:rsidR="00ED0C0A" w:rsidRDefault="00ED0C0A" w:rsidP="00ED0C0A">
      <w:pPr>
        <w:pStyle w:val="Nagwek2"/>
      </w:pPr>
      <w:r>
        <w:t>5.4. Roboty wykończeniowe</w:t>
      </w:r>
    </w:p>
    <w:p w:rsidR="00ED0C0A" w:rsidRDefault="00ED0C0A" w:rsidP="00ED0C0A">
      <w:r>
        <w:tab/>
        <w:t>Namuł i nadmiar gruntu pochodzącego z remontowanych rowów i skarp należy wywieźć poza obręb pasa drogowego i rozplantować w miejscu zaakceptowanym przez Inżyniera.</w:t>
      </w:r>
    </w:p>
    <w:p w:rsidR="00ED0C0A" w:rsidRDefault="00ED0C0A" w:rsidP="00ED0C0A">
      <w:r>
        <w:tab/>
        <w:t>Sposób zniszczenia pozostałości po usuniętej roślinności powinien być zgodny z ustaleniami SST lub wskazaniami Inżyniera.</w:t>
      </w:r>
    </w:p>
    <w:p w:rsidR="00ED0C0A" w:rsidRDefault="00ED0C0A" w:rsidP="00ED0C0A">
      <w:pPr>
        <w:pStyle w:val="Nagwek1"/>
      </w:pPr>
      <w:bookmarkStart w:id="541" w:name="_Toc428169262"/>
      <w:r>
        <w:t>6. KONTROLA JAKOŚCI ROBÓT</w:t>
      </w:r>
      <w:bookmarkEnd w:id="541"/>
    </w:p>
    <w:p w:rsidR="00ED0C0A" w:rsidRDefault="00ED0C0A" w:rsidP="00ED0C0A">
      <w:pPr>
        <w:pStyle w:val="Nagwek2"/>
      </w:pPr>
      <w:r>
        <w:t>6.1. Ogólne zasady kontroli jakości robót</w:t>
      </w:r>
    </w:p>
    <w:p w:rsidR="00ED0C0A" w:rsidRDefault="00ED0C0A" w:rsidP="00ED0C0A">
      <w:r>
        <w:tab/>
        <w:t>Ogólne zasady kontroli jakości robót podano w SST D-00.00.00 „Wymagania ogólne” pkt 6.</w:t>
      </w:r>
    </w:p>
    <w:p w:rsidR="00ED0C0A" w:rsidRDefault="00ED0C0A" w:rsidP="00ED0C0A">
      <w:pPr>
        <w:pStyle w:val="Nagwek2"/>
      </w:pPr>
      <w:r>
        <w:t>6.2. Pomiary cech geometrycznych remontowanego rowu i skarp</w:t>
      </w:r>
    </w:p>
    <w:p w:rsidR="00ED0C0A" w:rsidRDefault="00ED0C0A" w:rsidP="00ED0C0A">
      <w:r>
        <w:tab/>
        <w:t xml:space="preserve">Częstotliwość oraz zakres pomiarów podaje tablica </w:t>
      </w:r>
    </w:p>
    <w:p w:rsidR="00ED0C0A" w:rsidRDefault="00ED0C0A" w:rsidP="00ED0C0A"/>
    <w:p w:rsidR="00ED0C0A" w:rsidRDefault="00ED0C0A" w:rsidP="00ED0C0A">
      <w:pPr>
        <w:spacing w:after="120"/>
      </w:pPr>
      <w:r>
        <w:t>Tablica 1.</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260"/>
        <w:gridCol w:w="3685"/>
      </w:tblGrid>
      <w:tr w:rsidR="00ED0C0A" w:rsidTr="00ED0C0A">
        <w:tc>
          <w:tcPr>
            <w:tcW w:w="496" w:type="dxa"/>
            <w:tcBorders>
              <w:top w:val="single" w:sz="6" w:space="0" w:color="auto"/>
              <w:left w:val="single" w:sz="6" w:space="0" w:color="auto"/>
              <w:bottom w:val="double" w:sz="6" w:space="0" w:color="auto"/>
              <w:right w:val="single" w:sz="6" w:space="0" w:color="auto"/>
            </w:tcBorders>
            <w:hideMark/>
          </w:tcPr>
          <w:p w:rsidR="00ED0C0A" w:rsidRDefault="00ED0C0A">
            <w:pPr>
              <w:spacing w:before="60" w:after="60" w:line="276" w:lineRule="auto"/>
              <w:jc w:val="center"/>
              <w:rPr>
                <w:lang w:eastAsia="en-US"/>
              </w:rPr>
            </w:pPr>
            <w:r>
              <w:rPr>
                <w:lang w:eastAsia="en-US"/>
              </w:rPr>
              <w:t>Lp.</w:t>
            </w:r>
          </w:p>
        </w:tc>
        <w:tc>
          <w:tcPr>
            <w:tcW w:w="3260" w:type="dxa"/>
            <w:tcBorders>
              <w:top w:val="single" w:sz="6" w:space="0" w:color="auto"/>
              <w:left w:val="single" w:sz="6" w:space="0" w:color="auto"/>
              <w:bottom w:val="double" w:sz="6" w:space="0" w:color="auto"/>
              <w:right w:val="single" w:sz="6" w:space="0" w:color="auto"/>
            </w:tcBorders>
            <w:hideMark/>
          </w:tcPr>
          <w:p w:rsidR="00ED0C0A" w:rsidRDefault="00ED0C0A">
            <w:pPr>
              <w:spacing w:before="60" w:after="60" w:line="276" w:lineRule="auto"/>
              <w:jc w:val="center"/>
              <w:rPr>
                <w:lang w:eastAsia="en-US"/>
              </w:rPr>
            </w:pPr>
            <w:r>
              <w:rPr>
                <w:lang w:eastAsia="en-US"/>
              </w:rPr>
              <w:t>Wyszczególnienie</w:t>
            </w:r>
          </w:p>
        </w:tc>
        <w:tc>
          <w:tcPr>
            <w:tcW w:w="3685" w:type="dxa"/>
            <w:tcBorders>
              <w:top w:val="single" w:sz="6" w:space="0" w:color="auto"/>
              <w:left w:val="single" w:sz="6" w:space="0" w:color="auto"/>
              <w:bottom w:val="double" w:sz="6" w:space="0" w:color="auto"/>
              <w:right w:val="single" w:sz="6" w:space="0" w:color="auto"/>
            </w:tcBorders>
            <w:hideMark/>
          </w:tcPr>
          <w:p w:rsidR="00ED0C0A" w:rsidRDefault="00ED0C0A">
            <w:pPr>
              <w:spacing w:before="60" w:after="60" w:line="276" w:lineRule="auto"/>
              <w:jc w:val="center"/>
              <w:rPr>
                <w:lang w:eastAsia="en-US"/>
              </w:rPr>
            </w:pPr>
            <w:r>
              <w:rPr>
                <w:lang w:eastAsia="en-US"/>
              </w:rPr>
              <w:t>Minimalna częstotliwość pomiarów</w:t>
            </w:r>
          </w:p>
        </w:tc>
      </w:tr>
      <w:tr w:rsidR="00ED0C0A" w:rsidTr="00ED0C0A">
        <w:tc>
          <w:tcPr>
            <w:tcW w:w="496" w:type="dxa"/>
            <w:tcBorders>
              <w:top w:val="nil"/>
              <w:left w:val="single" w:sz="6" w:space="0" w:color="auto"/>
              <w:bottom w:val="single" w:sz="6" w:space="0" w:color="auto"/>
              <w:right w:val="single" w:sz="6" w:space="0" w:color="auto"/>
            </w:tcBorders>
            <w:hideMark/>
          </w:tcPr>
          <w:p w:rsidR="00ED0C0A" w:rsidRDefault="00ED0C0A">
            <w:pPr>
              <w:spacing w:before="60" w:after="60" w:line="276" w:lineRule="auto"/>
              <w:jc w:val="center"/>
              <w:rPr>
                <w:b/>
                <w:lang w:eastAsia="en-US"/>
              </w:rPr>
            </w:pPr>
            <w:r>
              <w:rPr>
                <w:lang w:eastAsia="en-US"/>
              </w:rPr>
              <w:t>1</w:t>
            </w:r>
          </w:p>
        </w:tc>
        <w:tc>
          <w:tcPr>
            <w:tcW w:w="3260" w:type="dxa"/>
            <w:tcBorders>
              <w:top w:val="nil"/>
              <w:left w:val="single" w:sz="6" w:space="0" w:color="auto"/>
              <w:bottom w:val="single" w:sz="6" w:space="0" w:color="auto"/>
              <w:right w:val="single" w:sz="6" w:space="0" w:color="auto"/>
            </w:tcBorders>
            <w:hideMark/>
          </w:tcPr>
          <w:p w:rsidR="00ED0C0A" w:rsidRDefault="00ED0C0A">
            <w:pPr>
              <w:spacing w:before="60" w:after="60" w:line="276" w:lineRule="auto"/>
              <w:rPr>
                <w:b/>
                <w:lang w:eastAsia="en-US"/>
              </w:rPr>
            </w:pPr>
            <w:r>
              <w:rPr>
                <w:lang w:eastAsia="en-US"/>
              </w:rPr>
              <w:t>Spadek podłużny rowu</w:t>
            </w:r>
          </w:p>
        </w:tc>
        <w:tc>
          <w:tcPr>
            <w:tcW w:w="3685" w:type="dxa"/>
            <w:tcBorders>
              <w:top w:val="nil"/>
              <w:left w:val="single" w:sz="6" w:space="0" w:color="auto"/>
              <w:bottom w:val="single" w:sz="6" w:space="0" w:color="auto"/>
              <w:right w:val="single" w:sz="6" w:space="0" w:color="auto"/>
            </w:tcBorders>
            <w:hideMark/>
          </w:tcPr>
          <w:p w:rsidR="00ED0C0A" w:rsidRDefault="00ED0C0A">
            <w:pPr>
              <w:spacing w:before="60" w:after="60" w:line="276" w:lineRule="auto"/>
              <w:jc w:val="center"/>
              <w:rPr>
                <w:lang w:eastAsia="en-US"/>
              </w:rPr>
            </w:pPr>
            <w:r>
              <w:rPr>
                <w:lang w:eastAsia="en-US"/>
              </w:rPr>
              <w:t>1 km na każde 5 km drogi</w:t>
            </w:r>
          </w:p>
        </w:tc>
      </w:tr>
      <w:tr w:rsidR="00ED0C0A" w:rsidTr="00ED0C0A">
        <w:tc>
          <w:tcPr>
            <w:tcW w:w="496" w:type="dxa"/>
            <w:tcBorders>
              <w:top w:val="single" w:sz="6" w:space="0" w:color="auto"/>
              <w:left w:val="single" w:sz="6" w:space="0" w:color="auto"/>
              <w:bottom w:val="single" w:sz="6" w:space="0" w:color="auto"/>
              <w:right w:val="single" w:sz="6" w:space="0" w:color="auto"/>
            </w:tcBorders>
            <w:hideMark/>
          </w:tcPr>
          <w:p w:rsidR="00ED0C0A" w:rsidRDefault="00ED0C0A">
            <w:pPr>
              <w:spacing w:before="60" w:after="60" w:line="276" w:lineRule="auto"/>
              <w:jc w:val="center"/>
              <w:rPr>
                <w:b/>
                <w:lang w:eastAsia="en-US"/>
              </w:rPr>
            </w:pPr>
            <w:r>
              <w:rPr>
                <w:lang w:eastAsia="en-US"/>
              </w:rPr>
              <w:t>2</w:t>
            </w:r>
          </w:p>
        </w:tc>
        <w:tc>
          <w:tcPr>
            <w:tcW w:w="3260" w:type="dxa"/>
            <w:tcBorders>
              <w:top w:val="single" w:sz="6" w:space="0" w:color="auto"/>
              <w:left w:val="single" w:sz="6" w:space="0" w:color="auto"/>
              <w:bottom w:val="single" w:sz="6" w:space="0" w:color="auto"/>
              <w:right w:val="single" w:sz="6" w:space="0" w:color="auto"/>
            </w:tcBorders>
            <w:hideMark/>
          </w:tcPr>
          <w:p w:rsidR="00ED0C0A" w:rsidRDefault="00ED0C0A">
            <w:pPr>
              <w:spacing w:before="60" w:after="60" w:line="276" w:lineRule="auto"/>
              <w:rPr>
                <w:b/>
                <w:lang w:eastAsia="en-US"/>
              </w:rPr>
            </w:pPr>
            <w:r>
              <w:rPr>
                <w:lang w:eastAsia="en-US"/>
              </w:rPr>
              <w:t>Szerokość i głębokość rowu</w:t>
            </w:r>
          </w:p>
        </w:tc>
        <w:tc>
          <w:tcPr>
            <w:tcW w:w="3685" w:type="dxa"/>
            <w:tcBorders>
              <w:top w:val="single" w:sz="6" w:space="0" w:color="auto"/>
              <w:left w:val="single" w:sz="6" w:space="0" w:color="auto"/>
              <w:bottom w:val="single" w:sz="6" w:space="0" w:color="auto"/>
              <w:right w:val="single" w:sz="6" w:space="0" w:color="auto"/>
            </w:tcBorders>
            <w:hideMark/>
          </w:tcPr>
          <w:p w:rsidR="00ED0C0A" w:rsidRDefault="00ED0C0A">
            <w:pPr>
              <w:spacing w:before="60" w:after="60" w:line="276" w:lineRule="auto"/>
              <w:jc w:val="center"/>
              <w:rPr>
                <w:lang w:eastAsia="en-US"/>
              </w:rPr>
            </w:pPr>
            <w:r>
              <w:rPr>
                <w:lang w:eastAsia="en-US"/>
              </w:rPr>
              <w:t>1 raz na 100 m</w:t>
            </w:r>
          </w:p>
        </w:tc>
      </w:tr>
      <w:tr w:rsidR="00ED0C0A" w:rsidTr="00ED0C0A">
        <w:tc>
          <w:tcPr>
            <w:tcW w:w="496" w:type="dxa"/>
            <w:tcBorders>
              <w:top w:val="single" w:sz="6" w:space="0" w:color="auto"/>
              <w:left w:val="single" w:sz="6" w:space="0" w:color="auto"/>
              <w:bottom w:val="single" w:sz="6" w:space="0" w:color="auto"/>
              <w:right w:val="single" w:sz="6" w:space="0" w:color="auto"/>
            </w:tcBorders>
            <w:hideMark/>
          </w:tcPr>
          <w:p w:rsidR="00ED0C0A" w:rsidRDefault="00ED0C0A">
            <w:pPr>
              <w:spacing w:before="60" w:after="60" w:line="276" w:lineRule="auto"/>
              <w:jc w:val="center"/>
              <w:rPr>
                <w:b/>
                <w:lang w:eastAsia="en-US"/>
              </w:rPr>
            </w:pPr>
            <w:r>
              <w:rPr>
                <w:lang w:eastAsia="en-US"/>
              </w:rPr>
              <w:t>3</w:t>
            </w:r>
          </w:p>
        </w:tc>
        <w:tc>
          <w:tcPr>
            <w:tcW w:w="3260" w:type="dxa"/>
            <w:tcBorders>
              <w:top w:val="single" w:sz="6" w:space="0" w:color="auto"/>
              <w:left w:val="single" w:sz="6" w:space="0" w:color="auto"/>
              <w:bottom w:val="single" w:sz="6" w:space="0" w:color="auto"/>
              <w:right w:val="single" w:sz="6" w:space="0" w:color="auto"/>
            </w:tcBorders>
            <w:hideMark/>
          </w:tcPr>
          <w:p w:rsidR="00ED0C0A" w:rsidRDefault="00ED0C0A">
            <w:pPr>
              <w:spacing w:before="60" w:after="60" w:line="276" w:lineRule="auto"/>
              <w:rPr>
                <w:b/>
                <w:lang w:eastAsia="en-US"/>
              </w:rPr>
            </w:pPr>
            <w:r>
              <w:rPr>
                <w:lang w:eastAsia="en-US"/>
              </w:rPr>
              <w:t>Powierzchnia skarp</w:t>
            </w:r>
          </w:p>
        </w:tc>
        <w:tc>
          <w:tcPr>
            <w:tcW w:w="3685" w:type="dxa"/>
            <w:tcBorders>
              <w:top w:val="single" w:sz="6" w:space="0" w:color="auto"/>
              <w:left w:val="single" w:sz="6" w:space="0" w:color="auto"/>
              <w:bottom w:val="single" w:sz="6" w:space="0" w:color="auto"/>
              <w:right w:val="single" w:sz="6" w:space="0" w:color="auto"/>
            </w:tcBorders>
            <w:hideMark/>
          </w:tcPr>
          <w:p w:rsidR="00ED0C0A" w:rsidRDefault="00ED0C0A">
            <w:pPr>
              <w:spacing w:before="60" w:after="60" w:line="276" w:lineRule="auto"/>
              <w:jc w:val="center"/>
              <w:rPr>
                <w:lang w:eastAsia="en-US"/>
              </w:rPr>
            </w:pPr>
            <w:r>
              <w:rPr>
                <w:lang w:eastAsia="en-US"/>
              </w:rPr>
              <w:t>1 raz na 100 m</w:t>
            </w:r>
          </w:p>
        </w:tc>
      </w:tr>
    </w:tbl>
    <w:p w:rsidR="00ED0C0A" w:rsidRDefault="00ED0C0A" w:rsidP="00ED0C0A">
      <w:pPr>
        <w:rPr>
          <w:b/>
        </w:rPr>
      </w:pPr>
    </w:p>
    <w:p w:rsidR="00ED0C0A" w:rsidRDefault="00ED0C0A" w:rsidP="00ED0C0A">
      <w:pPr>
        <w:spacing w:before="120" w:after="120"/>
      </w:pPr>
      <w:r>
        <w:rPr>
          <w:b/>
        </w:rPr>
        <w:t xml:space="preserve">6.2.1. </w:t>
      </w:r>
      <w:r>
        <w:t>Spadki podłużne rowu</w:t>
      </w:r>
    </w:p>
    <w:p w:rsidR="00ED0C0A" w:rsidRDefault="00ED0C0A" w:rsidP="00ED0C0A">
      <w:r>
        <w:tab/>
        <w:t xml:space="preserve">Spadki podłużne rowu powinny być zgodne z dokumentacją projektową, z tolerancją </w:t>
      </w:r>
      <w:r>
        <w:sym w:font="Symbol" w:char="F0B1"/>
      </w:r>
      <w:r>
        <w:t xml:space="preserve"> 0,5% spadku.</w:t>
      </w:r>
    </w:p>
    <w:p w:rsidR="00ED0C0A" w:rsidRDefault="00ED0C0A" w:rsidP="00ED0C0A">
      <w:pPr>
        <w:spacing w:before="120" w:after="120"/>
      </w:pPr>
      <w:r>
        <w:rPr>
          <w:b/>
        </w:rPr>
        <w:t xml:space="preserve">6.2.2. </w:t>
      </w:r>
      <w:r>
        <w:t>Szerokość i głębokość rowu</w:t>
      </w:r>
    </w:p>
    <w:p w:rsidR="00ED0C0A" w:rsidRDefault="00ED0C0A" w:rsidP="00ED0C0A">
      <w:r>
        <w:tab/>
        <w:t xml:space="preserve">Szerokość i głębokość rowu powinna być zgodna z dokumentacją projektową z tolerancją </w:t>
      </w:r>
      <w:r>
        <w:sym w:font="Symbol" w:char="F0B1"/>
      </w:r>
      <w:r>
        <w:t xml:space="preserve"> 5 cm.</w:t>
      </w:r>
    </w:p>
    <w:p w:rsidR="00ED0C0A" w:rsidRDefault="00ED0C0A" w:rsidP="00ED0C0A">
      <w:pPr>
        <w:spacing w:before="120" w:after="120"/>
      </w:pPr>
      <w:r>
        <w:rPr>
          <w:b/>
        </w:rPr>
        <w:t xml:space="preserve">6.2.3. </w:t>
      </w:r>
      <w:r>
        <w:t>Powierzchnia skarp</w:t>
      </w:r>
    </w:p>
    <w:p w:rsidR="00ED0C0A" w:rsidRDefault="00ED0C0A" w:rsidP="00ED0C0A">
      <w:r>
        <w:tab/>
        <w:t>Powierzchnię skarp należy sprawdzać szablonem. Prześwit między skarpą a szablonem nie powinien przekraczać 3cm.</w:t>
      </w:r>
    </w:p>
    <w:p w:rsidR="00ED0C0A" w:rsidRDefault="00ED0C0A" w:rsidP="00ED0C0A">
      <w:pPr>
        <w:pStyle w:val="Nagwek1"/>
      </w:pPr>
      <w:r>
        <w:t>7. OBMIAR ROBÓT</w:t>
      </w:r>
    </w:p>
    <w:p w:rsidR="00ED0C0A" w:rsidRDefault="00ED0C0A" w:rsidP="00ED0C0A">
      <w:pPr>
        <w:pStyle w:val="Nagwek2"/>
      </w:pPr>
      <w:r>
        <w:t>7.1. Ogólne zasady obmiaru robót</w:t>
      </w:r>
    </w:p>
    <w:p w:rsidR="00ED0C0A" w:rsidRDefault="00ED0C0A" w:rsidP="00ED0C0A">
      <w:r>
        <w:tab/>
        <w:t>Ogólne zasady obmiaru robót podano w SST D-00.00.00 „Wymagania ogólne” pkt 7.</w:t>
      </w:r>
    </w:p>
    <w:p w:rsidR="00ED0C0A" w:rsidRDefault="00ED0C0A" w:rsidP="00ED0C0A">
      <w:pPr>
        <w:pStyle w:val="Nagwek2"/>
      </w:pPr>
      <w:r>
        <w:t>7.2. Jednostka obmiarowa</w:t>
      </w:r>
    </w:p>
    <w:p w:rsidR="00ED0C0A" w:rsidRDefault="00ED0C0A" w:rsidP="00ED0C0A">
      <w:r>
        <w:tab/>
        <w:t>Jednostką obmiarową jest m (metr) remontowanego rowu.</w:t>
      </w:r>
    </w:p>
    <w:p w:rsidR="00ED0C0A" w:rsidRDefault="00ED0C0A" w:rsidP="00ED0C0A">
      <w:pPr>
        <w:pStyle w:val="Nagwek1"/>
      </w:pPr>
      <w:r>
        <w:t>8. ODBIÓR ROBÓT</w:t>
      </w:r>
    </w:p>
    <w:p w:rsidR="00ED0C0A" w:rsidRDefault="00ED0C0A" w:rsidP="00ED0C0A">
      <w:r>
        <w:tab/>
        <w:t>Ogólne zasady odbioru robót podano w SST D-00.00.00 „Wymagania ogólne” pkt 8.</w:t>
      </w:r>
    </w:p>
    <w:p w:rsidR="00ED0C0A" w:rsidRDefault="00ED0C0A" w:rsidP="00ED0C0A">
      <w:r>
        <w:tab/>
        <w:t>Roboty uznaje się za wykonane zgodnie z dokumentacją projektową, SST i wymaganiami Inżyniera, jeżeli wszystkie pomiary i badania z zachowaniem tolerancji wg pkt 6 dały wyniki pozytywne.</w:t>
      </w:r>
    </w:p>
    <w:p w:rsidR="00ED0C0A" w:rsidRDefault="00ED0C0A" w:rsidP="00ED0C0A">
      <w:pPr>
        <w:pStyle w:val="Nagwek1"/>
      </w:pPr>
      <w:r>
        <w:t>9. PODSTAWA PŁATNOŚCI</w:t>
      </w:r>
    </w:p>
    <w:p w:rsidR="00ED0C0A" w:rsidRDefault="00ED0C0A" w:rsidP="00ED0C0A">
      <w:pPr>
        <w:pStyle w:val="Nagwek2"/>
      </w:pPr>
      <w:r>
        <w:t>9.1. Ogólne ustalenia dotyczące podstawy płatności</w:t>
      </w:r>
    </w:p>
    <w:p w:rsidR="00ED0C0A" w:rsidRDefault="00ED0C0A" w:rsidP="00ED0C0A">
      <w:r>
        <w:tab/>
        <w:t>Ogólne ustalenia dotyczące podstawy płatności podano w SST D-00.00.00 „Wymagania ogólne” pkt 9.</w:t>
      </w:r>
    </w:p>
    <w:p w:rsidR="00ED0C0A" w:rsidRDefault="00ED0C0A" w:rsidP="00ED0C0A">
      <w:pPr>
        <w:pStyle w:val="Nagwek2"/>
      </w:pPr>
      <w:r>
        <w:t>9.2. Cena jednostki obmiarowej</w:t>
      </w:r>
    </w:p>
    <w:p w:rsidR="00ED0C0A" w:rsidRDefault="00ED0C0A" w:rsidP="00ED0C0A">
      <w:r>
        <w:tab/>
        <w:t>Cena wykonania 1 m remontowanego rowu obejmuje:</w:t>
      </w:r>
    </w:p>
    <w:p w:rsidR="00ED0C0A" w:rsidRDefault="00ED0C0A" w:rsidP="00A46F82">
      <w:pPr>
        <w:numPr>
          <w:ilvl w:val="0"/>
          <w:numId w:val="213"/>
        </w:numPr>
        <w:overflowPunct w:val="0"/>
        <w:autoSpaceDE w:val="0"/>
        <w:autoSpaceDN w:val="0"/>
        <w:adjustRightInd w:val="0"/>
        <w:jc w:val="both"/>
        <w:rPr>
          <w:b/>
        </w:rPr>
      </w:pPr>
      <w:r>
        <w:t>roboty pomiarowe i przygotowawcze,</w:t>
      </w:r>
    </w:p>
    <w:p w:rsidR="00ED0C0A" w:rsidRDefault="00ED0C0A" w:rsidP="00A46F82">
      <w:pPr>
        <w:numPr>
          <w:ilvl w:val="0"/>
          <w:numId w:val="213"/>
        </w:numPr>
        <w:overflowPunct w:val="0"/>
        <w:autoSpaceDE w:val="0"/>
        <w:autoSpaceDN w:val="0"/>
        <w:adjustRightInd w:val="0"/>
        <w:jc w:val="both"/>
        <w:rPr>
          <w:b/>
        </w:rPr>
      </w:pPr>
      <w:r>
        <w:t>oznakowanie robót,</w:t>
      </w:r>
    </w:p>
    <w:p w:rsidR="00ED0C0A" w:rsidRDefault="00ED0C0A" w:rsidP="00A46F82">
      <w:pPr>
        <w:numPr>
          <w:ilvl w:val="0"/>
          <w:numId w:val="213"/>
        </w:numPr>
        <w:overflowPunct w:val="0"/>
        <w:autoSpaceDE w:val="0"/>
        <w:autoSpaceDN w:val="0"/>
        <w:adjustRightInd w:val="0"/>
        <w:jc w:val="both"/>
        <w:rPr>
          <w:b/>
        </w:rPr>
      </w:pPr>
      <w:r>
        <w:t>oczyszczenie rowu,</w:t>
      </w:r>
    </w:p>
    <w:p w:rsidR="00ED0C0A" w:rsidRDefault="00ED0C0A" w:rsidP="00A46F82">
      <w:pPr>
        <w:numPr>
          <w:ilvl w:val="0"/>
          <w:numId w:val="213"/>
        </w:numPr>
        <w:overflowPunct w:val="0"/>
        <w:autoSpaceDE w:val="0"/>
        <w:autoSpaceDN w:val="0"/>
        <w:adjustRightInd w:val="0"/>
        <w:jc w:val="both"/>
        <w:rPr>
          <w:b/>
        </w:rPr>
      </w:pPr>
      <w:r>
        <w:t>pogłębianie i profilowanie rowu,</w:t>
      </w:r>
    </w:p>
    <w:p w:rsidR="00ED0C0A" w:rsidRDefault="00ED0C0A" w:rsidP="00A46F82">
      <w:pPr>
        <w:numPr>
          <w:ilvl w:val="0"/>
          <w:numId w:val="213"/>
        </w:numPr>
        <w:overflowPunct w:val="0"/>
        <w:autoSpaceDE w:val="0"/>
        <w:autoSpaceDN w:val="0"/>
        <w:adjustRightInd w:val="0"/>
        <w:jc w:val="both"/>
        <w:rPr>
          <w:b/>
        </w:rPr>
      </w:pPr>
      <w:r>
        <w:t>ścięcie trawy i krzaków,</w:t>
      </w:r>
    </w:p>
    <w:p w:rsidR="00ED0C0A" w:rsidRDefault="00ED0C0A" w:rsidP="00A46F82">
      <w:pPr>
        <w:numPr>
          <w:ilvl w:val="0"/>
          <w:numId w:val="213"/>
        </w:numPr>
        <w:overflowPunct w:val="0"/>
        <w:autoSpaceDE w:val="0"/>
        <w:autoSpaceDN w:val="0"/>
        <w:adjustRightInd w:val="0"/>
        <w:jc w:val="both"/>
        <w:rPr>
          <w:b/>
        </w:rPr>
      </w:pPr>
      <w:r>
        <w:t>odwiezienie urobku,</w:t>
      </w:r>
    </w:p>
    <w:p w:rsidR="00ED0C0A" w:rsidRDefault="00ED0C0A" w:rsidP="00A46F82">
      <w:pPr>
        <w:numPr>
          <w:ilvl w:val="0"/>
          <w:numId w:val="213"/>
        </w:numPr>
        <w:overflowPunct w:val="0"/>
        <w:autoSpaceDE w:val="0"/>
        <w:autoSpaceDN w:val="0"/>
        <w:adjustRightInd w:val="0"/>
        <w:jc w:val="both"/>
        <w:rPr>
          <w:b/>
        </w:rPr>
      </w:pPr>
      <w:r>
        <w:t>roboty wykończeniowe,</w:t>
      </w:r>
    </w:p>
    <w:p w:rsidR="00ED0C0A" w:rsidRDefault="00ED0C0A" w:rsidP="00A46F82">
      <w:pPr>
        <w:numPr>
          <w:ilvl w:val="0"/>
          <w:numId w:val="213"/>
        </w:numPr>
        <w:overflowPunct w:val="0"/>
        <w:autoSpaceDE w:val="0"/>
        <w:autoSpaceDN w:val="0"/>
        <w:adjustRightInd w:val="0"/>
        <w:jc w:val="both"/>
        <w:rPr>
          <w:b/>
        </w:rPr>
      </w:pPr>
      <w:r>
        <w:t>przeprowadzenie pomiarów wymaganych w specyfikacji technicznej.</w:t>
      </w:r>
    </w:p>
    <w:p w:rsidR="00ED0C0A" w:rsidRDefault="00ED0C0A" w:rsidP="00ED0C0A">
      <w:pPr>
        <w:pStyle w:val="Nagwek1"/>
      </w:pPr>
      <w:bookmarkStart w:id="542" w:name="_Toc428169266"/>
      <w:r>
        <w:t>10. PRZEPISY ZWIĄZANE</w:t>
      </w:r>
      <w:bookmarkEnd w:id="542"/>
    </w:p>
    <w:p w:rsidR="00ED0C0A" w:rsidRDefault="00ED0C0A" w:rsidP="00ED0C0A">
      <w:pPr>
        <w:pStyle w:val="Nagwek2"/>
      </w:pPr>
      <w:r>
        <w:t>10.1. Normy</w:t>
      </w:r>
    </w:p>
    <w:p w:rsidR="00ED0C0A" w:rsidRDefault="00ED0C0A" w:rsidP="00ED0C0A">
      <w:r>
        <w:t>1. PN-S-02204</w:t>
      </w:r>
      <w:r>
        <w:tab/>
        <w:t>Drogi samochodowe. Odwodnienie dróg</w:t>
      </w:r>
    </w:p>
    <w:p w:rsidR="00ED0C0A" w:rsidRDefault="00ED0C0A" w:rsidP="00ED0C0A">
      <w:pPr>
        <w:pStyle w:val="Nagwek2"/>
      </w:pPr>
      <w:r>
        <w:t>10.2. Inne materiały</w:t>
      </w:r>
    </w:p>
    <w:p w:rsidR="00ED0C0A" w:rsidRDefault="00ED0C0A" w:rsidP="00ED0C0A">
      <w:pPr>
        <w:rPr>
          <w:rFonts w:ascii="Bookman Old Style" w:hAnsi="Bookman Old Style"/>
          <w:b/>
        </w:rPr>
      </w:pPr>
      <w:r>
        <w:t>2. Stanisław Datka, Stanisław Lenczewski: Drogowe roboty ziemne</w:t>
      </w:r>
    </w:p>
    <w:p w:rsidR="00ED0C0A" w:rsidRDefault="00ED0C0A"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234EE1" w:rsidRDefault="00234EE1" w:rsidP="00ED0C0A"/>
    <w:p w:rsidR="00ED0C0A" w:rsidRDefault="00ED0C0A" w:rsidP="00ED0C0A">
      <w:pPr>
        <w:rPr>
          <w:b/>
          <w:sz w:val="28"/>
        </w:rPr>
      </w:pPr>
      <w:bookmarkStart w:id="543" w:name="_Hlk15765863"/>
      <w:r>
        <w:rPr>
          <w:b/>
          <w:sz w:val="28"/>
        </w:rPr>
        <w:lastRenderedPageBreak/>
        <w:t>D - 03.02.01    KANALIZACJA  DESZCZOWA</w:t>
      </w:r>
    </w:p>
    <w:bookmarkEnd w:id="543"/>
    <w:p w:rsidR="00ED0C0A" w:rsidRDefault="00ED0C0A" w:rsidP="00ED0C0A"/>
    <w:p w:rsidR="00ED0C0A" w:rsidRDefault="00ED0C0A" w:rsidP="00ED0C0A">
      <w:pPr>
        <w:pStyle w:val="Nagwek1"/>
      </w:pPr>
      <w:bookmarkStart w:id="544" w:name="_Toc423928988"/>
      <w:r>
        <w:t>1. WSTĘP</w:t>
      </w:r>
      <w:bookmarkEnd w:id="544"/>
    </w:p>
    <w:p w:rsidR="00ED0C0A" w:rsidRDefault="00ED0C0A" w:rsidP="00ED0C0A">
      <w:pPr>
        <w:pStyle w:val="Nagwek2"/>
      </w:pPr>
      <w:r>
        <w:t>1.1. Przedmiot OST</w:t>
      </w:r>
    </w:p>
    <w:p w:rsidR="00ED0C0A" w:rsidRDefault="00ED0C0A" w:rsidP="00ED0C0A">
      <w:pPr>
        <w:tabs>
          <w:tab w:val="right" w:leader="dot" w:pos="-1985"/>
          <w:tab w:val="left" w:pos="284"/>
        </w:tabs>
      </w:pPr>
      <w:r>
        <w:tab/>
        <w:t>Przedmiotem niniejszej szczegółowej specyfikacji technicznej (SST) są wymagania dotyczące wykonania i odbioru robót związanych z budową kratek ściekowych.</w:t>
      </w:r>
    </w:p>
    <w:p w:rsidR="00ED0C0A" w:rsidRDefault="00ED0C0A" w:rsidP="00ED0C0A">
      <w:pPr>
        <w:pStyle w:val="Nagwek2"/>
      </w:pPr>
      <w:r>
        <w:t>1.2. Zakres stosowania SST</w:t>
      </w:r>
    </w:p>
    <w:p w:rsidR="00ED0C0A" w:rsidRDefault="00ED0C0A" w:rsidP="00ED0C0A">
      <w:pPr>
        <w:pStyle w:val="StylIwony"/>
        <w:spacing w:before="0" w:after="0"/>
        <w:rPr>
          <w:rFonts w:ascii="Times New Roman" w:hAnsi="Times New Roman"/>
          <w:sz w:val="20"/>
        </w:rPr>
      </w:pPr>
      <w:r>
        <w:rPr>
          <w:rFonts w:ascii="Times New Roman" w:hAnsi="Times New Roman"/>
          <w:sz w:val="20"/>
        </w:rPr>
        <w:tab/>
        <w:t>Szczegółowa specyfikacja techniczna (SST) stanowi obowiązującą podstawę jako dokument przetargowy i kontraktowy przy zlecaniu i realizacji robót na drogach..</w:t>
      </w:r>
    </w:p>
    <w:p w:rsidR="00ED0C0A" w:rsidRDefault="00ED0C0A" w:rsidP="00ED0C0A">
      <w:pPr>
        <w:pStyle w:val="StylIwony"/>
        <w:spacing w:before="0" w:after="0"/>
        <w:rPr>
          <w:rFonts w:ascii="Times New Roman" w:hAnsi="Times New Roman"/>
          <w:sz w:val="20"/>
        </w:rPr>
      </w:pPr>
      <w:r>
        <w:rPr>
          <w:rFonts w:ascii="Times New Roman" w:hAnsi="Times New Roman"/>
          <w:sz w:val="20"/>
        </w:rPr>
        <w:tab/>
      </w:r>
    </w:p>
    <w:p w:rsidR="00ED0C0A" w:rsidRDefault="00ED0C0A" w:rsidP="00ED0C0A">
      <w:pPr>
        <w:pStyle w:val="Nagwek2"/>
      </w:pPr>
      <w:r>
        <w:t>1.3. Zakres robót objętych SST</w:t>
      </w:r>
    </w:p>
    <w:p w:rsidR="00ED0C0A" w:rsidRDefault="00ED0C0A" w:rsidP="00ED0C0A">
      <w:pPr>
        <w:pStyle w:val="StylIwony"/>
        <w:spacing w:before="0" w:after="0"/>
        <w:rPr>
          <w:rFonts w:ascii="Times New Roman" w:hAnsi="Times New Roman"/>
          <w:sz w:val="20"/>
        </w:rPr>
      </w:pPr>
      <w:r>
        <w:rPr>
          <w:rFonts w:ascii="Times New Roman" w:hAnsi="Times New Roman"/>
          <w:sz w:val="20"/>
        </w:rPr>
        <w:tab/>
        <w:t>Ustalenia zawarte w niniejszej specyfikacji dotyczą zasad prowadzenia robót związanych z wykonaniem kanalizacji deszczowej przy budowie, modernizacji i remontach dróg.</w:t>
      </w:r>
    </w:p>
    <w:p w:rsidR="00ED0C0A" w:rsidRDefault="00ED0C0A" w:rsidP="00ED0C0A">
      <w:pPr>
        <w:pStyle w:val="Nagwek2"/>
      </w:pPr>
      <w:r>
        <w:t>1.4. Określenia podstawowe</w:t>
      </w:r>
    </w:p>
    <w:p w:rsidR="00ED0C0A" w:rsidRDefault="00ED0C0A" w:rsidP="00ED0C0A">
      <w:pPr>
        <w:pStyle w:val="StylIwony"/>
        <w:spacing w:before="0" w:after="0"/>
        <w:rPr>
          <w:rFonts w:ascii="Times New Roman" w:hAnsi="Times New Roman"/>
          <w:sz w:val="20"/>
        </w:rPr>
      </w:pPr>
      <w:r>
        <w:rPr>
          <w:rFonts w:ascii="Times New Roman" w:hAnsi="Times New Roman"/>
          <w:b/>
          <w:sz w:val="20"/>
        </w:rPr>
        <w:t>1.4.1.</w:t>
      </w:r>
      <w:r>
        <w:rPr>
          <w:rFonts w:ascii="Times New Roman" w:hAnsi="Times New Roman"/>
          <w:sz w:val="20"/>
        </w:rPr>
        <w:t xml:space="preserve"> Kanalizacja deszczowa - sieć kanalizacyjna zewnętrzna przeznaczona do odprowadzania ścieków opadowych.</w:t>
      </w:r>
    </w:p>
    <w:p w:rsidR="00ED0C0A" w:rsidRDefault="00ED0C0A" w:rsidP="00ED0C0A">
      <w:pPr>
        <w:pStyle w:val="StylIwony"/>
        <w:spacing w:after="0"/>
        <w:rPr>
          <w:rFonts w:ascii="Times New Roman" w:hAnsi="Times New Roman"/>
          <w:sz w:val="20"/>
        </w:rPr>
      </w:pPr>
      <w:r>
        <w:rPr>
          <w:rFonts w:ascii="Times New Roman" w:hAnsi="Times New Roman"/>
          <w:b/>
          <w:sz w:val="20"/>
        </w:rPr>
        <w:t>1.4.2.</w:t>
      </w:r>
      <w:r>
        <w:rPr>
          <w:rFonts w:ascii="Times New Roman" w:hAnsi="Times New Roman"/>
          <w:sz w:val="20"/>
        </w:rPr>
        <w:t xml:space="preserve"> Kanały</w:t>
      </w:r>
    </w:p>
    <w:p w:rsidR="00ED0C0A" w:rsidRDefault="00ED0C0A" w:rsidP="00ED0C0A">
      <w:pPr>
        <w:pStyle w:val="StylIwony"/>
        <w:spacing w:after="0"/>
        <w:rPr>
          <w:rFonts w:ascii="Times New Roman" w:hAnsi="Times New Roman"/>
          <w:sz w:val="20"/>
        </w:rPr>
      </w:pPr>
      <w:r>
        <w:rPr>
          <w:rFonts w:ascii="Times New Roman" w:hAnsi="Times New Roman"/>
          <w:sz w:val="20"/>
        </w:rPr>
        <w:t>1.4.2.1. Kanał - liniowa budowla przeznaczona do grawitacyjnego odprowadzania ścieków.</w:t>
      </w:r>
    </w:p>
    <w:p w:rsidR="00ED0C0A" w:rsidRDefault="00ED0C0A" w:rsidP="00ED0C0A">
      <w:pPr>
        <w:pStyle w:val="StylIwony"/>
        <w:spacing w:after="0"/>
        <w:rPr>
          <w:rFonts w:ascii="Times New Roman" w:hAnsi="Times New Roman"/>
          <w:sz w:val="20"/>
        </w:rPr>
      </w:pPr>
      <w:r>
        <w:rPr>
          <w:rFonts w:ascii="Times New Roman" w:hAnsi="Times New Roman"/>
          <w:sz w:val="20"/>
        </w:rPr>
        <w:t>1.4.2.2. Kanał deszczowy - kanał przeznaczony do odprowadzania ścieków opadowych.</w:t>
      </w:r>
    </w:p>
    <w:p w:rsidR="00ED0C0A" w:rsidRDefault="00ED0C0A" w:rsidP="00ED0C0A">
      <w:pPr>
        <w:pStyle w:val="StylIwony"/>
        <w:spacing w:after="0"/>
        <w:rPr>
          <w:rFonts w:ascii="Times New Roman" w:hAnsi="Times New Roman"/>
          <w:sz w:val="20"/>
        </w:rPr>
      </w:pPr>
      <w:r>
        <w:rPr>
          <w:rFonts w:ascii="Times New Roman" w:hAnsi="Times New Roman"/>
          <w:sz w:val="20"/>
        </w:rPr>
        <w:t xml:space="preserve">1.4.2.3. </w:t>
      </w:r>
      <w:proofErr w:type="spellStart"/>
      <w:r>
        <w:rPr>
          <w:rFonts w:ascii="Times New Roman" w:hAnsi="Times New Roman"/>
          <w:sz w:val="20"/>
        </w:rPr>
        <w:t>Przykanalik</w:t>
      </w:r>
      <w:proofErr w:type="spellEnd"/>
      <w:r>
        <w:rPr>
          <w:rFonts w:ascii="Times New Roman" w:hAnsi="Times New Roman"/>
          <w:sz w:val="20"/>
        </w:rPr>
        <w:t xml:space="preserve"> - kanał przeznaczony do połączenia wpustu deszczowego z siecią kanalizacji deszczowej.</w:t>
      </w:r>
    </w:p>
    <w:p w:rsidR="00ED0C0A" w:rsidRDefault="00ED0C0A" w:rsidP="00ED0C0A">
      <w:pPr>
        <w:pStyle w:val="StylIwony"/>
        <w:spacing w:after="0"/>
        <w:rPr>
          <w:rFonts w:ascii="Times New Roman" w:hAnsi="Times New Roman"/>
          <w:sz w:val="20"/>
        </w:rPr>
      </w:pPr>
      <w:r>
        <w:rPr>
          <w:rFonts w:ascii="Times New Roman" w:hAnsi="Times New Roman"/>
          <w:sz w:val="20"/>
        </w:rPr>
        <w:t>1.4.2.4. Kanał zbiorczy - kanał przeznaczony do zbierania ścieków z co najmniej dwóch kanałów bocznych.</w:t>
      </w:r>
    </w:p>
    <w:p w:rsidR="00ED0C0A" w:rsidRDefault="00ED0C0A" w:rsidP="00ED0C0A">
      <w:pPr>
        <w:pStyle w:val="StylIwony"/>
        <w:spacing w:after="0"/>
        <w:rPr>
          <w:rFonts w:ascii="Times New Roman" w:hAnsi="Times New Roman"/>
          <w:sz w:val="20"/>
        </w:rPr>
      </w:pPr>
      <w:r>
        <w:rPr>
          <w:rFonts w:ascii="Times New Roman" w:hAnsi="Times New Roman"/>
          <w:sz w:val="20"/>
        </w:rPr>
        <w:t>1.4.2.5. Kolektor główny - kanał przeznaczony do zbierania ścieków z kanałów oraz kanałów zbiorczych i odprowadzenia ich do odbiornika.</w:t>
      </w:r>
    </w:p>
    <w:p w:rsidR="00ED0C0A" w:rsidRDefault="00ED0C0A" w:rsidP="00ED0C0A">
      <w:pPr>
        <w:pStyle w:val="StylIwony"/>
        <w:spacing w:after="0"/>
        <w:rPr>
          <w:rFonts w:ascii="Times New Roman" w:hAnsi="Times New Roman"/>
          <w:sz w:val="20"/>
        </w:rPr>
      </w:pPr>
      <w:r>
        <w:rPr>
          <w:rFonts w:ascii="Times New Roman" w:hAnsi="Times New Roman"/>
          <w:sz w:val="20"/>
        </w:rPr>
        <w:t xml:space="preserve">1.4.2.6. Kanał </w:t>
      </w:r>
      <w:proofErr w:type="spellStart"/>
      <w:r>
        <w:rPr>
          <w:rFonts w:ascii="Times New Roman" w:hAnsi="Times New Roman"/>
          <w:sz w:val="20"/>
        </w:rPr>
        <w:t>nieprzełazowy</w:t>
      </w:r>
      <w:proofErr w:type="spellEnd"/>
      <w:r>
        <w:rPr>
          <w:rFonts w:ascii="Times New Roman" w:hAnsi="Times New Roman"/>
          <w:sz w:val="20"/>
        </w:rPr>
        <w:t xml:space="preserve"> - kanał zamknięty o wysokości wewnętrznej mniejszej niż            </w:t>
      </w:r>
      <w:smartTag w:uri="urn:schemas-microsoft-com:office:smarttags" w:element="metricconverter">
        <w:smartTagPr>
          <w:attr w:name="ProductID" w:val="1,0 m"/>
        </w:smartTagPr>
        <w:r>
          <w:rPr>
            <w:rFonts w:ascii="Times New Roman" w:hAnsi="Times New Roman"/>
            <w:sz w:val="20"/>
          </w:rPr>
          <w:t>1,0 m</w:t>
        </w:r>
      </w:smartTag>
      <w:r>
        <w:rPr>
          <w:rFonts w:ascii="Times New Roman" w:hAnsi="Times New Roman"/>
          <w:sz w:val="20"/>
        </w:rPr>
        <w:t>.</w:t>
      </w:r>
    </w:p>
    <w:p w:rsidR="00ED0C0A" w:rsidRDefault="00ED0C0A" w:rsidP="00ED0C0A">
      <w:pPr>
        <w:pStyle w:val="StylIwony"/>
        <w:spacing w:after="0"/>
        <w:rPr>
          <w:rFonts w:ascii="Times New Roman" w:hAnsi="Times New Roman"/>
          <w:sz w:val="20"/>
        </w:rPr>
      </w:pPr>
      <w:r>
        <w:rPr>
          <w:rFonts w:ascii="Times New Roman" w:hAnsi="Times New Roman"/>
          <w:sz w:val="20"/>
        </w:rPr>
        <w:t xml:space="preserve">1.4.2.7. Kanał przełazowy - kanał zamknięty o wysokości wewnętrznej równej lub większej niż </w:t>
      </w:r>
      <w:smartTag w:uri="urn:schemas-microsoft-com:office:smarttags" w:element="metricconverter">
        <w:smartTagPr>
          <w:attr w:name="ProductID" w:val="1,0 m"/>
        </w:smartTagPr>
        <w:r>
          <w:rPr>
            <w:rFonts w:ascii="Times New Roman" w:hAnsi="Times New Roman"/>
            <w:sz w:val="20"/>
          </w:rPr>
          <w:t>1,0 m</w:t>
        </w:r>
      </w:smartTag>
      <w:r>
        <w:rPr>
          <w:rFonts w:ascii="Times New Roman" w:hAnsi="Times New Roman"/>
          <w:sz w:val="20"/>
        </w:rPr>
        <w:t>.</w:t>
      </w:r>
    </w:p>
    <w:p w:rsidR="00ED0C0A" w:rsidRDefault="00ED0C0A" w:rsidP="00ED0C0A">
      <w:pPr>
        <w:pStyle w:val="StylIwony"/>
        <w:keepNext/>
        <w:spacing w:after="0"/>
        <w:rPr>
          <w:rFonts w:ascii="Times New Roman" w:hAnsi="Times New Roman"/>
          <w:sz w:val="20"/>
        </w:rPr>
      </w:pPr>
      <w:r>
        <w:rPr>
          <w:rFonts w:ascii="Times New Roman" w:hAnsi="Times New Roman"/>
          <w:b/>
          <w:sz w:val="20"/>
        </w:rPr>
        <w:t>1.4.3.</w:t>
      </w:r>
      <w:r>
        <w:rPr>
          <w:rFonts w:ascii="Times New Roman" w:hAnsi="Times New Roman"/>
          <w:sz w:val="20"/>
        </w:rPr>
        <w:t xml:space="preserve"> Urządzenia (elementy) uzbrojenia sieci</w:t>
      </w:r>
    </w:p>
    <w:p w:rsidR="00ED0C0A" w:rsidRDefault="00ED0C0A" w:rsidP="00ED0C0A">
      <w:pPr>
        <w:pStyle w:val="StylIwony"/>
        <w:spacing w:after="0"/>
        <w:rPr>
          <w:rFonts w:ascii="Times New Roman" w:hAnsi="Times New Roman"/>
          <w:sz w:val="20"/>
        </w:rPr>
      </w:pPr>
      <w:r>
        <w:rPr>
          <w:rFonts w:ascii="Times New Roman" w:hAnsi="Times New Roman"/>
          <w:sz w:val="20"/>
        </w:rPr>
        <w:t xml:space="preserve">1.4.3.1. Studzienka kanalizacyjna - studzienka rewizyjna - na kanale </w:t>
      </w:r>
      <w:proofErr w:type="spellStart"/>
      <w:r>
        <w:rPr>
          <w:rFonts w:ascii="Times New Roman" w:hAnsi="Times New Roman"/>
          <w:sz w:val="20"/>
        </w:rPr>
        <w:t>nieprzełazowym</w:t>
      </w:r>
      <w:proofErr w:type="spellEnd"/>
      <w:r>
        <w:rPr>
          <w:rFonts w:ascii="Times New Roman" w:hAnsi="Times New Roman"/>
          <w:sz w:val="20"/>
        </w:rPr>
        <w:t xml:space="preserve"> przeznaczona do kontroli i prawidłowej eksploatacji kanałów.</w:t>
      </w:r>
    </w:p>
    <w:p w:rsidR="00ED0C0A" w:rsidRDefault="00ED0C0A" w:rsidP="00ED0C0A">
      <w:pPr>
        <w:pStyle w:val="StylIwony"/>
        <w:spacing w:after="0"/>
        <w:rPr>
          <w:rFonts w:ascii="Times New Roman" w:hAnsi="Times New Roman"/>
          <w:sz w:val="20"/>
        </w:rPr>
      </w:pPr>
      <w:r>
        <w:rPr>
          <w:rFonts w:ascii="Times New Roman" w:hAnsi="Times New Roman"/>
          <w:sz w:val="20"/>
        </w:rPr>
        <w:t>1.4.3.2. Studzienka przelotowa - studzienka kanalizacyjna zlokalizowana na załamaniach osi kanału w planie, na załamaniach spadku kanału oraz na odcinkach prostych.</w:t>
      </w:r>
    </w:p>
    <w:p w:rsidR="00ED0C0A" w:rsidRDefault="00ED0C0A" w:rsidP="00ED0C0A">
      <w:pPr>
        <w:pStyle w:val="StylIwony"/>
        <w:spacing w:after="0"/>
        <w:rPr>
          <w:rFonts w:ascii="Times New Roman" w:hAnsi="Times New Roman"/>
          <w:sz w:val="20"/>
        </w:rPr>
      </w:pPr>
      <w:r>
        <w:rPr>
          <w:rFonts w:ascii="Times New Roman" w:hAnsi="Times New Roman"/>
          <w:sz w:val="20"/>
        </w:rPr>
        <w:t>1.4.3.3. Studzienka połączeniowa - studzienka kanalizacyjna przeznaczona do łączenia co najmniej dwóch kanałów dopływowych w jeden kanał odpływowy.</w:t>
      </w:r>
    </w:p>
    <w:p w:rsidR="00ED0C0A" w:rsidRDefault="00ED0C0A" w:rsidP="00ED0C0A">
      <w:pPr>
        <w:pStyle w:val="StylIwony"/>
        <w:spacing w:after="0"/>
        <w:rPr>
          <w:rFonts w:ascii="Times New Roman" w:hAnsi="Times New Roman"/>
          <w:sz w:val="20"/>
        </w:rPr>
      </w:pPr>
      <w:r>
        <w:rPr>
          <w:rFonts w:ascii="Times New Roman" w:hAnsi="Times New Roman"/>
          <w:sz w:val="20"/>
        </w:rPr>
        <w:t>1.4.3.4. Studzienka kaskadowa (spadowa) - studzienka kanalizacyjna mająca dodatkowy przewód pionowy umożliwiający wytrącenie nadmiaru energii ścieków, spływających z wyżej położonego kanału dopływowego do niżej położonego kanału odpływowego.</w:t>
      </w:r>
    </w:p>
    <w:p w:rsidR="00ED0C0A" w:rsidRDefault="00ED0C0A" w:rsidP="00ED0C0A">
      <w:pPr>
        <w:pStyle w:val="StylIwony"/>
        <w:spacing w:after="0"/>
        <w:rPr>
          <w:rFonts w:ascii="Times New Roman" w:hAnsi="Times New Roman"/>
          <w:sz w:val="20"/>
        </w:rPr>
      </w:pPr>
      <w:r>
        <w:rPr>
          <w:rFonts w:ascii="Times New Roman" w:hAnsi="Times New Roman"/>
          <w:sz w:val="20"/>
        </w:rPr>
        <w:t xml:space="preserve">1.4.3.5. Studzienka </w:t>
      </w:r>
      <w:proofErr w:type="spellStart"/>
      <w:r>
        <w:rPr>
          <w:rFonts w:ascii="Times New Roman" w:hAnsi="Times New Roman"/>
          <w:sz w:val="20"/>
        </w:rPr>
        <w:t>bezwłazowa</w:t>
      </w:r>
      <w:proofErr w:type="spellEnd"/>
      <w:r>
        <w:rPr>
          <w:rFonts w:ascii="Times New Roman" w:hAnsi="Times New Roman"/>
          <w:sz w:val="20"/>
        </w:rPr>
        <w:t xml:space="preserve"> - ślepa - studzienka kanalizacyjna przykryta stropem bez otworu włazowego, spełniająca funkcje studzienki połączeniowej.</w:t>
      </w:r>
    </w:p>
    <w:p w:rsidR="00ED0C0A" w:rsidRDefault="00ED0C0A" w:rsidP="00ED0C0A">
      <w:pPr>
        <w:pStyle w:val="StylIwony"/>
        <w:spacing w:after="0"/>
        <w:rPr>
          <w:rFonts w:ascii="Times New Roman" w:hAnsi="Times New Roman"/>
          <w:sz w:val="20"/>
        </w:rPr>
      </w:pPr>
      <w:r>
        <w:rPr>
          <w:rFonts w:ascii="Times New Roman" w:hAnsi="Times New Roman"/>
          <w:sz w:val="20"/>
        </w:rPr>
        <w:t>1.4.3.6. Komora kanalizacyjna - komora rewizyjna na kanale przełazowym przeznaczona do kontroli i prawidłowej eksploatacji kanałów.</w:t>
      </w:r>
    </w:p>
    <w:p w:rsidR="00ED0C0A" w:rsidRDefault="00ED0C0A" w:rsidP="00ED0C0A">
      <w:pPr>
        <w:pStyle w:val="StylIwony"/>
        <w:spacing w:after="0"/>
        <w:rPr>
          <w:rFonts w:ascii="Times New Roman" w:hAnsi="Times New Roman"/>
          <w:sz w:val="20"/>
        </w:rPr>
      </w:pPr>
      <w:r>
        <w:rPr>
          <w:rFonts w:ascii="Times New Roman" w:hAnsi="Times New Roman"/>
          <w:sz w:val="20"/>
        </w:rPr>
        <w:t>1.4.3.7. Komora połączeniowa - komora kanalizacyjna przeznaczona do łączenia co najmniej dwóch kanałów dopływowych w jeden kanał odpływowy.</w:t>
      </w:r>
    </w:p>
    <w:p w:rsidR="00ED0C0A" w:rsidRDefault="00ED0C0A" w:rsidP="00ED0C0A">
      <w:pPr>
        <w:pStyle w:val="StylIwony"/>
        <w:spacing w:after="0"/>
        <w:rPr>
          <w:rFonts w:ascii="Times New Roman" w:hAnsi="Times New Roman"/>
          <w:sz w:val="20"/>
        </w:rPr>
      </w:pPr>
      <w:r>
        <w:rPr>
          <w:rFonts w:ascii="Times New Roman" w:hAnsi="Times New Roman"/>
          <w:sz w:val="20"/>
        </w:rPr>
        <w:t>1.4.3.8. Komora spadowa (kaskadowa) - komora mająca pochylnię i zagłębienie dna umożliwiające wytrącenie nadmiaru energii ścieków spływających z wyżej położonego kanału dopływowego.</w:t>
      </w:r>
    </w:p>
    <w:p w:rsidR="00ED0C0A" w:rsidRDefault="00ED0C0A" w:rsidP="00ED0C0A">
      <w:pPr>
        <w:pStyle w:val="StylIwony"/>
        <w:spacing w:after="0"/>
        <w:rPr>
          <w:rFonts w:ascii="Times New Roman" w:hAnsi="Times New Roman"/>
          <w:sz w:val="20"/>
        </w:rPr>
      </w:pPr>
      <w:r>
        <w:rPr>
          <w:rFonts w:ascii="Times New Roman" w:hAnsi="Times New Roman"/>
          <w:sz w:val="20"/>
        </w:rPr>
        <w:t>1.4.3.9. Wylot ścieków - element na końcu kanału odprowadzającego ścieki do odbiornika.</w:t>
      </w:r>
    </w:p>
    <w:p w:rsidR="00ED0C0A" w:rsidRDefault="00ED0C0A" w:rsidP="00ED0C0A">
      <w:pPr>
        <w:pStyle w:val="StylIwony"/>
        <w:spacing w:after="0"/>
        <w:rPr>
          <w:rFonts w:ascii="Times New Roman" w:hAnsi="Times New Roman"/>
          <w:sz w:val="20"/>
        </w:rPr>
      </w:pPr>
      <w:r>
        <w:rPr>
          <w:rFonts w:ascii="Times New Roman" w:hAnsi="Times New Roman"/>
          <w:sz w:val="20"/>
        </w:rPr>
        <w:lastRenderedPageBreak/>
        <w:t>1.4.3.10. Przejście syfonowe - jeden lub więcej zamkniętych przewodów kanalizacyjnych z rur żeliwnych, stalowych lub żelbetowych pracujących pod ciśnieniem, przeznaczonych do przepływu ścieków pod przeszkodą na trasie kanału.</w:t>
      </w:r>
    </w:p>
    <w:p w:rsidR="00ED0C0A" w:rsidRDefault="00ED0C0A" w:rsidP="00ED0C0A">
      <w:pPr>
        <w:pStyle w:val="StylIwony"/>
        <w:spacing w:after="0"/>
        <w:rPr>
          <w:rFonts w:ascii="Times New Roman" w:hAnsi="Times New Roman"/>
          <w:sz w:val="20"/>
        </w:rPr>
      </w:pPr>
      <w:r>
        <w:rPr>
          <w:rFonts w:ascii="Times New Roman" w:hAnsi="Times New Roman"/>
          <w:sz w:val="20"/>
        </w:rPr>
        <w:t>1.4.3.11. Zbiornik retencyjny - obiekt budowlany na sieci kanalizacyjnej przeznaczony do okresowego zatrzymania części ścieków opadowych i zredukowania maksymalnego natężenia przepływu.</w:t>
      </w:r>
    </w:p>
    <w:p w:rsidR="00ED0C0A" w:rsidRDefault="00ED0C0A" w:rsidP="00ED0C0A">
      <w:pPr>
        <w:pStyle w:val="StylIwony"/>
        <w:spacing w:after="0"/>
        <w:rPr>
          <w:rFonts w:ascii="Times New Roman" w:hAnsi="Times New Roman"/>
          <w:sz w:val="20"/>
        </w:rPr>
      </w:pPr>
      <w:r>
        <w:rPr>
          <w:rFonts w:ascii="Times New Roman" w:hAnsi="Times New Roman"/>
          <w:sz w:val="20"/>
        </w:rPr>
        <w:t>1.4.3.12. Przepompownia ścieków - obiekt budowlany wyposażony w zespoły pompowe, instalacje i pomocnicze urządzenia techniczne, przeznaczone do przepompowywania ścieków z poziomu niższego na wyższy.</w:t>
      </w:r>
    </w:p>
    <w:p w:rsidR="00ED0C0A" w:rsidRDefault="00ED0C0A" w:rsidP="00ED0C0A">
      <w:pPr>
        <w:pStyle w:val="StylIwony"/>
        <w:spacing w:after="0"/>
        <w:rPr>
          <w:rFonts w:ascii="Times New Roman" w:hAnsi="Times New Roman"/>
          <w:sz w:val="20"/>
        </w:rPr>
      </w:pPr>
      <w:r>
        <w:rPr>
          <w:rFonts w:ascii="Times New Roman" w:hAnsi="Times New Roman"/>
          <w:sz w:val="20"/>
        </w:rPr>
        <w:t>1.4.3.13. Wpust deszczowy - urządzenie do odbioru ścieków opadowych, spływających do kanału z utwardzonych powierzchni terenu.</w:t>
      </w:r>
    </w:p>
    <w:p w:rsidR="00ED0C0A" w:rsidRDefault="00ED0C0A" w:rsidP="00ED0C0A">
      <w:pPr>
        <w:pStyle w:val="StylIwony"/>
        <w:spacing w:after="0"/>
        <w:rPr>
          <w:rFonts w:ascii="Times New Roman" w:hAnsi="Times New Roman"/>
          <w:sz w:val="20"/>
        </w:rPr>
      </w:pPr>
      <w:r>
        <w:rPr>
          <w:rFonts w:ascii="Times New Roman" w:hAnsi="Times New Roman"/>
          <w:b/>
          <w:sz w:val="20"/>
        </w:rPr>
        <w:t>1.4.4.</w:t>
      </w:r>
      <w:r>
        <w:rPr>
          <w:rFonts w:ascii="Times New Roman" w:hAnsi="Times New Roman"/>
          <w:sz w:val="20"/>
        </w:rPr>
        <w:t xml:space="preserve"> Elementy studzienek i komór</w:t>
      </w:r>
    </w:p>
    <w:p w:rsidR="00ED0C0A" w:rsidRDefault="00ED0C0A" w:rsidP="00ED0C0A">
      <w:pPr>
        <w:pStyle w:val="StylIwony"/>
        <w:spacing w:after="0"/>
        <w:rPr>
          <w:rFonts w:ascii="Times New Roman" w:hAnsi="Times New Roman"/>
          <w:sz w:val="20"/>
        </w:rPr>
      </w:pPr>
      <w:r>
        <w:rPr>
          <w:rFonts w:ascii="Times New Roman" w:hAnsi="Times New Roman"/>
          <w:sz w:val="20"/>
        </w:rPr>
        <w:t>1.4.4.1. Komora robocza - zasadnicza część studzienki lub komory przeznaczona do czynności eksploatacyjnych. Wysokość komory roboczej jest to odległość pomiędzy rzędną dolnej powierzchni płyty lub innego elementu przykrycia studzienki lub komory, a rzędną spocznika.</w:t>
      </w:r>
    </w:p>
    <w:p w:rsidR="00ED0C0A" w:rsidRDefault="00ED0C0A" w:rsidP="00ED0C0A">
      <w:pPr>
        <w:pStyle w:val="StylIwony"/>
        <w:spacing w:after="0"/>
        <w:rPr>
          <w:rFonts w:ascii="Times New Roman" w:hAnsi="Times New Roman"/>
          <w:sz w:val="20"/>
        </w:rPr>
      </w:pPr>
      <w:r>
        <w:rPr>
          <w:rFonts w:ascii="Times New Roman" w:hAnsi="Times New Roman"/>
          <w:sz w:val="20"/>
        </w:rPr>
        <w:t>1.4.4.2. Komin włazowy - szyb połączeniowy komory roboczej z powierzchnią ziemi, przeznaczony do zejścia obsługi do komory roboczej.</w:t>
      </w:r>
    </w:p>
    <w:p w:rsidR="00ED0C0A" w:rsidRDefault="00ED0C0A" w:rsidP="00ED0C0A">
      <w:pPr>
        <w:pStyle w:val="StylIwony"/>
        <w:spacing w:after="0"/>
        <w:rPr>
          <w:rFonts w:ascii="Times New Roman" w:hAnsi="Times New Roman"/>
          <w:sz w:val="20"/>
        </w:rPr>
      </w:pPr>
      <w:r>
        <w:rPr>
          <w:rFonts w:ascii="Times New Roman" w:hAnsi="Times New Roman"/>
          <w:sz w:val="20"/>
        </w:rPr>
        <w:t>1.4.4.3. Płyta przykrycia studzienki lub komory - płyta przykrywająca komorę roboczą.</w:t>
      </w:r>
    </w:p>
    <w:p w:rsidR="00ED0C0A" w:rsidRDefault="00ED0C0A" w:rsidP="00ED0C0A">
      <w:pPr>
        <w:pStyle w:val="StylIwony"/>
        <w:spacing w:after="0"/>
        <w:rPr>
          <w:rFonts w:ascii="Times New Roman" w:hAnsi="Times New Roman"/>
          <w:sz w:val="20"/>
        </w:rPr>
      </w:pPr>
      <w:r>
        <w:rPr>
          <w:rFonts w:ascii="Times New Roman" w:hAnsi="Times New Roman"/>
          <w:sz w:val="20"/>
        </w:rPr>
        <w:t>1.4.4.4. Właz kanałowy - element żeliwny przeznaczony do przykrycia podziemnych studzienek rewizyjnych lub komór kanalizacyjnych, umożliwiający dostęp do urządzeń kanalizacyjnych.</w:t>
      </w:r>
    </w:p>
    <w:p w:rsidR="00ED0C0A" w:rsidRDefault="00ED0C0A" w:rsidP="00ED0C0A">
      <w:pPr>
        <w:pStyle w:val="StylIwony"/>
        <w:spacing w:after="0"/>
        <w:rPr>
          <w:rFonts w:ascii="Times New Roman" w:hAnsi="Times New Roman"/>
          <w:sz w:val="20"/>
        </w:rPr>
      </w:pPr>
      <w:r>
        <w:rPr>
          <w:rFonts w:ascii="Times New Roman" w:hAnsi="Times New Roman"/>
          <w:sz w:val="20"/>
        </w:rPr>
        <w:t>1.4.4.5. Kineta - wyprofilowany rowek w dnie studzienki, przeznaczony do przepływu w nim ścieków.</w:t>
      </w:r>
    </w:p>
    <w:p w:rsidR="00ED0C0A" w:rsidRDefault="00ED0C0A" w:rsidP="00ED0C0A">
      <w:pPr>
        <w:pStyle w:val="StylIwony"/>
        <w:spacing w:after="0"/>
        <w:rPr>
          <w:rFonts w:ascii="Times New Roman" w:hAnsi="Times New Roman"/>
          <w:sz w:val="20"/>
        </w:rPr>
      </w:pPr>
      <w:r>
        <w:rPr>
          <w:rFonts w:ascii="Times New Roman" w:hAnsi="Times New Roman"/>
          <w:sz w:val="20"/>
        </w:rPr>
        <w:t>1.4.4.6. Spocznik - element dna studzienki lub komory kanalizacyjnej pomiędzy kinetą a ścianą komory roboczej.</w:t>
      </w:r>
    </w:p>
    <w:p w:rsidR="00ED0C0A" w:rsidRDefault="00ED0C0A" w:rsidP="00ED0C0A">
      <w:pPr>
        <w:pStyle w:val="StylIwony"/>
        <w:spacing w:after="0"/>
        <w:rPr>
          <w:rFonts w:ascii="Times New Roman" w:hAnsi="Times New Roman"/>
          <w:sz w:val="20"/>
        </w:rPr>
      </w:pPr>
      <w:r>
        <w:rPr>
          <w:rFonts w:ascii="Times New Roman" w:hAnsi="Times New Roman"/>
          <w:b/>
          <w:sz w:val="20"/>
        </w:rPr>
        <w:t>1.4.5.</w:t>
      </w:r>
      <w:r>
        <w:rPr>
          <w:rFonts w:ascii="Times New Roman" w:hAnsi="Times New Roman"/>
          <w:sz w:val="20"/>
        </w:rPr>
        <w:t xml:space="preserve"> Pozostałe określenia podstawowe są zgodne z obowiązującymi, odpowiednimi polskimi normami i z definicjami podanymi w SST D-M-00.00.00 „Wymagania ogólne” pkt 1.4.</w:t>
      </w:r>
    </w:p>
    <w:p w:rsidR="00ED0C0A" w:rsidRDefault="00ED0C0A" w:rsidP="00ED0C0A">
      <w:pPr>
        <w:pStyle w:val="Nagwek2"/>
      </w:pPr>
      <w:r>
        <w:t>1.5. Ogólne wymagania dotyczące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wymagania dotyczące robót podano w SST D-M-00.00.00 „Wymagania ogólne” pkt 1.5.</w:t>
      </w:r>
    </w:p>
    <w:p w:rsidR="00ED0C0A" w:rsidRDefault="00ED0C0A" w:rsidP="00ED0C0A">
      <w:pPr>
        <w:pStyle w:val="Nagwek1"/>
      </w:pPr>
      <w:bookmarkStart w:id="545" w:name="_Toc423928989"/>
      <w:r>
        <w:t>2. MATERIAŁY</w:t>
      </w:r>
      <w:bookmarkEnd w:id="545"/>
    </w:p>
    <w:p w:rsidR="00ED0C0A" w:rsidRDefault="00ED0C0A" w:rsidP="00ED0C0A">
      <w:pPr>
        <w:pStyle w:val="Nagwek2"/>
      </w:pPr>
      <w:r>
        <w:t>2.1. Ogólne wymagania dotyczące materiałów</w:t>
      </w:r>
    </w:p>
    <w:p w:rsidR="00ED0C0A" w:rsidRDefault="00ED0C0A" w:rsidP="00ED0C0A">
      <w:pPr>
        <w:pStyle w:val="StylIwony"/>
        <w:spacing w:before="0" w:after="0"/>
        <w:jc w:val="left"/>
        <w:rPr>
          <w:rFonts w:ascii="Times New Roman" w:hAnsi="Times New Roman"/>
          <w:sz w:val="20"/>
        </w:rPr>
      </w:pPr>
      <w:r>
        <w:rPr>
          <w:rFonts w:ascii="Times New Roman" w:hAnsi="Times New Roman"/>
          <w:sz w:val="20"/>
        </w:rPr>
        <w:tab/>
        <w:t>Ogólne wymagania dotyczące materiałów, ich pozyskiwania  i składowania podano w SST D-M-00.00.00 „Wymagania ogólne” pkt 2.</w:t>
      </w:r>
    </w:p>
    <w:p w:rsidR="00ED0C0A" w:rsidRDefault="00ED0C0A" w:rsidP="00ED0C0A">
      <w:r>
        <w:tab/>
        <w:t>Stosować należy wyroby budowlane wprowadzone do obrotu zgodnie z ustawą o wyrobach budowlanych [26].</w:t>
      </w:r>
    </w:p>
    <w:p w:rsidR="00ED0C0A" w:rsidRDefault="00ED0C0A" w:rsidP="00ED0C0A">
      <w:pPr>
        <w:pStyle w:val="Nagwek2"/>
      </w:pPr>
      <w:r>
        <w:t>2.2. Rury kanałowe</w:t>
      </w:r>
    </w:p>
    <w:p w:rsidR="00ED0C0A" w:rsidRDefault="00ED0C0A" w:rsidP="00ED0C0A">
      <w:pPr>
        <w:pStyle w:val="StylIwony"/>
        <w:spacing w:after="0"/>
        <w:rPr>
          <w:rFonts w:ascii="Times New Roman" w:hAnsi="Times New Roman"/>
          <w:sz w:val="20"/>
        </w:rPr>
      </w:pPr>
      <w:r>
        <w:rPr>
          <w:rFonts w:ascii="Times New Roman" w:hAnsi="Times New Roman"/>
          <w:b/>
          <w:sz w:val="20"/>
        </w:rPr>
        <w:t xml:space="preserve">2.2.5. </w:t>
      </w:r>
      <w:r>
        <w:rPr>
          <w:rFonts w:ascii="Times New Roman" w:hAnsi="Times New Roman"/>
          <w:sz w:val="20"/>
        </w:rPr>
        <w:t>Rury PCV</w:t>
      </w:r>
    </w:p>
    <w:p w:rsidR="00ED0C0A" w:rsidRDefault="00ED0C0A" w:rsidP="00ED0C0A">
      <w:pPr>
        <w:pStyle w:val="Nagwek2"/>
      </w:pPr>
      <w:r>
        <w:t>2.6. Studzienki ściekowe</w:t>
      </w:r>
    </w:p>
    <w:p w:rsidR="00ED0C0A" w:rsidRDefault="00ED0C0A" w:rsidP="00ED0C0A">
      <w:pPr>
        <w:pStyle w:val="StylIwony"/>
        <w:spacing w:before="0" w:after="0"/>
        <w:rPr>
          <w:rFonts w:ascii="Times New Roman" w:hAnsi="Times New Roman"/>
          <w:sz w:val="20"/>
        </w:rPr>
      </w:pPr>
      <w:r>
        <w:rPr>
          <w:rFonts w:ascii="Times New Roman" w:hAnsi="Times New Roman"/>
          <w:b/>
          <w:sz w:val="20"/>
        </w:rPr>
        <w:t>2.6.1.</w:t>
      </w:r>
      <w:r>
        <w:rPr>
          <w:rFonts w:ascii="Times New Roman" w:hAnsi="Times New Roman"/>
          <w:sz w:val="20"/>
        </w:rPr>
        <w:t xml:space="preserve"> Wpusty uliczne żeliwne</w:t>
      </w:r>
    </w:p>
    <w:p w:rsidR="00ED0C0A" w:rsidRDefault="00ED0C0A" w:rsidP="00ED0C0A">
      <w:pPr>
        <w:pStyle w:val="StylIwony"/>
        <w:spacing w:after="0"/>
        <w:rPr>
          <w:rFonts w:ascii="Times New Roman" w:hAnsi="Times New Roman"/>
          <w:sz w:val="20"/>
        </w:rPr>
      </w:pPr>
      <w:r>
        <w:rPr>
          <w:rFonts w:ascii="Times New Roman" w:hAnsi="Times New Roman"/>
          <w:sz w:val="20"/>
        </w:rPr>
        <w:tab/>
        <w:t>Wpusty uliczne żeliwne powinny odpowiadać wymaganiom PN-EN 124 [1].</w:t>
      </w:r>
    </w:p>
    <w:p w:rsidR="00ED0C0A" w:rsidRDefault="00ED0C0A" w:rsidP="00ED0C0A">
      <w:pPr>
        <w:pStyle w:val="StylIwony"/>
        <w:spacing w:after="0"/>
        <w:rPr>
          <w:rFonts w:ascii="Times New Roman" w:hAnsi="Times New Roman"/>
          <w:sz w:val="20"/>
        </w:rPr>
      </w:pPr>
      <w:r>
        <w:rPr>
          <w:rFonts w:ascii="Times New Roman" w:hAnsi="Times New Roman"/>
          <w:b/>
          <w:sz w:val="20"/>
        </w:rPr>
        <w:t>2.6.2.</w:t>
      </w:r>
      <w:r>
        <w:rPr>
          <w:rFonts w:ascii="Times New Roman" w:hAnsi="Times New Roman"/>
          <w:sz w:val="20"/>
        </w:rPr>
        <w:t xml:space="preserve"> Kręgi betonowe prefabrykowane</w:t>
      </w:r>
    </w:p>
    <w:p w:rsidR="00ED0C0A" w:rsidRDefault="00ED0C0A" w:rsidP="00ED0C0A">
      <w:pPr>
        <w:pStyle w:val="StylIwony"/>
        <w:spacing w:after="0"/>
        <w:rPr>
          <w:rFonts w:ascii="Times New Roman" w:hAnsi="Times New Roman"/>
          <w:sz w:val="20"/>
        </w:rPr>
      </w:pPr>
      <w:r>
        <w:rPr>
          <w:rFonts w:ascii="Times New Roman" w:hAnsi="Times New Roman"/>
          <w:sz w:val="20"/>
        </w:rPr>
        <w:tab/>
        <w:t xml:space="preserve">Na studzienki ściekowe stosowane są prefabrykowane kręgi betonowe o średnicy </w:t>
      </w:r>
      <w:smartTag w:uri="urn:schemas-microsoft-com:office:smarttags" w:element="metricconverter">
        <w:smartTagPr>
          <w:attr w:name="ProductID" w:val="50 cm"/>
        </w:smartTagPr>
        <w:r>
          <w:rPr>
            <w:rFonts w:ascii="Times New Roman" w:hAnsi="Times New Roman"/>
            <w:sz w:val="20"/>
          </w:rPr>
          <w:t>50 cm</w:t>
        </w:r>
      </w:smartTag>
      <w:r>
        <w:rPr>
          <w:rFonts w:ascii="Times New Roman" w:hAnsi="Times New Roman"/>
          <w:sz w:val="20"/>
        </w:rPr>
        <w:t xml:space="preserve">, wysokości </w:t>
      </w:r>
      <w:smartTag w:uri="urn:schemas-microsoft-com:office:smarttags" w:element="metricconverter">
        <w:smartTagPr>
          <w:attr w:name="ProductID" w:val="30 cm"/>
        </w:smartTagPr>
        <w:r>
          <w:rPr>
            <w:rFonts w:ascii="Times New Roman" w:hAnsi="Times New Roman"/>
            <w:sz w:val="20"/>
          </w:rPr>
          <w:t>30 cm</w:t>
        </w:r>
      </w:smartTag>
      <w:r>
        <w:rPr>
          <w:rFonts w:ascii="Times New Roman" w:hAnsi="Times New Roman"/>
          <w:sz w:val="20"/>
        </w:rPr>
        <w:t xml:space="preserve"> lub </w:t>
      </w:r>
      <w:smartTag w:uri="urn:schemas-microsoft-com:office:smarttags" w:element="metricconverter">
        <w:smartTagPr>
          <w:attr w:name="ProductID" w:val="60 cm"/>
        </w:smartTagPr>
        <w:r>
          <w:rPr>
            <w:rFonts w:ascii="Times New Roman" w:hAnsi="Times New Roman"/>
            <w:sz w:val="20"/>
          </w:rPr>
          <w:t>60 cm</w:t>
        </w:r>
      </w:smartTag>
      <w:r>
        <w:rPr>
          <w:rFonts w:ascii="Times New Roman" w:hAnsi="Times New Roman"/>
          <w:sz w:val="20"/>
        </w:rPr>
        <w:t>, z betonu klasy C 20/25, wg KB1-22.2.6 (6) [22].</w:t>
      </w:r>
    </w:p>
    <w:p w:rsidR="00ED0C0A" w:rsidRDefault="00ED0C0A" w:rsidP="00ED0C0A">
      <w:pPr>
        <w:pStyle w:val="StylIwony"/>
        <w:spacing w:after="0"/>
        <w:rPr>
          <w:rFonts w:ascii="Times New Roman" w:hAnsi="Times New Roman"/>
          <w:sz w:val="20"/>
        </w:rPr>
      </w:pPr>
      <w:r>
        <w:rPr>
          <w:rFonts w:ascii="Times New Roman" w:hAnsi="Times New Roman"/>
          <w:b/>
          <w:sz w:val="20"/>
        </w:rPr>
        <w:t>2.6.3.</w:t>
      </w:r>
      <w:r>
        <w:rPr>
          <w:rFonts w:ascii="Times New Roman" w:hAnsi="Times New Roman"/>
          <w:sz w:val="20"/>
        </w:rPr>
        <w:t xml:space="preserve"> Pierścienie żelbetowe prefabrykowane</w:t>
      </w:r>
    </w:p>
    <w:p w:rsidR="00ED0C0A" w:rsidRDefault="00ED0C0A" w:rsidP="00ED0C0A">
      <w:pPr>
        <w:pStyle w:val="StylIwony"/>
        <w:spacing w:after="0"/>
        <w:rPr>
          <w:rFonts w:ascii="Times New Roman" w:hAnsi="Times New Roman"/>
          <w:sz w:val="20"/>
        </w:rPr>
      </w:pPr>
      <w:r>
        <w:rPr>
          <w:rFonts w:ascii="Times New Roman" w:hAnsi="Times New Roman"/>
          <w:sz w:val="20"/>
        </w:rPr>
        <w:tab/>
        <w:t xml:space="preserve">Pierścienie żelbetowe prefabrykowane o średnicy </w:t>
      </w:r>
      <w:smartTag w:uri="urn:schemas-microsoft-com:office:smarttags" w:element="metricconverter">
        <w:smartTagPr>
          <w:attr w:name="ProductID" w:val="65 cm"/>
        </w:smartTagPr>
        <w:r>
          <w:rPr>
            <w:rFonts w:ascii="Times New Roman" w:hAnsi="Times New Roman"/>
            <w:sz w:val="20"/>
          </w:rPr>
          <w:t>65 cm</w:t>
        </w:r>
      </w:smartTag>
      <w:r>
        <w:rPr>
          <w:rFonts w:ascii="Times New Roman" w:hAnsi="Times New Roman"/>
          <w:sz w:val="20"/>
        </w:rPr>
        <w:t xml:space="preserve"> powinny być wykonane z betonu wibrowanego klasy C 16/20 zbrojonego stalą </w:t>
      </w:r>
      <w:proofErr w:type="spellStart"/>
      <w:r>
        <w:rPr>
          <w:rFonts w:ascii="Times New Roman" w:hAnsi="Times New Roman"/>
          <w:sz w:val="20"/>
        </w:rPr>
        <w:t>StOS</w:t>
      </w:r>
      <w:proofErr w:type="spellEnd"/>
      <w:r>
        <w:rPr>
          <w:rFonts w:ascii="Times New Roman" w:hAnsi="Times New Roman"/>
          <w:sz w:val="20"/>
        </w:rPr>
        <w:t>.</w:t>
      </w:r>
    </w:p>
    <w:p w:rsidR="00ED0C0A" w:rsidRDefault="00ED0C0A" w:rsidP="00ED0C0A">
      <w:pPr>
        <w:pStyle w:val="StylIwony"/>
        <w:keepNext/>
        <w:spacing w:after="0"/>
        <w:rPr>
          <w:rFonts w:ascii="Times New Roman" w:hAnsi="Times New Roman"/>
          <w:sz w:val="20"/>
        </w:rPr>
      </w:pPr>
      <w:r>
        <w:rPr>
          <w:rFonts w:ascii="Times New Roman" w:hAnsi="Times New Roman"/>
          <w:b/>
          <w:sz w:val="20"/>
        </w:rPr>
        <w:t>2.6.4.</w:t>
      </w:r>
      <w:r>
        <w:rPr>
          <w:rFonts w:ascii="Times New Roman" w:hAnsi="Times New Roman"/>
          <w:sz w:val="20"/>
        </w:rPr>
        <w:t xml:space="preserve"> Płyty żelbetowe prefabrykowane</w:t>
      </w:r>
    </w:p>
    <w:p w:rsidR="00ED0C0A" w:rsidRDefault="00ED0C0A" w:rsidP="00ED0C0A">
      <w:pPr>
        <w:pStyle w:val="StylIwony"/>
        <w:spacing w:after="0"/>
        <w:rPr>
          <w:rFonts w:ascii="Times New Roman" w:hAnsi="Times New Roman"/>
          <w:sz w:val="20"/>
        </w:rPr>
      </w:pPr>
      <w:r>
        <w:rPr>
          <w:rFonts w:ascii="Times New Roman" w:hAnsi="Times New Roman"/>
          <w:sz w:val="20"/>
        </w:rPr>
        <w:tab/>
        <w:t xml:space="preserve">Płyty żelbetowe prefabrykowane powinny mieć grubość </w:t>
      </w:r>
      <w:smartTag w:uri="urn:schemas-microsoft-com:office:smarttags" w:element="metricconverter">
        <w:smartTagPr>
          <w:attr w:name="ProductID" w:val="11 cm"/>
        </w:smartTagPr>
        <w:r>
          <w:rPr>
            <w:rFonts w:ascii="Times New Roman" w:hAnsi="Times New Roman"/>
            <w:sz w:val="20"/>
          </w:rPr>
          <w:t>11 cm</w:t>
        </w:r>
      </w:smartTag>
      <w:r>
        <w:rPr>
          <w:rFonts w:ascii="Times New Roman" w:hAnsi="Times New Roman"/>
          <w:sz w:val="20"/>
        </w:rPr>
        <w:t xml:space="preserve"> i być wykonane z betonu wibrowanego klasy C 16/20 zbrojonego stalą </w:t>
      </w:r>
      <w:proofErr w:type="spellStart"/>
      <w:r>
        <w:rPr>
          <w:rFonts w:ascii="Times New Roman" w:hAnsi="Times New Roman"/>
          <w:sz w:val="20"/>
        </w:rPr>
        <w:t>StOS</w:t>
      </w:r>
      <w:proofErr w:type="spellEnd"/>
      <w:r>
        <w:rPr>
          <w:rFonts w:ascii="Times New Roman" w:hAnsi="Times New Roman"/>
          <w:sz w:val="20"/>
        </w:rPr>
        <w:t>.</w:t>
      </w:r>
    </w:p>
    <w:p w:rsidR="00ED0C0A" w:rsidRDefault="00ED0C0A" w:rsidP="00ED0C0A">
      <w:pPr>
        <w:pStyle w:val="StylIwony"/>
        <w:spacing w:after="0"/>
        <w:rPr>
          <w:rFonts w:ascii="Times New Roman" w:hAnsi="Times New Roman"/>
          <w:sz w:val="20"/>
        </w:rPr>
      </w:pPr>
      <w:r>
        <w:rPr>
          <w:rFonts w:ascii="Times New Roman" w:hAnsi="Times New Roman"/>
          <w:b/>
          <w:sz w:val="20"/>
        </w:rPr>
        <w:t>2.6.5.</w:t>
      </w:r>
      <w:r>
        <w:rPr>
          <w:rFonts w:ascii="Times New Roman" w:hAnsi="Times New Roman"/>
          <w:sz w:val="20"/>
        </w:rPr>
        <w:t xml:space="preserve"> Płyty fundamentowe zbrojone</w:t>
      </w:r>
    </w:p>
    <w:p w:rsidR="00ED0C0A" w:rsidRDefault="00ED0C0A" w:rsidP="00ED0C0A">
      <w:pPr>
        <w:pStyle w:val="StylIwony"/>
        <w:spacing w:after="0"/>
        <w:rPr>
          <w:rFonts w:ascii="Times New Roman" w:hAnsi="Times New Roman"/>
          <w:sz w:val="20"/>
        </w:rPr>
      </w:pPr>
      <w:r>
        <w:rPr>
          <w:rFonts w:ascii="Times New Roman" w:hAnsi="Times New Roman"/>
          <w:sz w:val="20"/>
        </w:rPr>
        <w:lastRenderedPageBreak/>
        <w:tab/>
        <w:t xml:space="preserve">Płyty fundamentowe zbrojone powinny posiadać grubość </w:t>
      </w:r>
      <w:smartTag w:uri="urn:schemas-microsoft-com:office:smarttags" w:element="metricconverter">
        <w:smartTagPr>
          <w:attr w:name="ProductID" w:val="15 cm"/>
        </w:smartTagPr>
        <w:r>
          <w:rPr>
            <w:rFonts w:ascii="Times New Roman" w:hAnsi="Times New Roman"/>
            <w:sz w:val="20"/>
          </w:rPr>
          <w:t>15 cm</w:t>
        </w:r>
      </w:smartTag>
      <w:r>
        <w:rPr>
          <w:rFonts w:ascii="Times New Roman" w:hAnsi="Times New Roman"/>
          <w:sz w:val="20"/>
        </w:rPr>
        <w:t xml:space="preserve"> i być wykonane z betonu klasy C 12/15.</w:t>
      </w:r>
    </w:p>
    <w:p w:rsidR="00ED0C0A" w:rsidRDefault="00ED0C0A" w:rsidP="00ED0C0A">
      <w:pPr>
        <w:pStyle w:val="StylIwony"/>
        <w:keepNext/>
        <w:spacing w:after="0"/>
        <w:rPr>
          <w:rFonts w:ascii="Times New Roman" w:hAnsi="Times New Roman"/>
          <w:sz w:val="20"/>
        </w:rPr>
      </w:pPr>
      <w:r>
        <w:rPr>
          <w:rFonts w:ascii="Times New Roman" w:hAnsi="Times New Roman"/>
          <w:b/>
          <w:sz w:val="20"/>
        </w:rPr>
        <w:t>2.6.6.</w:t>
      </w:r>
      <w:r>
        <w:rPr>
          <w:rFonts w:ascii="Times New Roman" w:hAnsi="Times New Roman"/>
          <w:sz w:val="20"/>
        </w:rPr>
        <w:t xml:space="preserve"> Kruszywo na podsypkę</w:t>
      </w:r>
    </w:p>
    <w:p w:rsidR="00ED0C0A" w:rsidRDefault="00ED0C0A" w:rsidP="00ED0C0A">
      <w:pPr>
        <w:pStyle w:val="StylIwony"/>
        <w:spacing w:after="0"/>
        <w:rPr>
          <w:rFonts w:ascii="Times New Roman" w:hAnsi="Times New Roman"/>
          <w:sz w:val="20"/>
        </w:rPr>
      </w:pPr>
      <w:r>
        <w:rPr>
          <w:rFonts w:ascii="Times New Roman" w:hAnsi="Times New Roman"/>
          <w:sz w:val="20"/>
        </w:rPr>
        <w:tab/>
        <w:t>Podsypka może być wykonana z tłucznia lub żwiru. Użyty materiał na podsypkę powinien odpowiadać wymaganiom stosownych norm, np. PN-B-06712 [10], PN-EN 13043 [7], PN-EN 12620 [6].</w:t>
      </w:r>
    </w:p>
    <w:p w:rsidR="00ED0C0A" w:rsidRDefault="00ED0C0A" w:rsidP="00ED0C0A">
      <w:pPr>
        <w:pStyle w:val="Nagwek2"/>
      </w:pPr>
      <w:r>
        <w:t>2.7. Beton</w:t>
      </w:r>
    </w:p>
    <w:p w:rsidR="00ED0C0A" w:rsidRDefault="00ED0C0A" w:rsidP="00ED0C0A">
      <w:pPr>
        <w:pStyle w:val="StylIwony"/>
        <w:spacing w:before="0"/>
        <w:rPr>
          <w:rFonts w:ascii="Times New Roman" w:hAnsi="Times New Roman"/>
          <w:sz w:val="20"/>
        </w:rPr>
      </w:pPr>
      <w:r>
        <w:rPr>
          <w:rFonts w:ascii="Times New Roman" w:hAnsi="Times New Roman"/>
          <w:b/>
          <w:sz w:val="20"/>
        </w:rPr>
        <w:t xml:space="preserve">2.7.1. </w:t>
      </w:r>
      <w:r>
        <w:rPr>
          <w:rFonts w:ascii="Times New Roman" w:hAnsi="Times New Roman"/>
          <w:sz w:val="20"/>
        </w:rPr>
        <w:t>Cement</w:t>
      </w:r>
    </w:p>
    <w:p w:rsidR="00ED0C0A" w:rsidRDefault="00ED0C0A" w:rsidP="00ED0C0A">
      <w:pPr>
        <w:pStyle w:val="StylIwony"/>
        <w:spacing w:before="0" w:after="0"/>
        <w:rPr>
          <w:rFonts w:ascii="Times New Roman" w:hAnsi="Times New Roman"/>
          <w:sz w:val="20"/>
        </w:rPr>
      </w:pPr>
      <w:r>
        <w:rPr>
          <w:rFonts w:ascii="Times New Roman" w:hAnsi="Times New Roman"/>
          <w:sz w:val="20"/>
        </w:rPr>
        <w:tab/>
        <w:t>Do betonu należy zastosować cement 32,5 lub 42,5 wg PN-EN 197-1 [2].</w:t>
      </w:r>
    </w:p>
    <w:p w:rsidR="00ED0C0A" w:rsidRDefault="00ED0C0A" w:rsidP="00ED0C0A">
      <w:pPr>
        <w:pStyle w:val="StylIwony"/>
        <w:rPr>
          <w:rFonts w:ascii="Times New Roman" w:hAnsi="Times New Roman"/>
          <w:sz w:val="20"/>
        </w:rPr>
      </w:pPr>
      <w:r>
        <w:rPr>
          <w:rFonts w:ascii="Times New Roman" w:hAnsi="Times New Roman"/>
          <w:b/>
          <w:sz w:val="20"/>
        </w:rPr>
        <w:t xml:space="preserve">2.7.2. </w:t>
      </w:r>
      <w:r>
        <w:rPr>
          <w:rFonts w:ascii="Times New Roman" w:hAnsi="Times New Roman"/>
          <w:sz w:val="20"/>
        </w:rPr>
        <w:t>Kruszywo</w:t>
      </w:r>
    </w:p>
    <w:p w:rsidR="00ED0C0A" w:rsidRDefault="00ED0C0A" w:rsidP="00ED0C0A">
      <w:pPr>
        <w:pStyle w:val="StylIwony"/>
        <w:spacing w:before="0" w:after="0"/>
        <w:rPr>
          <w:rFonts w:ascii="Times New Roman" w:hAnsi="Times New Roman"/>
          <w:sz w:val="20"/>
        </w:rPr>
      </w:pPr>
      <w:r>
        <w:rPr>
          <w:rFonts w:ascii="Times New Roman" w:hAnsi="Times New Roman"/>
          <w:sz w:val="20"/>
        </w:rPr>
        <w:tab/>
        <w:t>Do betonu należy zastosować kruszywo zgodne z normą PN-B-06712 [10]. Marka kruszywa nie może być niższa niż klasa betonu (np. B-30 – marka min. 30, B-20 – marka min. 20).</w:t>
      </w:r>
    </w:p>
    <w:p w:rsidR="00ED0C0A" w:rsidRDefault="00ED0C0A" w:rsidP="00ED0C0A">
      <w:pPr>
        <w:pStyle w:val="StylIwony"/>
        <w:rPr>
          <w:rFonts w:ascii="Times New Roman" w:hAnsi="Times New Roman"/>
          <w:sz w:val="20"/>
        </w:rPr>
      </w:pPr>
      <w:r>
        <w:rPr>
          <w:rFonts w:ascii="Times New Roman" w:hAnsi="Times New Roman"/>
          <w:b/>
          <w:sz w:val="20"/>
        </w:rPr>
        <w:t xml:space="preserve">2.7.3. </w:t>
      </w:r>
      <w:r>
        <w:rPr>
          <w:rFonts w:ascii="Times New Roman" w:hAnsi="Times New Roman"/>
          <w:sz w:val="20"/>
        </w:rPr>
        <w:t>Beton hydrotechniczny</w:t>
      </w:r>
    </w:p>
    <w:p w:rsidR="00ED0C0A" w:rsidRDefault="00ED0C0A" w:rsidP="00ED0C0A">
      <w:pPr>
        <w:pStyle w:val="StylIwony"/>
        <w:spacing w:before="0" w:after="0"/>
        <w:rPr>
          <w:rFonts w:ascii="Times New Roman" w:hAnsi="Times New Roman"/>
          <w:sz w:val="20"/>
        </w:rPr>
      </w:pPr>
      <w:r>
        <w:rPr>
          <w:rFonts w:ascii="Times New Roman" w:hAnsi="Times New Roman"/>
          <w:sz w:val="20"/>
        </w:rPr>
        <w:tab/>
        <w:t>Beton hydrotechniczny C12/15 i C16/20 powinien odpowiadać wymaganiom PN-EN 206-1 [3] w zastosowaniach przyszłościowych, a tymczasowo PN-B-06250 [9].</w:t>
      </w:r>
    </w:p>
    <w:p w:rsidR="00ED0C0A" w:rsidRDefault="00ED0C0A" w:rsidP="00ED0C0A">
      <w:pPr>
        <w:pStyle w:val="Nagwek2"/>
      </w:pPr>
      <w:r>
        <w:t>2.8. Zaprawa cementowa</w:t>
      </w:r>
    </w:p>
    <w:p w:rsidR="00ED0C0A" w:rsidRDefault="00ED0C0A" w:rsidP="00ED0C0A">
      <w:pPr>
        <w:pStyle w:val="StylIwony"/>
        <w:spacing w:before="0" w:after="0"/>
        <w:rPr>
          <w:rFonts w:ascii="Times New Roman" w:hAnsi="Times New Roman"/>
          <w:sz w:val="20"/>
        </w:rPr>
      </w:pPr>
      <w:r>
        <w:rPr>
          <w:rFonts w:ascii="Times New Roman" w:hAnsi="Times New Roman"/>
          <w:sz w:val="20"/>
        </w:rPr>
        <w:tab/>
        <w:t>Zaprawa cementowa powinna odpowiadać wymaganiom PN–B-14501 [16].</w:t>
      </w:r>
    </w:p>
    <w:p w:rsidR="00ED0C0A" w:rsidRDefault="00ED0C0A" w:rsidP="00ED0C0A">
      <w:pPr>
        <w:pStyle w:val="Nagwek2"/>
      </w:pPr>
      <w:r>
        <w:t>2.9. Składowanie materiałów</w:t>
      </w:r>
    </w:p>
    <w:p w:rsidR="00ED0C0A" w:rsidRDefault="00ED0C0A" w:rsidP="00ED0C0A">
      <w:pPr>
        <w:pStyle w:val="StylIwony"/>
        <w:spacing w:before="0"/>
        <w:rPr>
          <w:rFonts w:ascii="Times New Roman" w:hAnsi="Times New Roman"/>
          <w:sz w:val="20"/>
        </w:rPr>
      </w:pPr>
      <w:r>
        <w:rPr>
          <w:rFonts w:ascii="Times New Roman" w:hAnsi="Times New Roman"/>
          <w:b/>
          <w:sz w:val="20"/>
        </w:rPr>
        <w:t>2.9.1.</w:t>
      </w:r>
      <w:r>
        <w:rPr>
          <w:rFonts w:ascii="Times New Roman" w:hAnsi="Times New Roman"/>
          <w:sz w:val="20"/>
        </w:rPr>
        <w:t xml:space="preserve"> Rury kanałowe</w:t>
      </w:r>
    </w:p>
    <w:p w:rsidR="00ED0C0A" w:rsidRDefault="00ED0C0A" w:rsidP="00ED0C0A">
      <w:pPr>
        <w:pStyle w:val="StylIwony"/>
        <w:spacing w:before="0" w:after="0"/>
        <w:rPr>
          <w:rFonts w:ascii="Times New Roman" w:hAnsi="Times New Roman"/>
          <w:sz w:val="20"/>
        </w:rPr>
      </w:pPr>
      <w:r>
        <w:rPr>
          <w:rFonts w:ascii="Times New Roman" w:hAnsi="Times New Roman"/>
          <w:sz w:val="20"/>
        </w:rPr>
        <w:tab/>
        <w:t>Rury można składować na otwartej przestrzeni, układając je w pozycji leżącej jedno- lub wielowarstwowo, albo w pozycji stojącej.</w:t>
      </w:r>
    </w:p>
    <w:p w:rsidR="00ED0C0A" w:rsidRDefault="00ED0C0A" w:rsidP="00ED0C0A">
      <w:pPr>
        <w:pStyle w:val="StylIwony"/>
        <w:spacing w:before="0" w:after="0"/>
        <w:rPr>
          <w:rFonts w:ascii="Times New Roman" w:hAnsi="Times New Roman"/>
          <w:sz w:val="20"/>
        </w:rPr>
      </w:pPr>
      <w:r>
        <w:rPr>
          <w:rFonts w:ascii="Times New Roman" w:hAnsi="Times New Roman"/>
          <w:sz w:val="20"/>
        </w:rPr>
        <w:tab/>
        <w:t>Powierzchnia składowania powinna być utwardzona i zabezpieczona przed gromadzeniem się wód opadowych.</w:t>
      </w:r>
    </w:p>
    <w:p w:rsidR="00ED0C0A" w:rsidRDefault="00ED0C0A" w:rsidP="00ED0C0A">
      <w:pPr>
        <w:pStyle w:val="StylIwony"/>
        <w:spacing w:before="0" w:after="0"/>
        <w:rPr>
          <w:rFonts w:ascii="Times New Roman" w:hAnsi="Times New Roman"/>
          <w:sz w:val="20"/>
        </w:rPr>
      </w:pPr>
      <w:r>
        <w:rPr>
          <w:rFonts w:ascii="Times New Roman" w:hAnsi="Times New Roman"/>
          <w:sz w:val="20"/>
        </w:rPr>
        <w:tab/>
        <w:t>W przypadku składowania poziomego pierwszą warstwę rur należy ułożyć na podkładach drewnianych. Podobnie na podkładach drewnianych należy układać wyroby w pozycji stojącej i jeżeli powierzchnia składowania nie odpowiada ww. wymaganiom.</w:t>
      </w:r>
    </w:p>
    <w:p w:rsidR="00ED0C0A" w:rsidRDefault="00ED0C0A" w:rsidP="00ED0C0A">
      <w:pPr>
        <w:pStyle w:val="StylIwony"/>
        <w:spacing w:before="0" w:after="0"/>
        <w:rPr>
          <w:rFonts w:ascii="Times New Roman" w:hAnsi="Times New Roman"/>
          <w:sz w:val="20"/>
        </w:rPr>
      </w:pPr>
      <w:r>
        <w:rPr>
          <w:rFonts w:ascii="Times New Roman" w:hAnsi="Times New Roman"/>
          <w:sz w:val="20"/>
        </w:rPr>
        <w:tab/>
        <w:t>Wykonawca jest zobowiązany układać rury według poszczególnych grup, wielkości i gatunków w sposób zapewniający stateczność oraz umożliwiający dostęp do poszczególnych stosów lub pojedynczych rur.</w:t>
      </w:r>
    </w:p>
    <w:p w:rsidR="00ED0C0A" w:rsidRDefault="00ED0C0A" w:rsidP="00ED0C0A">
      <w:pPr>
        <w:pStyle w:val="StylIwony"/>
        <w:keepNext/>
        <w:rPr>
          <w:rFonts w:ascii="Times New Roman" w:hAnsi="Times New Roman"/>
          <w:sz w:val="20"/>
        </w:rPr>
      </w:pPr>
      <w:r>
        <w:rPr>
          <w:rFonts w:ascii="Times New Roman" w:hAnsi="Times New Roman"/>
          <w:b/>
          <w:sz w:val="20"/>
        </w:rPr>
        <w:t>2.9.2.</w:t>
      </w:r>
      <w:r>
        <w:rPr>
          <w:rFonts w:ascii="Times New Roman" w:hAnsi="Times New Roman"/>
          <w:sz w:val="20"/>
        </w:rPr>
        <w:t xml:space="preserve"> Kręgi</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Kręgi można składować na powierzchni nieutwardzonej pod warunkiem, że nacisk kręgów przekazywany na grunt nie przekracza 0,5 </w:t>
      </w:r>
      <w:proofErr w:type="spellStart"/>
      <w:r>
        <w:rPr>
          <w:rFonts w:ascii="Times New Roman" w:hAnsi="Times New Roman"/>
          <w:sz w:val="20"/>
        </w:rPr>
        <w:t>MPa</w:t>
      </w:r>
      <w:proofErr w:type="spellEnd"/>
      <w:r>
        <w:rPr>
          <w:rFonts w:ascii="Times New Roman" w:hAnsi="Times New Roman"/>
          <w:sz w:val="20"/>
        </w:rPr>
        <w:t>.</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Przy składowaniu wyrobów w pozycji wbudowania wysokość składowania nie powinna przekraczać </w:t>
      </w:r>
      <w:smartTag w:uri="urn:schemas-microsoft-com:office:smarttags" w:element="metricconverter">
        <w:smartTagPr>
          <w:attr w:name="ProductID" w:val="1,8 m"/>
        </w:smartTagPr>
        <w:r>
          <w:rPr>
            <w:rFonts w:ascii="Times New Roman" w:hAnsi="Times New Roman"/>
            <w:sz w:val="20"/>
          </w:rPr>
          <w:t>1,8 m</w:t>
        </w:r>
      </w:smartTag>
      <w:r>
        <w:rPr>
          <w:rFonts w:ascii="Times New Roman" w:hAnsi="Times New Roman"/>
          <w:sz w:val="20"/>
        </w:rPr>
        <w:t>. Składowanie powinno umożliwiać dostęp do poszczególnych stosów wyrobów lub pojedynczych kręgów.</w:t>
      </w:r>
    </w:p>
    <w:p w:rsidR="00ED0C0A" w:rsidRDefault="00ED0C0A" w:rsidP="00ED0C0A">
      <w:pPr>
        <w:pStyle w:val="StylIwony"/>
        <w:keepNext/>
        <w:rPr>
          <w:rFonts w:ascii="Times New Roman" w:hAnsi="Times New Roman"/>
          <w:sz w:val="20"/>
        </w:rPr>
      </w:pPr>
      <w:r>
        <w:rPr>
          <w:rFonts w:ascii="Times New Roman" w:hAnsi="Times New Roman"/>
          <w:b/>
          <w:sz w:val="20"/>
        </w:rPr>
        <w:t>2.9.3.</w:t>
      </w:r>
      <w:r>
        <w:rPr>
          <w:rFonts w:ascii="Times New Roman" w:hAnsi="Times New Roman"/>
          <w:sz w:val="20"/>
        </w:rPr>
        <w:t xml:space="preserve"> Cegła kanalizacyjna</w:t>
      </w:r>
    </w:p>
    <w:p w:rsidR="00ED0C0A" w:rsidRDefault="00ED0C0A" w:rsidP="00ED0C0A">
      <w:pPr>
        <w:pStyle w:val="StylIwony"/>
        <w:spacing w:before="0" w:after="0"/>
        <w:rPr>
          <w:rFonts w:ascii="Times New Roman" w:hAnsi="Times New Roman"/>
          <w:sz w:val="20"/>
        </w:rPr>
      </w:pPr>
      <w:r>
        <w:rPr>
          <w:rFonts w:ascii="Times New Roman" w:hAnsi="Times New Roman"/>
          <w:sz w:val="20"/>
        </w:rPr>
        <w:tab/>
        <w:t>Cegła kanalizacyjna może być składowana na otwartej przestrzeni, na powierzchni utwardzonej z odpowiednimi spadkami umożliwiającymi odprowadzenie wód opadowych.</w:t>
      </w:r>
    </w:p>
    <w:p w:rsidR="00ED0C0A" w:rsidRDefault="00ED0C0A" w:rsidP="00ED0C0A">
      <w:pPr>
        <w:pStyle w:val="StylIwony"/>
        <w:spacing w:before="0" w:after="0"/>
        <w:rPr>
          <w:rFonts w:ascii="Times New Roman" w:hAnsi="Times New Roman"/>
          <w:sz w:val="20"/>
        </w:rPr>
      </w:pPr>
      <w:r>
        <w:rPr>
          <w:rFonts w:ascii="Times New Roman" w:hAnsi="Times New Roman"/>
          <w:sz w:val="20"/>
        </w:rPr>
        <w:tab/>
        <w:t>Cegły w miejscu składowania powinny być ułożone w sposób uporządkowany, zapewniający łatwość przeliczenia. Cegły powinny być ułożone w jednostkach ładunkowych lub luzem w stosach albo pryzmach.</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Jednostki ładunkowe mogą być ułożone jedne na drugich maksymalnie w                       3 warstwach, o łącznej wysokości nie przekraczającej </w:t>
      </w:r>
      <w:smartTag w:uri="urn:schemas-microsoft-com:office:smarttags" w:element="metricconverter">
        <w:smartTagPr>
          <w:attr w:name="ProductID" w:val="3,0 m"/>
        </w:smartTagPr>
        <w:r>
          <w:rPr>
            <w:rFonts w:ascii="Times New Roman" w:hAnsi="Times New Roman"/>
            <w:sz w:val="20"/>
          </w:rPr>
          <w:t>3,0 m</w:t>
        </w:r>
      </w:smartTag>
      <w:r>
        <w:rPr>
          <w:rFonts w:ascii="Times New Roman" w:hAnsi="Times New Roman"/>
          <w:sz w:val="20"/>
        </w:rPr>
        <w:t>.</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Przy składowaniu cegieł luzem maksymalna wysokość stosów i pryzm nie powinna przekraczać </w:t>
      </w:r>
      <w:smartTag w:uri="urn:schemas-microsoft-com:office:smarttags" w:element="metricconverter">
        <w:smartTagPr>
          <w:attr w:name="ProductID" w:val="2,2 m"/>
        </w:smartTagPr>
        <w:r>
          <w:rPr>
            <w:rFonts w:ascii="Times New Roman" w:hAnsi="Times New Roman"/>
            <w:sz w:val="20"/>
          </w:rPr>
          <w:t>2,2 m</w:t>
        </w:r>
      </w:smartTag>
      <w:r>
        <w:rPr>
          <w:rFonts w:ascii="Times New Roman" w:hAnsi="Times New Roman"/>
          <w:sz w:val="20"/>
        </w:rPr>
        <w:t>.</w:t>
      </w:r>
    </w:p>
    <w:p w:rsidR="00ED0C0A" w:rsidRDefault="00ED0C0A" w:rsidP="00ED0C0A">
      <w:pPr>
        <w:pStyle w:val="StylIwony"/>
        <w:rPr>
          <w:rFonts w:ascii="Times New Roman" w:hAnsi="Times New Roman"/>
          <w:sz w:val="20"/>
        </w:rPr>
      </w:pPr>
      <w:r>
        <w:rPr>
          <w:rFonts w:ascii="Times New Roman" w:hAnsi="Times New Roman"/>
          <w:b/>
          <w:sz w:val="20"/>
        </w:rPr>
        <w:t>2.9.5.</w:t>
      </w:r>
      <w:r>
        <w:rPr>
          <w:rFonts w:ascii="Times New Roman" w:hAnsi="Times New Roman"/>
          <w:sz w:val="20"/>
        </w:rPr>
        <w:t xml:space="preserve"> Wpusty żeliwne</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Skrzynki lub ramki wpustów mogą  być składowane na otwartej przestrzeni, na paletach w stosach o wysokości maksimum </w:t>
      </w:r>
      <w:smartTag w:uri="urn:schemas-microsoft-com:office:smarttags" w:element="metricconverter">
        <w:smartTagPr>
          <w:attr w:name="ProductID" w:val="1,5 m"/>
        </w:smartTagPr>
        <w:r>
          <w:rPr>
            <w:rFonts w:ascii="Times New Roman" w:hAnsi="Times New Roman"/>
            <w:sz w:val="20"/>
          </w:rPr>
          <w:t>1,5 m</w:t>
        </w:r>
      </w:smartTag>
      <w:r>
        <w:rPr>
          <w:rFonts w:ascii="Times New Roman" w:hAnsi="Times New Roman"/>
          <w:sz w:val="20"/>
        </w:rPr>
        <w:t>.</w:t>
      </w:r>
    </w:p>
    <w:p w:rsidR="00ED0C0A" w:rsidRDefault="00ED0C0A" w:rsidP="00ED0C0A">
      <w:pPr>
        <w:pStyle w:val="StylIwony"/>
        <w:rPr>
          <w:rFonts w:ascii="Times New Roman" w:hAnsi="Times New Roman"/>
          <w:sz w:val="20"/>
        </w:rPr>
      </w:pPr>
      <w:r>
        <w:rPr>
          <w:rFonts w:ascii="Times New Roman" w:hAnsi="Times New Roman"/>
          <w:b/>
          <w:sz w:val="20"/>
        </w:rPr>
        <w:t>2.9.6.</w:t>
      </w:r>
      <w:r>
        <w:rPr>
          <w:rFonts w:ascii="Times New Roman" w:hAnsi="Times New Roman"/>
          <w:sz w:val="20"/>
        </w:rPr>
        <w:t xml:space="preserve"> Kruszywo</w:t>
      </w:r>
    </w:p>
    <w:p w:rsidR="00ED0C0A" w:rsidRDefault="00ED0C0A" w:rsidP="00ED0C0A">
      <w:pPr>
        <w:pStyle w:val="StylIwony"/>
        <w:spacing w:before="0" w:after="0"/>
        <w:rPr>
          <w:rFonts w:ascii="Times New Roman" w:hAnsi="Times New Roman"/>
          <w:sz w:val="20"/>
        </w:rPr>
      </w:pPr>
      <w:r>
        <w:rPr>
          <w:rFonts w:ascii="Times New Roman" w:hAnsi="Times New Roman"/>
          <w:sz w:val="20"/>
        </w:rPr>
        <w:tab/>
        <w:t>Kruszywo należy składować na utwardzonym i odwodnionym podłożu w sposób zabezpieczający je przed zanieczyszczeniem i zmieszaniem z innymi rodzajami i frakcjami kruszyw.</w:t>
      </w:r>
    </w:p>
    <w:p w:rsidR="00ED0C0A" w:rsidRDefault="00ED0C0A" w:rsidP="00ED0C0A">
      <w:pPr>
        <w:pStyle w:val="Nagwek1"/>
      </w:pPr>
      <w:bookmarkStart w:id="546" w:name="_Toc423928990"/>
      <w:r>
        <w:lastRenderedPageBreak/>
        <w:t>3. SPRZĘT</w:t>
      </w:r>
      <w:bookmarkEnd w:id="546"/>
    </w:p>
    <w:p w:rsidR="00ED0C0A" w:rsidRDefault="00ED0C0A" w:rsidP="00ED0C0A">
      <w:pPr>
        <w:pStyle w:val="Nagwek2"/>
      </w:pPr>
      <w:r>
        <w:t>3.1. Ogólne wymagania dotyczące sprzętu</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wymagania dotyczące sprzętu podano w SST D-M-00.00.00 „Wymagania ogólne” pkt 3.</w:t>
      </w:r>
    </w:p>
    <w:p w:rsidR="00ED0C0A" w:rsidRDefault="00ED0C0A" w:rsidP="00ED0C0A">
      <w:pPr>
        <w:pStyle w:val="Nagwek2"/>
      </w:pPr>
      <w:r>
        <w:t>3.2. Sprzęt do wykonania kanalizacji deszczowej</w:t>
      </w:r>
    </w:p>
    <w:p w:rsidR="00ED0C0A" w:rsidRDefault="00ED0C0A" w:rsidP="00ED0C0A">
      <w:pPr>
        <w:pStyle w:val="StylIwony"/>
        <w:spacing w:before="0" w:after="0"/>
        <w:rPr>
          <w:rFonts w:ascii="Times New Roman" w:hAnsi="Times New Roman"/>
          <w:sz w:val="20"/>
        </w:rPr>
      </w:pPr>
      <w:r>
        <w:rPr>
          <w:rFonts w:ascii="Times New Roman" w:hAnsi="Times New Roman"/>
          <w:sz w:val="20"/>
        </w:rPr>
        <w:tab/>
        <w:t>Wykonawca przystępujący do wykonania kanalizacji deszczowej powinien wykazać się możliwością korzystania z następującego sprzętu:</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żurawi budowlanych samochodowych,</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koparek przedsiębiernych,</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spycharek kołowych lub gąsienicowych,</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sprzętu do zagęszczania gruntu,</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wciągarek mechanicznych,</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beczkowozów.</w:t>
      </w:r>
    </w:p>
    <w:p w:rsidR="00ED0C0A" w:rsidRDefault="00ED0C0A" w:rsidP="00ED0C0A">
      <w:pPr>
        <w:pStyle w:val="Nagwek1"/>
      </w:pPr>
      <w:bookmarkStart w:id="547" w:name="_Toc423928991"/>
      <w:r>
        <w:t>4. TRANSPORT</w:t>
      </w:r>
      <w:bookmarkEnd w:id="547"/>
    </w:p>
    <w:p w:rsidR="00ED0C0A" w:rsidRDefault="00ED0C0A" w:rsidP="00ED0C0A">
      <w:pPr>
        <w:pStyle w:val="Nagwek2"/>
      </w:pPr>
      <w:r>
        <w:t>4.1. Ogólne wymagania dotyczące transportu</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wymagania dotyczące transportu podano w SST D-M-00.00.00 „Wymagania ogólne” pkt 4.</w:t>
      </w:r>
    </w:p>
    <w:p w:rsidR="00ED0C0A" w:rsidRDefault="00ED0C0A" w:rsidP="00ED0C0A">
      <w:pPr>
        <w:pStyle w:val="Nagwek2"/>
      </w:pPr>
      <w:r>
        <w:t>4.2. Transport rur kanałowych</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Rury, zarówno kamionkowe jak i betonowe, mogą być przewożone dowolnymi środkami transportu w sposób zabezpieczający je przed uszkodzeniem lub zniszczeniem. </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Wykonawca zapewni przewóz rur w pozycji poziomej wzdłuż środka transportu, z wyjątkiem rur betonowych o stosunku średnicy nominalnej do długości, większej niż </w:t>
      </w:r>
      <w:smartTag w:uri="urn:schemas-microsoft-com:office:smarttags" w:element="metricconverter">
        <w:smartTagPr>
          <w:attr w:name="ProductID" w:val="1,0 m"/>
        </w:smartTagPr>
        <w:r>
          <w:rPr>
            <w:rFonts w:ascii="Times New Roman" w:hAnsi="Times New Roman"/>
            <w:sz w:val="20"/>
          </w:rPr>
          <w:t>1,0 m</w:t>
        </w:r>
      </w:smartTag>
      <w:r>
        <w:rPr>
          <w:rFonts w:ascii="Times New Roman" w:hAnsi="Times New Roman"/>
          <w:sz w:val="20"/>
        </w:rPr>
        <w:t>, które należy przewozić w pozycji pionowej i tylko w jednej warstwie.</w:t>
      </w:r>
    </w:p>
    <w:p w:rsidR="00ED0C0A" w:rsidRDefault="00ED0C0A" w:rsidP="00ED0C0A">
      <w:pPr>
        <w:pStyle w:val="StylIwony"/>
        <w:spacing w:before="0" w:after="0"/>
        <w:rPr>
          <w:rFonts w:ascii="Times New Roman" w:hAnsi="Times New Roman"/>
          <w:sz w:val="20"/>
        </w:rPr>
      </w:pPr>
      <w:r>
        <w:rPr>
          <w:rFonts w:ascii="Times New Roman" w:hAnsi="Times New Roman"/>
          <w:sz w:val="20"/>
        </w:rPr>
        <w:tab/>
        <w:t>Wykonawca zabezpieczy wyroby przewożone w pozycji poziomej przed przesuwaniem i przetaczaniem pod wpływem sił bezwładności występujących w czasie ruchu pojazdów.</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Przy wielowarstwowym układaniu rur górna warstwa nie może przewyższać ścian środka transportu o więcej niż 1/3 średnicy zewnętrznej wyrobu (rury kamionkowe nie wyżej niż </w:t>
      </w:r>
      <w:smartTag w:uri="urn:schemas-microsoft-com:office:smarttags" w:element="metricconverter">
        <w:smartTagPr>
          <w:attr w:name="ProductID" w:val="2 m"/>
        </w:smartTagPr>
        <w:r>
          <w:rPr>
            <w:rFonts w:ascii="Times New Roman" w:hAnsi="Times New Roman"/>
            <w:sz w:val="20"/>
          </w:rPr>
          <w:t>2 m</w:t>
        </w:r>
      </w:smartTag>
      <w:r>
        <w:rPr>
          <w:rFonts w:ascii="Times New Roman" w:hAnsi="Times New Roman"/>
          <w:sz w:val="20"/>
        </w:rPr>
        <w:t>).</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Pierwszą warstwę rur kielichowych należy układać na podkładach drewnianych, zaś poszczególne warstwy w miejscach stykania się wyrobów należy przekładać materiałem wyściółkowym (o grubości warstwy od 2 do </w:t>
      </w:r>
      <w:smartTag w:uri="urn:schemas-microsoft-com:office:smarttags" w:element="metricconverter">
        <w:smartTagPr>
          <w:attr w:name="ProductID" w:val="4 cm"/>
        </w:smartTagPr>
        <w:r>
          <w:rPr>
            <w:rFonts w:ascii="Times New Roman" w:hAnsi="Times New Roman"/>
            <w:sz w:val="20"/>
          </w:rPr>
          <w:t>4 cm</w:t>
        </w:r>
      </w:smartTag>
      <w:r>
        <w:rPr>
          <w:rFonts w:ascii="Times New Roman" w:hAnsi="Times New Roman"/>
          <w:sz w:val="20"/>
        </w:rPr>
        <w:t xml:space="preserve"> po ugnieceniu).</w:t>
      </w:r>
    </w:p>
    <w:p w:rsidR="00ED0C0A" w:rsidRDefault="00ED0C0A" w:rsidP="00ED0C0A">
      <w:pPr>
        <w:pStyle w:val="Nagwek2"/>
      </w:pPr>
      <w:r>
        <w:t>4.3. Transport kręgów</w:t>
      </w:r>
    </w:p>
    <w:p w:rsidR="00ED0C0A" w:rsidRDefault="00ED0C0A" w:rsidP="00ED0C0A">
      <w:pPr>
        <w:pStyle w:val="StylIwony"/>
        <w:spacing w:before="0" w:after="0"/>
        <w:rPr>
          <w:rFonts w:ascii="Times New Roman" w:hAnsi="Times New Roman"/>
          <w:sz w:val="20"/>
        </w:rPr>
      </w:pPr>
      <w:r>
        <w:rPr>
          <w:rFonts w:ascii="Times New Roman" w:hAnsi="Times New Roman"/>
          <w:sz w:val="20"/>
        </w:rPr>
        <w:tab/>
        <w:t>Transport kręgów powinien odbywać się samochodami w pozycji wbudowania lub prostopadle do pozycji wbudowania.</w:t>
      </w:r>
    </w:p>
    <w:p w:rsidR="00ED0C0A" w:rsidRDefault="00ED0C0A" w:rsidP="00ED0C0A">
      <w:pPr>
        <w:pStyle w:val="StylIwony"/>
        <w:spacing w:before="0" w:after="0"/>
        <w:rPr>
          <w:rFonts w:ascii="Times New Roman" w:hAnsi="Times New Roman"/>
          <w:sz w:val="20"/>
        </w:rPr>
      </w:pPr>
      <w:r>
        <w:rPr>
          <w:rFonts w:ascii="Times New Roman" w:hAnsi="Times New Roman"/>
          <w:sz w:val="20"/>
        </w:rPr>
        <w:tab/>
        <w:t>Dla zabezpieczenia przed uszkodzeniem przewożonych elementów, Wykonawca dokona ich usztywnienia przez zastosowanie przekładek, rozporów i klinów z drewna, gumy lub innych odpowiednich materiałów.</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Podnoszenie i opuszczanie kręgów o średnicach </w:t>
      </w:r>
      <w:smartTag w:uri="urn:schemas-microsoft-com:office:smarttags" w:element="metricconverter">
        <w:smartTagPr>
          <w:attr w:name="ProductID" w:val="1,2 m"/>
        </w:smartTagPr>
        <w:r>
          <w:rPr>
            <w:rFonts w:ascii="Times New Roman" w:hAnsi="Times New Roman"/>
            <w:sz w:val="20"/>
          </w:rPr>
          <w:t>1,2 m</w:t>
        </w:r>
      </w:smartTag>
      <w:r>
        <w:rPr>
          <w:rFonts w:ascii="Times New Roman" w:hAnsi="Times New Roman"/>
          <w:sz w:val="20"/>
        </w:rPr>
        <w:t xml:space="preserve"> i </w:t>
      </w:r>
      <w:smartTag w:uri="urn:schemas-microsoft-com:office:smarttags" w:element="metricconverter">
        <w:smartTagPr>
          <w:attr w:name="ProductID" w:val="1,4 m"/>
        </w:smartTagPr>
        <w:r>
          <w:rPr>
            <w:rFonts w:ascii="Times New Roman" w:hAnsi="Times New Roman"/>
            <w:sz w:val="20"/>
          </w:rPr>
          <w:t>1,4 m</w:t>
        </w:r>
      </w:smartTag>
      <w:r>
        <w:rPr>
          <w:rFonts w:ascii="Times New Roman" w:hAnsi="Times New Roman"/>
          <w:sz w:val="20"/>
        </w:rPr>
        <w:t xml:space="preserve"> należy wykonywać za pomocą minimum trzech lin </w:t>
      </w:r>
      <w:proofErr w:type="spellStart"/>
      <w:r>
        <w:rPr>
          <w:rFonts w:ascii="Times New Roman" w:hAnsi="Times New Roman"/>
          <w:sz w:val="20"/>
        </w:rPr>
        <w:t>zawiesia</w:t>
      </w:r>
      <w:proofErr w:type="spellEnd"/>
      <w:r>
        <w:rPr>
          <w:rFonts w:ascii="Times New Roman" w:hAnsi="Times New Roman"/>
          <w:sz w:val="20"/>
        </w:rPr>
        <w:t xml:space="preserve"> rozmieszczonych równomiernie na obwodzie prefabrykatu.</w:t>
      </w:r>
    </w:p>
    <w:p w:rsidR="00ED0C0A" w:rsidRDefault="00ED0C0A" w:rsidP="00ED0C0A">
      <w:pPr>
        <w:pStyle w:val="Nagwek2"/>
      </w:pPr>
      <w:r>
        <w:t>4.4. Transport cegły kanalizacyjnej</w:t>
      </w:r>
    </w:p>
    <w:p w:rsidR="00ED0C0A" w:rsidRDefault="00ED0C0A" w:rsidP="00ED0C0A">
      <w:pPr>
        <w:pStyle w:val="StylIwony"/>
        <w:spacing w:before="0" w:after="0"/>
        <w:rPr>
          <w:rFonts w:ascii="Times New Roman" w:hAnsi="Times New Roman"/>
          <w:sz w:val="20"/>
        </w:rPr>
      </w:pPr>
      <w:r>
        <w:rPr>
          <w:rFonts w:ascii="Times New Roman" w:hAnsi="Times New Roman"/>
          <w:sz w:val="20"/>
        </w:rPr>
        <w:tab/>
        <w:t>Cegła kanalizacyjna może być przewożona dowolnymi środkami transportu w jednostkach ładunkowych lub luzem.</w:t>
      </w:r>
    </w:p>
    <w:p w:rsidR="00ED0C0A" w:rsidRDefault="00ED0C0A" w:rsidP="00ED0C0A">
      <w:pPr>
        <w:pStyle w:val="StylIwony"/>
        <w:spacing w:before="0" w:after="0"/>
        <w:rPr>
          <w:rFonts w:ascii="Times New Roman" w:hAnsi="Times New Roman"/>
          <w:sz w:val="20"/>
        </w:rPr>
      </w:pPr>
      <w:r>
        <w:rPr>
          <w:rFonts w:ascii="Times New Roman" w:hAnsi="Times New Roman"/>
          <w:sz w:val="20"/>
        </w:rPr>
        <w:tab/>
        <w:t>Jednostki ładunkowe należy układać na środkach transportu samochodowego w jednej warstwie.</w:t>
      </w:r>
    </w:p>
    <w:p w:rsidR="00ED0C0A" w:rsidRDefault="00ED0C0A" w:rsidP="00ED0C0A">
      <w:pPr>
        <w:pStyle w:val="StylIwony"/>
        <w:spacing w:before="0" w:after="0"/>
        <w:rPr>
          <w:rFonts w:ascii="Times New Roman" w:hAnsi="Times New Roman"/>
          <w:sz w:val="20"/>
        </w:rPr>
      </w:pPr>
      <w:r>
        <w:rPr>
          <w:rFonts w:ascii="Times New Roman" w:hAnsi="Times New Roman"/>
          <w:sz w:val="20"/>
        </w:rPr>
        <w:tab/>
        <w:t>Cegły transportowane luzem należy układać na środkach przewozowych ściśle jedne obok drugich, w jednakowej liczbie warstw na powierzchni środka transportu.</w:t>
      </w:r>
    </w:p>
    <w:p w:rsidR="00ED0C0A" w:rsidRDefault="00ED0C0A" w:rsidP="00ED0C0A">
      <w:pPr>
        <w:pStyle w:val="StylIwony"/>
        <w:spacing w:before="0" w:after="0"/>
        <w:rPr>
          <w:rFonts w:ascii="Times New Roman" w:hAnsi="Times New Roman"/>
          <w:sz w:val="20"/>
        </w:rPr>
      </w:pPr>
      <w:r>
        <w:rPr>
          <w:rFonts w:ascii="Times New Roman" w:hAnsi="Times New Roman"/>
          <w:sz w:val="20"/>
        </w:rPr>
        <w:tab/>
        <w:t>Wysokość ładunku nie powinna przekraczać wysokości burt.</w:t>
      </w:r>
    </w:p>
    <w:p w:rsidR="00ED0C0A" w:rsidRDefault="00ED0C0A" w:rsidP="00ED0C0A">
      <w:pPr>
        <w:pStyle w:val="StylIwony"/>
        <w:spacing w:before="0" w:after="0"/>
        <w:rPr>
          <w:rFonts w:ascii="Times New Roman" w:hAnsi="Times New Roman"/>
          <w:sz w:val="20"/>
        </w:rPr>
      </w:pPr>
      <w:r>
        <w:rPr>
          <w:rFonts w:ascii="Times New Roman" w:hAnsi="Times New Roman"/>
          <w:sz w:val="20"/>
        </w:rPr>
        <w:tab/>
        <w:t>Cegły luzem mogą być przewożone środkami transportu samochodowego pod warunkiem stosowania opinek.</w:t>
      </w:r>
    </w:p>
    <w:p w:rsidR="00ED0C0A" w:rsidRDefault="00ED0C0A" w:rsidP="00ED0C0A">
      <w:pPr>
        <w:pStyle w:val="StylIwony"/>
        <w:spacing w:before="0" w:after="0"/>
        <w:rPr>
          <w:rFonts w:ascii="Times New Roman" w:hAnsi="Times New Roman"/>
          <w:sz w:val="20"/>
        </w:rPr>
      </w:pPr>
      <w:r>
        <w:rPr>
          <w:rFonts w:ascii="Times New Roman" w:hAnsi="Times New Roman"/>
          <w:sz w:val="20"/>
        </w:rPr>
        <w:tab/>
        <w:t>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w:t>
      </w:r>
    </w:p>
    <w:p w:rsidR="00ED0C0A" w:rsidRDefault="00ED0C0A" w:rsidP="00ED0C0A">
      <w:pPr>
        <w:pStyle w:val="Nagwek2"/>
      </w:pPr>
      <w:r>
        <w:t>4.6. Transport wpustów żeliwnych</w:t>
      </w:r>
    </w:p>
    <w:p w:rsidR="00ED0C0A" w:rsidRDefault="00ED0C0A" w:rsidP="00ED0C0A">
      <w:pPr>
        <w:pStyle w:val="StylIwony"/>
        <w:spacing w:before="0" w:after="0"/>
        <w:rPr>
          <w:rFonts w:ascii="Times New Roman" w:hAnsi="Times New Roman"/>
          <w:sz w:val="20"/>
        </w:rPr>
      </w:pPr>
      <w:r>
        <w:rPr>
          <w:rFonts w:ascii="Times New Roman" w:hAnsi="Times New Roman"/>
          <w:sz w:val="20"/>
        </w:rPr>
        <w:tab/>
        <w:t>Skrzynki lub ramki wpustów mogą być przewożone dowolnymi środkami transportu w sposób zabezpieczony przed przesuwaniem się podczas transportu.</w:t>
      </w:r>
    </w:p>
    <w:p w:rsidR="00ED0C0A" w:rsidRDefault="00ED0C0A" w:rsidP="00ED0C0A">
      <w:pPr>
        <w:pStyle w:val="Nagwek2"/>
      </w:pPr>
      <w:r>
        <w:lastRenderedPageBreak/>
        <w:t>4.7. Transport mieszanki betonowej</w:t>
      </w:r>
    </w:p>
    <w:p w:rsidR="00ED0C0A" w:rsidRDefault="00ED0C0A" w:rsidP="00ED0C0A">
      <w:pPr>
        <w:pStyle w:val="StylIwony"/>
        <w:spacing w:before="0" w:after="0"/>
        <w:rPr>
          <w:rFonts w:ascii="Times New Roman" w:hAnsi="Times New Roman"/>
          <w:sz w:val="20"/>
        </w:rPr>
      </w:pPr>
      <w:r>
        <w:rPr>
          <w:rFonts w:ascii="Times New Roman" w:hAnsi="Times New Roman"/>
          <w:sz w:val="20"/>
        </w:rPr>
        <w:tab/>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rsidR="00ED0C0A" w:rsidRDefault="00ED0C0A" w:rsidP="00ED0C0A">
      <w:pPr>
        <w:pStyle w:val="Nagwek2"/>
      </w:pPr>
      <w:r>
        <w:t>4.8. Transport kruszyw</w:t>
      </w:r>
    </w:p>
    <w:p w:rsidR="00ED0C0A" w:rsidRDefault="00ED0C0A" w:rsidP="00ED0C0A">
      <w:pPr>
        <w:pStyle w:val="StylIwony"/>
        <w:spacing w:before="0" w:after="0"/>
        <w:rPr>
          <w:rFonts w:ascii="Times New Roman" w:hAnsi="Times New Roman"/>
          <w:sz w:val="20"/>
        </w:rPr>
      </w:pPr>
      <w:r>
        <w:rPr>
          <w:rFonts w:ascii="Times New Roman" w:hAnsi="Times New Roman"/>
          <w:sz w:val="20"/>
        </w:rPr>
        <w:tab/>
        <w:t>Kruszywa mogą być przewożone dowolnymi środkami transportu, w sposób zabezpieczający je przed zanieczyszczeniem i nadmiernym zawilgoceniem.</w:t>
      </w:r>
    </w:p>
    <w:p w:rsidR="00ED0C0A" w:rsidRDefault="00ED0C0A" w:rsidP="00ED0C0A">
      <w:pPr>
        <w:pStyle w:val="Nagwek2"/>
      </w:pPr>
      <w:r>
        <w:t>4.9. Transport cementu i jego przechowywanie</w:t>
      </w:r>
    </w:p>
    <w:p w:rsidR="00ED0C0A" w:rsidRDefault="00ED0C0A" w:rsidP="00ED0C0A">
      <w:pPr>
        <w:pStyle w:val="StylIwony"/>
        <w:spacing w:before="0" w:after="0"/>
        <w:rPr>
          <w:rFonts w:ascii="Times New Roman" w:hAnsi="Times New Roman"/>
          <w:sz w:val="20"/>
        </w:rPr>
      </w:pPr>
      <w:r>
        <w:rPr>
          <w:rFonts w:ascii="Times New Roman" w:hAnsi="Times New Roman"/>
          <w:sz w:val="20"/>
        </w:rPr>
        <w:tab/>
        <w:t>Transport cementu i przechowywanie powinny być zgodne z BN-88/6731-08 [20].</w:t>
      </w:r>
    </w:p>
    <w:p w:rsidR="00ED0C0A" w:rsidRDefault="00ED0C0A" w:rsidP="00ED0C0A">
      <w:pPr>
        <w:pStyle w:val="Nagwek1"/>
      </w:pPr>
      <w:bookmarkStart w:id="548" w:name="_Toc423928992"/>
      <w:r>
        <w:t>5. WYKONANIE ROBÓT</w:t>
      </w:r>
      <w:bookmarkEnd w:id="548"/>
    </w:p>
    <w:p w:rsidR="00ED0C0A" w:rsidRDefault="00ED0C0A" w:rsidP="00ED0C0A">
      <w:pPr>
        <w:pStyle w:val="Nagwek2"/>
      </w:pPr>
      <w:r>
        <w:t>5.1. Ogólne zasady wykonania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zasady wykonania robót podano w SST D-M-00.00.00 „Wymagania ogólne” pkt 5.</w:t>
      </w:r>
    </w:p>
    <w:p w:rsidR="00ED0C0A" w:rsidRDefault="00ED0C0A" w:rsidP="00ED0C0A">
      <w:pPr>
        <w:pStyle w:val="Nagwek2"/>
      </w:pPr>
      <w:r>
        <w:t>5.2. Roboty przygotowawcze</w:t>
      </w:r>
    </w:p>
    <w:p w:rsidR="00ED0C0A" w:rsidRDefault="00ED0C0A" w:rsidP="00ED0C0A">
      <w:pPr>
        <w:pStyle w:val="StylIwony"/>
        <w:spacing w:before="0" w:after="0"/>
        <w:rPr>
          <w:rFonts w:ascii="Times New Roman" w:hAnsi="Times New Roman"/>
          <w:sz w:val="20"/>
        </w:rPr>
      </w:pPr>
      <w:r>
        <w:rPr>
          <w:rFonts w:ascii="Times New Roman" w:hAnsi="Times New Roman"/>
          <w:sz w:val="20"/>
        </w:rPr>
        <w:tab/>
        <w:t>Przed przystąpieniem do robót Wykonawca dokona ich wytyczenia i trwale oznaczy je w terenie za pomocą kołków osiowych, kołków świadków i kołków krawędziowych.</w:t>
      </w:r>
    </w:p>
    <w:p w:rsidR="00ED0C0A" w:rsidRDefault="00ED0C0A" w:rsidP="00ED0C0A">
      <w:pPr>
        <w:pStyle w:val="StylIwony"/>
        <w:spacing w:before="0" w:after="0"/>
        <w:rPr>
          <w:rFonts w:ascii="Times New Roman" w:hAnsi="Times New Roman"/>
          <w:sz w:val="20"/>
        </w:rPr>
      </w:pPr>
      <w:r>
        <w:rPr>
          <w:rFonts w:ascii="Times New Roman" w:hAnsi="Times New Roman"/>
          <w:sz w:val="20"/>
        </w:rPr>
        <w:tab/>
        <w:t>W przypadku niedostatecznej ilości reperów stałych, Wykonawca wbuduje repery tymczasowe (z rzędnymi sprawdzonymi przez służby geodezyjne), a szkice sytuacyjne reperów i ich rzędne przekaże Inżynierowi.</w:t>
      </w:r>
    </w:p>
    <w:p w:rsidR="00ED0C0A" w:rsidRDefault="00ED0C0A" w:rsidP="00ED0C0A">
      <w:pPr>
        <w:pStyle w:val="Nagwek2"/>
      </w:pPr>
      <w:r>
        <w:t>5.3. Roboty ziemne</w:t>
      </w:r>
    </w:p>
    <w:p w:rsidR="00ED0C0A" w:rsidRDefault="00ED0C0A" w:rsidP="00ED0C0A">
      <w:pPr>
        <w:pStyle w:val="StylIwony"/>
        <w:spacing w:before="0" w:after="0"/>
        <w:rPr>
          <w:rFonts w:ascii="Times New Roman" w:hAnsi="Times New Roman"/>
          <w:sz w:val="20"/>
        </w:rPr>
      </w:pPr>
      <w:r>
        <w:rPr>
          <w:rFonts w:ascii="Times New Roman" w:hAnsi="Times New Roman"/>
          <w:sz w:val="20"/>
        </w:rPr>
        <w:tab/>
        <w:t>Wykopy należy wykonać jako wykopy otwarte obudowane. Metody wykonania robót - wykopu (ręcznie lub mechanicznie) powinny być dostosowane do głębokości wykopu, danych geotechnicznych oraz posiadanego sprzętu mechanicznego.</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Szerokość wykopu uwarunkowana jest zewnętrznymi wymiarami kanału, do których dodaje się obustronnie </w:t>
      </w:r>
      <w:smartTag w:uri="urn:schemas-microsoft-com:office:smarttags" w:element="metricconverter">
        <w:smartTagPr>
          <w:attr w:name="ProductID" w:val="0,4 m"/>
        </w:smartTagPr>
        <w:r>
          <w:rPr>
            <w:rFonts w:ascii="Times New Roman" w:hAnsi="Times New Roman"/>
            <w:sz w:val="20"/>
          </w:rPr>
          <w:t>0,4 m</w:t>
        </w:r>
      </w:smartTag>
      <w:r>
        <w:rPr>
          <w:rFonts w:ascii="Times New Roman" w:hAnsi="Times New Roman"/>
          <w:sz w:val="20"/>
        </w:rPr>
        <w:t xml:space="preserve"> jako zapas potrzebny na deskowanie ścian i uszczelnienie styków. Deskowanie ścian należy prowadzić w miarę jego głębienia. Wydobyty grunt z wykopu powinien być wywieziony przez Wykonawcę na odkład.</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Dno wykopu powinno być równe i wykonane ze spadkiem ustalonym w dokumentacji projektowej, przy czym dno wykopu Wykonawca wykona na poziomie wyższym od rzędnej projektowanej o </w:t>
      </w:r>
      <w:smartTag w:uri="urn:schemas-microsoft-com:office:smarttags" w:element="metricconverter">
        <w:smartTagPr>
          <w:attr w:name="ProductID" w:val="0,20 m"/>
        </w:smartTagPr>
        <w:r>
          <w:rPr>
            <w:rFonts w:ascii="Times New Roman" w:hAnsi="Times New Roman"/>
            <w:sz w:val="20"/>
          </w:rPr>
          <w:t>0,20 m</w:t>
        </w:r>
      </w:smartTag>
      <w:r>
        <w:rPr>
          <w:rFonts w:ascii="Times New Roman" w:hAnsi="Times New Roman"/>
          <w:sz w:val="20"/>
        </w:rPr>
        <w:t>.</w:t>
      </w:r>
    </w:p>
    <w:p w:rsidR="00ED0C0A" w:rsidRDefault="00ED0C0A" w:rsidP="00ED0C0A">
      <w:pPr>
        <w:pStyle w:val="StylIwony"/>
        <w:spacing w:before="0" w:after="0"/>
        <w:ind w:firstLine="709"/>
        <w:rPr>
          <w:rFonts w:ascii="Times New Roman" w:hAnsi="Times New Roman"/>
          <w:sz w:val="20"/>
        </w:rPr>
      </w:pPr>
      <w:r>
        <w:rPr>
          <w:rFonts w:ascii="Times New Roman" w:hAnsi="Times New Roman"/>
          <w:sz w:val="20"/>
        </w:rPr>
        <w:t xml:space="preserve">Zdjęcie pozostawionej warstwy </w:t>
      </w:r>
      <w:smartTag w:uri="urn:schemas-microsoft-com:office:smarttags" w:element="metricconverter">
        <w:smartTagPr>
          <w:attr w:name="ProductID" w:val="0,20 m"/>
        </w:smartTagPr>
        <w:r>
          <w:rPr>
            <w:rFonts w:ascii="Times New Roman" w:hAnsi="Times New Roman"/>
            <w:sz w:val="20"/>
          </w:rPr>
          <w:t>0,20 m</w:t>
        </w:r>
      </w:smartTag>
      <w:r>
        <w:rPr>
          <w:rFonts w:ascii="Times New Roman" w:hAnsi="Times New Roman"/>
          <w:sz w:val="20"/>
        </w:rPr>
        <w:t xml:space="preserve"> gruntu powinno być wykonane bezpośrednio przed ułożeniem przewodów rurowych. Zdjęcie tej warstwy Wykonawca wykona ręcznie lub w sposób uzgodniony z Inżynierem.</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W gruntach skalistych dno wykopu powinno być wykonane od  0,10 do </w:t>
      </w:r>
      <w:smartTag w:uri="urn:schemas-microsoft-com:office:smarttags" w:element="metricconverter">
        <w:smartTagPr>
          <w:attr w:name="ProductID" w:val="0,15 m"/>
        </w:smartTagPr>
        <w:r>
          <w:rPr>
            <w:rFonts w:ascii="Times New Roman" w:hAnsi="Times New Roman"/>
            <w:sz w:val="20"/>
          </w:rPr>
          <w:t>0,15 m</w:t>
        </w:r>
      </w:smartTag>
      <w:r>
        <w:rPr>
          <w:rFonts w:ascii="Times New Roman" w:hAnsi="Times New Roman"/>
          <w:sz w:val="20"/>
        </w:rPr>
        <w:t xml:space="preserve"> głębiej od projektowanego poziomu dna.</w:t>
      </w:r>
    </w:p>
    <w:p w:rsidR="00ED0C0A" w:rsidRDefault="00ED0C0A" w:rsidP="00ED0C0A">
      <w:pPr>
        <w:pStyle w:val="Nagwek2"/>
      </w:pPr>
      <w:r>
        <w:t>5.4. Przygotowanie podłoża</w:t>
      </w:r>
    </w:p>
    <w:p w:rsidR="00ED0C0A" w:rsidRDefault="00ED0C0A" w:rsidP="00ED0C0A">
      <w:pPr>
        <w:pStyle w:val="StylIwony"/>
        <w:spacing w:before="0" w:after="0"/>
        <w:rPr>
          <w:rFonts w:ascii="Times New Roman" w:hAnsi="Times New Roman"/>
          <w:sz w:val="20"/>
        </w:rPr>
      </w:pPr>
      <w:r>
        <w:rPr>
          <w:rFonts w:ascii="Times New Roman" w:hAnsi="Times New Roman"/>
          <w:sz w:val="20"/>
        </w:rPr>
        <w:tab/>
        <w:t>W gruntach suchych piaszczystych, żwirowo-piaszczystych i piaszczysto-gliniastych podłożem jest grunt naturalny o nienaruszonej strukturze dna wykopu.</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W gruntach nawodnionych (odwadnianych w trakcie robót) podłoże należy wykonać z warstwy tłucznia lub żwiru z piaskiem o grubości od 15 do </w:t>
      </w:r>
      <w:smartTag w:uri="urn:schemas-microsoft-com:office:smarttags" w:element="metricconverter">
        <w:smartTagPr>
          <w:attr w:name="ProductID" w:val="20 cm"/>
        </w:smartTagPr>
        <w:r>
          <w:rPr>
            <w:rFonts w:ascii="Times New Roman" w:hAnsi="Times New Roman"/>
            <w:sz w:val="20"/>
          </w:rPr>
          <w:t>20 cm</w:t>
        </w:r>
      </w:smartTag>
      <w:r>
        <w:rPr>
          <w:rFonts w:ascii="Times New Roman" w:hAnsi="Times New Roman"/>
          <w:sz w:val="20"/>
        </w:rPr>
        <w:t xml:space="preserve"> łącznie z ułożonymi sączkami odwadniającymi. Dla przewodów o średnicy powyżej </w:t>
      </w:r>
      <w:smartTag w:uri="urn:schemas-microsoft-com:office:smarttags" w:element="metricconverter">
        <w:smartTagPr>
          <w:attr w:name="ProductID" w:val="0,50 m"/>
        </w:smartTagPr>
        <w:r>
          <w:rPr>
            <w:rFonts w:ascii="Times New Roman" w:hAnsi="Times New Roman"/>
            <w:sz w:val="20"/>
          </w:rPr>
          <w:t>0,50 m</w:t>
        </w:r>
      </w:smartTag>
      <w:r>
        <w:rPr>
          <w:rFonts w:ascii="Times New Roman" w:hAnsi="Times New Roman"/>
          <w:sz w:val="20"/>
        </w:rPr>
        <w:t>, na warstwie odwadniającej należy wykonać fundament betonowy</w:t>
      </w:r>
      <w:r>
        <w:rPr>
          <w:rStyle w:val="Odwoanieprzypisudolnego"/>
          <w:rFonts w:ascii="Times New Roman" w:hAnsi="Times New Roman"/>
          <w:sz w:val="20"/>
        </w:rPr>
        <w:footnoteReference w:id="1"/>
      </w:r>
      <w:r>
        <w:rPr>
          <w:rFonts w:ascii="Times New Roman" w:hAnsi="Times New Roman"/>
          <w:sz w:val="20"/>
        </w:rPr>
        <w:t>, zgodnie z dokumentacją projektową lub SST.</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W gruntach skalistych gliniastych lub stanowiących zbite iły należy wykonać podłoże z pospółki, żwiru lub tłucznia o grubości od 15 do </w:t>
      </w:r>
      <w:smartTag w:uri="urn:schemas-microsoft-com:office:smarttags" w:element="metricconverter">
        <w:smartTagPr>
          <w:attr w:name="ProductID" w:val="20 cm"/>
        </w:smartTagPr>
        <w:r>
          <w:rPr>
            <w:rFonts w:ascii="Times New Roman" w:hAnsi="Times New Roman"/>
            <w:sz w:val="20"/>
          </w:rPr>
          <w:t>20 cm</w:t>
        </w:r>
      </w:smartTag>
      <w:r>
        <w:rPr>
          <w:rFonts w:ascii="Times New Roman" w:hAnsi="Times New Roman"/>
          <w:sz w:val="20"/>
        </w:rPr>
        <w:t xml:space="preserve">. Dla przewodów o średnicy powyżej </w:t>
      </w:r>
      <w:smartTag w:uri="urn:schemas-microsoft-com:office:smarttags" w:element="metricconverter">
        <w:smartTagPr>
          <w:attr w:name="ProductID" w:val="0,50 m"/>
        </w:smartTagPr>
        <w:r>
          <w:rPr>
            <w:rFonts w:ascii="Times New Roman" w:hAnsi="Times New Roman"/>
            <w:sz w:val="20"/>
          </w:rPr>
          <w:t>0,50 m</w:t>
        </w:r>
      </w:smartTag>
      <w:r>
        <w:rPr>
          <w:rFonts w:ascii="Times New Roman" w:hAnsi="Times New Roman"/>
          <w:sz w:val="20"/>
        </w:rPr>
        <w:t xml:space="preserve"> należy wykonać fundament betonowy</w:t>
      </w:r>
      <w:r>
        <w:rPr>
          <w:rFonts w:ascii="Times New Roman" w:hAnsi="Times New Roman"/>
          <w:sz w:val="20"/>
          <w:vertAlign w:val="superscript"/>
        </w:rPr>
        <w:t>2</w:t>
      </w:r>
      <w:r>
        <w:rPr>
          <w:rFonts w:ascii="Times New Roman" w:hAnsi="Times New Roman"/>
          <w:sz w:val="20"/>
        </w:rPr>
        <w:t xml:space="preserve"> zgodnie z dokumentacją projektową lub SST.</w:t>
      </w:r>
    </w:p>
    <w:p w:rsidR="00ED0C0A" w:rsidRDefault="00ED0C0A" w:rsidP="00ED0C0A">
      <w:pPr>
        <w:pStyle w:val="StylIwony"/>
        <w:spacing w:before="0" w:after="0"/>
        <w:rPr>
          <w:rFonts w:ascii="Times New Roman" w:hAnsi="Times New Roman"/>
          <w:sz w:val="20"/>
        </w:rPr>
      </w:pPr>
      <w:r>
        <w:rPr>
          <w:rFonts w:ascii="Times New Roman" w:hAnsi="Times New Roman"/>
          <w:sz w:val="20"/>
        </w:rPr>
        <w:tab/>
        <w:t>Zagęszczenie podłoża powinno być zgodne z określonym w SST.</w:t>
      </w:r>
    </w:p>
    <w:p w:rsidR="00ED0C0A" w:rsidRDefault="00ED0C0A" w:rsidP="00ED0C0A">
      <w:pPr>
        <w:pStyle w:val="Nagwek2"/>
      </w:pPr>
      <w:r>
        <w:t>5.5. Roboty montażowe</w:t>
      </w:r>
    </w:p>
    <w:p w:rsidR="00ED0C0A" w:rsidRDefault="00ED0C0A" w:rsidP="00ED0C0A">
      <w:pPr>
        <w:pStyle w:val="StylIwony"/>
        <w:spacing w:before="0" w:after="0"/>
        <w:rPr>
          <w:rFonts w:ascii="Times New Roman" w:hAnsi="Times New Roman"/>
          <w:sz w:val="20"/>
        </w:rPr>
      </w:pPr>
      <w:r>
        <w:rPr>
          <w:rFonts w:ascii="Times New Roman" w:hAnsi="Times New Roman"/>
          <w:sz w:val="20"/>
        </w:rPr>
        <w:tab/>
        <w:t>Jeżeli dokumentacja projektowa nie stanowi inaczej, to spadki i głębokość posadowienia rurociągu powinny spełniać poniższe warunki:</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najmniejsze spadki kanałów powinny zapewnić dopuszczalne minimalne prędkości przepływu, tj. od 0,6 do 0,8 m/s. Spadki te nie mogą być jednak mniejsze:</w:t>
      </w:r>
    </w:p>
    <w:p w:rsidR="00ED0C0A" w:rsidRDefault="00ED0C0A" w:rsidP="00A46F82">
      <w:pPr>
        <w:pStyle w:val="StylIwony"/>
        <w:numPr>
          <w:ilvl w:val="0"/>
          <w:numId w:val="213"/>
        </w:numPr>
        <w:spacing w:before="0" w:after="0"/>
        <w:ind w:left="1003"/>
        <w:textAlignment w:val="auto"/>
        <w:rPr>
          <w:rFonts w:ascii="Times New Roman" w:hAnsi="Times New Roman"/>
          <w:sz w:val="20"/>
        </w:rPr>
      </w:pPr>
      <w:r>
        <w:rPr>
          <w:rFonts w:ascii="Times New Roman" w:hAnsi="Times New Roman"/>
          <w:sz w:val="20"/>
        </w:rPr>
        <w:t xml:space="preserve">dla kanałów o średnicy do </w:t>
      </w:r>
      <w:smartTag w:uri="urn:schemas-microsoft-com:office:smarttags" w:element="metricconverter">
        <w:smartTagPr>
          <w:attr w:name="ProductID" w:val="0,4 m"/>
        </w:smartTagPr>
        <w:r>
          <w:rPr>
            <w:rFonts w:ascii="Times New Roman" w:hAnsi="Times New Roman"/>
            <w:sz w:val="20"/>
          </w:rPr>
          <w:t>0,4 m</w:t>
        </w:r>
      </w:smartTag>
      <w:r>
        <w:rPr>
          <w:rFonts w:ascii="Times New Roman" w:hAnsi="Times New Roman"/>
          <w:sz w:val="20"/>
        </w:rPr>
        <w:t xml:space="preserve"> - 3 </w:t>
      </w:r>
      <w:r>
        <w:rPr>
          <w:rFonts w:ascii="Times New Roman" w:hAnsi="Times New Roman"/>
          <w:sz w:val="20"/>
        </w:rPr>
        <w:sym w:font="Bookman Old Style" w:char="F030"/>
      </w:r>
      <w:r>
        <w:rPr>
          <w:rFonts w:ascii="Times New Roman" w:hAnsi="Times New Roman"/>
          <w:sz w:val="20"/>
        </w:rPr>
        <w:t>,</w:t>
      </w:r>
    </w:p>
    <w:p w:rsidR="00ED0C0A" w:rsidRDefault="00ED0C0A" w:rsidP="00A46F82">
      <w:pPr>
        <w:pStyle w:val="StylIwony"/>
        <w:numPr>
          <w:ilvl w:val="0"/>
          <w:numId w:val="213"/>
        </w:numPr>
        <w:spacing w:before="0" w:after="0"/>
        <w:ind w:left="1003"/>
        <w:textAlignment w:val="auto"/>
        <w:rPr>
          <w:rFonts w:ascii="Times New Roman" w:hAnsi="Times New Roman"/>
          <w:sz w:val="20"/>
        </w:rPr>
      </w:pPr>
      <w:r>
        <w:rPr>
          <w:rFonts w:ascii="Times New Roman" w:hAnsi="Times New Roman"/>
          <w:sz w:val="20"/>
        </w:rPr>
        <w:t xml:space="preserve">dla kanałów i kolektorów przelotowych - 1 </w:t>
      </w:r>
      <w:r>
        <w:rPr>
          <w:rFonts w:ascii="Times New Roman" w:hAnsi="Times New Roman"/>
          <w:sz w:val="20"/>
        </w:rPr>
        <w:sym w:font="Bookman Old Style" w:char="F030"/>
      </w:r>
      <w:r>
        <w:rPr>
          <w:rFonts w:ascii="Times New Roman" w:hAnsi="Times New Roman"/>
          <w:sz w:val="20"/>
        </w:rPr>
        <w:t xml:space="preserve"> (wyjątkowo dopuszcza się spadek 0,5 </w:t>
      </w:r>
      <w:r>
        <w:rPr>
          <w:rFonts w:ascii="Times New Roman" w:hAnsi="Times New Roman"/>
          <w:sz w:val="20"/>
        </w:rPr>
        <w:sym w:font="Bookman Old Style" w:char="F030"/>
      </w:r>
      <w:r>
        <w:rPr>
          <w:rFonts w:ascii="Times New Roman" w:hAnsi="Times New Roman"/>
          <w:sz w:val="20"/>
        </w:rPr>
        <w:t>).</w:t>
      </w:r>
    </w:p>
    <w:p w:rsidR="00ED0C0A" w:rsidRDefault="00ED0C0A" w:rsidP="00ED0C0A">
      <w:pPr>
        <w:pStyle w:val="StylIwony"/>
        <w:spacing w:before="0" w:after="0"/>
        <w:ind w:left="284" w:hanging="284"/>
        <w:rPr>
          <w:rFonts w:ascii="Times New Roman" w:hAnsi="Times New Roman"/>
          <w:sz w:val="20"/>
        </w:rPr>
      </w:pPr>
      <w:r>
        <w:rPr>
          <w:rFonts w:ascii="Times New Roman" w:hAnsi="Times New Roman"/>
          <w:sz w:val="20"/>
        </w:rPr>
        <w:lastRenderedPageBreak/>
        <w:tab/>
      </w:r>
      <w:r>
        <w:rPr>
          <w:rFonts w:ascii="Times New Roman" w:hAnsi="Times New Roman"/>
          <w:sz w:val="20"/>
        </w:rPr>
        <w:tab/>
        <w:t>Największe dopuszczalne spadki wynikają z ograniczenia maksymalnych prędkości przepływu (dla rur betonowych, CFW GRP i ceramicznych 3 m/s, zaś dla rur żelbetowych  5 m/s).</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głębokość posadowienia powinna wynosić w zależności od stref przemarzania gruntów, od 1,0 do </w:t>
      </w:r>
      <w:smartTag w:uri="urn:schemas-microsoft-com:office:smarttags" w:element="metricconverter">
        <w:smartTagPr>
          <w:attr w:name="ProductID" w:val="1,3 m"/>
        </w:smartTagPr>
        <w:r>
          <w:rPr>
            <w:rFonts w:ascii="Times New Roman" w:hAnsi="Times New Roman"/>
            <w:sz w:val="20"/>
          </w:rPr>
          <w:t>1,3 m</w:t>
        </w:r>
      </w:smartTag>
      <w:r>
        <w:rPr>
          <w:rFonts w:ascii="Times New Roman" w:hAnsi="Times New Roman"/>
          <w:sz w:val="20"/>
        </w:rPr>
        <w:t xml:space="preserve"> (zgodnie z Dziennikiem Budownictwa nr 1 z 15.03.71).</w:t>
      </w:r>
    </w:p>
    <w:p w:rsidR="00ED0C0A" w:rsidRDefault="00ED0C0A" w:rsidP="00ED0C0A">
      <w:pPr>
        <w:pStyle w:val="StylIwony"/>
        <w:spacing w:before="0" w:after="0"/>
        <w:rPr>
          <w:rFonts w:ascii="Times New Roman" w:hAnsi="Times New Roman"/>
          <w:sz w:val="20"/>
        </w:rPr>
      </w:pPr>
      <w:r>
        <w:rPr>
          <w:rFonts w:ascii="Times New Roman" w:hAnsi="Times New Roman"/>
          <w:sz w:val="20"/>
        </w:rPr>
        <w:tab/>
        <w:t>Przy mniejszych zagłębieniach zachodzi konieczność odpowiedniego ocieplenia kanału.</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Ponadto należy dążyć do tego, aby zagłębienie kanału na końcówce sieci wynosiło minimum </w:t>
      </w:r>
      <w:smartTag w:uri="urn:schemas-microsoft-com:office:smarttags" w:element="metricconverter">
        <w:smartTagPr>
          <w:attr w:name="ProductID" w:val="2,5 m"/>
        </w:smartTagPr>
        <w:r>
          <w:rPr>
            <w:rFonts w:ascii="Times New Roman" w:hAnsi="Times New Roman"/>
            <w:sz w:val="20"/>
          </w:rPr>
          <w:t>2,5 m</w:t>
        </w:r>
      </w:smartTag>
      <w:r>
        <w:rPr>
          <w:rFonts w:ascii="Times New Roman" w:hAnsi="Times New Roman"/>
          <w:sz w:val="20"/>
        </w:rPr>
        <w:t xml:space="preserve"> w celu zapewnienia możliwości ewentualnego skanalizowania obiektów położonych przy tym kanale.</w:t>
      </w:r>
    </w:p>
    <w:p w:rsidR="00ED0C0A" w:rsidRDefault="00ED0C0A" w:rsidP="00ED0C0A">
      <w:pPr>
        <w:pStyle w:val="StylIwony"/>
        <w:keepNext/>
        <w:rPr>
          <w:rFonts w:ascii="Times New Roman" w:hAnsi="Times New Roman"/>
          <w:sz w:val="20"/>
        </w:rPr>
      </w:pPr>
      <w:r>
        <w:rPr>
          <w:rFonts w:ascii="Times New Roman" w:hAnsi="Times New Roman"/>
          <w:b/>
          <w:sz w:val="20"/>
        </w:rPr>
        <w:t>5.5.2.</w:t>
      </w:r>
      <w:r>
        <w:rPr>
          <w:rFonts w:ascii="Times New Roman" w:hAnsi="Times New Roman"/>
          <w:sz w:val="20"/>
        </w:rPr>
        <w:t xml:space="preserve"> </w:t>
      </w:r>
      <w:proofErr w:type="spellStart"/>
      <w:r>
        <w:rPr>
          <w:rFonts w:ascii="Times New Roman" w:hAnsi="Times New Roman"/>
          <w:sz w:val="20"/>
        </w:rPr>
        <w:t>Przykanaliki</w:t>
      </w:r>
      <w:proofErr w:type="spellEnd"/>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Jeżeli dokumentacja projektowa nie stanowi inaczej to przy wykonywaniu </w:t>
      </w:r>
      <w:proofErr w:type="spellStart"/>
      <w:r>
        <w:rPr>
          <w:rFonts w:ascii="Times New Roman" w:hAnsi="Times New Roman"/>
          <w:sz w:val="20"/>
        </w:rPr>
        <w:t>przykanalików</w:t>
      </w:r>
      <w:proofErr w:type="spellEnd"/>
      <w:r>
        <w:rPr>
          <w:rFonts w:ascii="Times New Roman" w:hAnsi="Times New Roman"/>
          <w:sz w:val="20"/>
        </w:rPr>
        <w:t xml:space="preserve"> należy przestrzegać następujących zasad:</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trasa </w:t>
      </w:r>
      <w:proofErr w:type="spellStart"/>
      <w:r>
        <w:rPr>
          <w:rFonts w:ascii="Times New Roman" w:hAnsi="Times New Roman"/>
          <w:sz w:val="20"/>
        </w:rPr>
        <w:t>przykanalika</w:t>
      </w:r>
      <w:proofErr w:type="spellEnd"/>
      <w:r>
        <w:rPr>
          <w:rFonts w:ascii="Times New Roman" w:hAnsi="Times New Roman"/>
          <w:sz w:val="20"/>
        </w:rPr>
        <w:t xml:space="preserve"> powinna być prosta, bez załamań w planie i pionie (z wyjątkiem łuków dla podłączenia do wpustu bocznego w kanale lub do syfonu przy podłączeniach do kanału ogólnospławnego),</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minimalny przekrój przewodu </w:t>
      </w:r>
      <w:proofErr w:type="spellStart"/>
      <w:r>
        <w:rPr>
          <w:rFonts w:ascii="Times New Roman" w:hAnsi="Times New Roman"/>
          <w:sz w:val="20"/>
        </w:rPr>
        <w:t>przykanalika</w:t>
      </w:r>
      <w:proofErr w:type="spellEnd"/>
      <w:r>
        <w:rPr>
          <w:rFonts w:ascii="Times New Roman" w:hAnsi="Times New Roman"/>
          <w:sz w:val="20"/>
        </w:rPr>
        <w:t xml:space="preserve"> powinien wynosić </w:t>
      </w:r>
      <w:smartTag w:uri="urn:schemas-microsoft-com:office:smarttags" w:element="metricconverter">
        <w:smartTagPr>
          <w:attr w:name="ProductID" w:val="0,20 m"/>
        </w:smartTagPr>
        <w:r>
          <w:rPr>
            <w:rFonts w:ascii="Times New Roman" w:hAnsi="Times New Roman"/>
            <w:sz w:val="20"/>
          </w:rPr>
          <w:t>0,20 m</w:t>
        </w:r>
      </w:smartTag>
      <w:r>
        <w:rPr>
          <w:rFonts w:ascii="Times New Roman" w:hAnsi="Times New Roman"/>
          <w:sz w:val="20"/>
        </w:rPr>
        <w:t xml:space="preserve"> (dla pojedynczych wpustów i </w:t>
      </w:r>
      <w:proofErr w:type="spellStart"/>
      <w:r>
        <w:rPr>
          <w:rFonts w:ascii="Times New Roman" w:hAnsi="Times New Roman"/>
          <w:sz w:val="20"/>
        </w:rPr>
        <w:t>przykanalików</w:t>
      </w:r>
      <w:proofErr w:type="spellEnd"/>
      <w:r>
        <w:rPr>
          <w:rFonts w:ascii="Times New Roman" w:hAnsi="Times New Roman"/>
          <w:sz w:val="20"/>
        </w:rPr>
        <w:t xml:space="preserve"> nie dłuższych niż </w:t>
      </w:r>
      <w:smartTag w:uri="urn:schemas-microsoft-com:office:smarttags" w:element="metricconverter">
        <w:smartTagPr>
          <w:attr w:name="ProductID" w:val="12 m"/>
        </w:smartTagPr>
        <w:r>
          <w:rPr>
            <w:rFonts w:ascii="Times New Roman" w:hAnsi="Times New Roman"/>
            <w:sz w:val="20"/>
          </w:rPr>
          <w:t>12 m</w:t>
        </w:r>
      </w:smartTag>
      <w:r>
        <w:rPr>
          <w:rFonts w:ascii="Times New Roman" w:hAnsi="Times New Roman"/>
          <w:sz w:val="20"/>
        </w:rPr>
        <w:t xml:space="preserve"> można stosować średnicę </w:t>
      </w:r>
      <w:smartTag w:uri="urn:schemas-microsoft-com:office:smarttags" w:element="metricconverter">
        <w:smartTagPr>
          <w:attr w:name="ProductID" w:val="0,15 m"/>
        </w:smartTagPr>
        <w:r>
          <w:rPr>
            <w:rFonts w:ascii="Times New Roman" w:hAnsi="Times New Roman"/>
            <w:sz w:val="20"/>
          </w:rPr>
          <w:t>0,15 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długość </w:t>
      </w:r>
      <w:proofErr w:type="spellStart"/>
      <w:r>
        <w:rPr>
          <w:rFonts w:ascii="Times New Roman" w:hAnsi="Times New Roman"/>
          <w:sz w:val="20"/>
        </w:rPr>
        <w:t>przykanalika</w:t>
      </w:r>
      <w:proofErr w:type="spellEnd"/>
      <w:r>
        <w:rPr>
          <w:rFonts w:ascii="Times New Roman" w:hAnsi="Times New Roman"/>
          <w:sz w:val="20"/>
        </w:rPr>
        <w:t xml:space="preserve"> od studzienki ściekowej (wpustu ulicznego) do kanału lub studzienki rewizyjnej połączeniowej nie powinna przekraczać </w:t>
      </w:r>
      <w:smartTag w:uri="urn:schemas-microsoft-com:office:smarttags" w:element="metricconverter">
        <w:smartTagPr>
          <w:attr w:name="ProductID" w:val="24 m"/>
        </w:smartTagPr>
        <w:r>
          <w:rPr>
            <w:rFonts w:ascii="Times New Roman" w:hAnsi="Times New Roman"/>
            <w:sz w:val="20"/>
          </w:rPr>
          <w:t>24 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włączenie </w:t>
      </w:r>
      <w:proofErr w:type="spellStart"/>
      <w:r>
        <w:rPr>
          <w:rFonts w:ascii="Times New Roman" w:hAnsi="Times New Roman"/>
          <w:sz w:val="20"/>
        </w:rPr>
        <w:t>przykanalika</w:t>
      </w:r>
      <w:proofErr w:type="spellEnd"/>
      <w:r>
        <w:rPr>
          <w:rFonts w:ascii="Times New Roman" w:hAnsi="Times New Roman"/>
          <w:sz w:val="20"/>
        </w:rPr>
        <w:t xml:space="preserve"> do kanału może być wykonane za pośrednictwem studzienki rewizyjnej, studzienki krytej (tzw. ślepej) lub wpustu bocznego,</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spadki </w:t>
      </w:r>
      <w:proofErr w:type="spellStart"/>
      <w:r>
        <w:rPr>
          <w:rFonts w:ascii="Times New Roman" w:hAnsi="Times New Roman"/>
          <w:sz w:val="20"/>
        </w:rPr>
        <w:t>przykanalików</w:t>
      </w:r>
      <w:proofErr w:type="spellEnd"/>
      <w:r>
        <w:rPr>
          <w:rFonts w:ascii="Times New Roman" w:hAnsi="Times New Roman"/>
          <w:sz w:val="20"/>
        </w:rPr>
        <w:t xml:space="preserve"> powinny wynosić od min. 20 </w:t>
      </w:r>
      <w:r>
        <w:rPr>
          <w:rFonts w:ascii="Times New Roman" w:hAnsi="Times New Roman"/>
          <w:sz w:val="20"/>
        </w:rPr>
        <w:sym w:font="Bookman Old Style" w:char="F030"/>
      </w:r>
      <w:r>
        <w:rPr>
          <w:rFonts w:ascii="Times New Roman" w:hAnsi="Times New Roman"/>
          <w:sz w:val="20"/>
        </w:rPr>
        <w:t xml:space="preserve"> do max. 400 </w:t>
      </w:r>
      <w:r>
        <w:rPr>
          <w:rFonts w:ascii="Times New Roman" w:hAnsi="Times New Roman"/>
          <w:sz w:val="20"/>
        </w:rPr>
        <w:sym w:font="Bookman Old Style" w:char="F030"/>
      </w:r>
      <w:r>
        <w:rPr>
          <w:rFonts w:ascii="Times New Roman" w:hAnsi="Times New Roman"/>
          <w:sz w:val="20"/>
        </w:rPr>
        <w:t xml:space="preserve"> z tym, że przy spadkach większych od 250 </w:t>
      </w:r>
      <w:r>
        <w:rPr>
          <w:rFonts w:ascii="Times New Roman" w:hAnsi="Times New Roman"/>
          <w:sz w:val="20"/>
        </w:rPr>
        <w:sym w:font="Bookman Old Style" w:char="F030"/>
      </w:r>
      <w:r>
        <w:rPr>
          <w:rFonts w:ascii="Times New Roman" w:hAnsi="Times New Roman"/>
          <w:sz w:val="20"/>
        </w:rPr>
        <w:t xml:space="preserve"> należy stosować rury żeliwne,</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kierunek trasy </w:t>
      </w:r>
      <w:proofErr w:type="spellStart"/>
      <w:r>
        <w:rPr>
          <w:rFonts w:ascii="Times New Roman" w:hAnsi="Times New Roman"/>
          <w:sz w:val="20"/>
        </w:rPr>
        <w:t>przykanalika</w:t>
      </w:r>
      <w:proofErr w:type="spellEnd"/>
      <w:r>
        <w:rPr>
          <w:rFonts w:ascii="Times New Roman" w:hAnsi="Times New Roman"/>
          <w:sz w:val="20"/>
        </w:rPr>
        <w:t xml:space="preserve"> powinien być zgodny z kierunkiem spadku kanału zbiorczego,</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włączenie </w:t>
      </w:r>
      <w:proofErr w:type="spellStart"/>
      <w:r>
        <w:rPr>
          <w:rFonts w:ascii="Times New Roman" w:hAnsi="Times New Roman"/>
          <w:sz w:val="20"/>
        </w:rPr>
        <w:t>przykanalika</w:t>
      </w:r>
      <w:proofErr w:type="spellEnd"/>
      <w:r>
        <w:rPr>
          <w:rFonts w:ascii="Times New Roman" w:hAnsi="Times New Roman"/>
          <w:sz w:val="20"/>
        </w:rPr>
        <w:t xml:space="preserve"> do kanału powinno być wykonane pod kątem min. 45</w:t>
      </w:r>
      <w:r>
        <w:rPr>
          <w:rFonts w:ascii="Times New Roman" w:hAnsi="Times New Roman"/>
          <w:sz w:val="20"/>
          <w:vertAlign w:val="superscript"/>
        </w:rPr>
        <w:t>o</w:t>
      </w:r>
      <w:r>
        <w:rPr>
          <w:rFonts w:ascii="Times New Roman" w:hAnsi="Times New Roman"/>
          <w:sz w:val="20"/>
        </w:rPr>
        <w:t>, max. 90</w:t>
      </w:r>
      <w:r>
        <w:rPr>
          <w:rFonts w:ascii="Times New Roman" w:hAnsi="Times New Roman"/>
          <w:sz w:val="20"/>
          <w:vertAlign w:val="superscript"/>
        </w:rPr>
        <w:t>o</w:t>
      </w:r>
      <w:r>
        <w:rPr>
          <w:rFonts w:ascii="Times New Roman" w:hAnsi="Times New Roman"/>
          <w:sz w:val="20"/>
        </w:rPr>
        <w:t xml:space="preserve"> (optymalnym 60</w:t>
      </w:r>
      <w:r>
        <w:rPr>
          <w:rFonts w:ascii="Times New Roman" w:hAnsi="Times New Roman"/>
          <w:sz w:val="20"/>
          <w:vertAlign w:val="superscript"/>
        </w:rPr>
        <w:t>o</w:t>
      </w:r>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włączenie </w:t>
      </w:r>
      <w:proofErr w:type="spellStart"/>
      <w:r>
        <w:rPr>
          <w:rFonts w:ascii="Times New Roman" w:hAnsi="Times New Roman"/>
          <w:sz w:val="20"/>
        </w:rPr>
        <w:t>przykanalika</w:t>
      </w:r>
      <w:proofErr w:type="spellEnd"/>
      <w:r>
        <w:rPr>
          <w:rFonts w:ascii="Times New Roman" w:hAnsi="Times New Roman"/>
          <w:sz w:val="20"/>
        </w:rPr>
        <w:t xml:space="preserve"> do kanału poprzez studzienkę połączeniową należy dokonywać tak, aby wysokość spadku </w:t>
      </w:r>
      <w:proofErr w:type="spellStart"/>
      <w:r>
        <w:rPr>
          <w:rFonts w:ascii="Times New Roman" w:hAnsi="Times New Roman"/>
          <w:sz w:val="20"/>
        </w:rPr>
        <w:t>przykanalika</w:t>
      </w:r>
      <w:proofErr w:type="spellEnd"/>
      <w:r>
        <w:rPr>
          <w:rFonts w:ascii="Times New Roman" w:hAnsi="Times New Roman"/>
          <w:sz w:val="20"/>
        </w:rPr>
        <w:t xml:space="preserve"> nad podłogą studzienki wynosiła max. </w:t>
      </w:r>
      <w:smartTag w:uri="urn:schemas-microsoft-com:office:smarttags" w:element="metricconverter">
        <w:smartTagPr>
          <w:attr w:name="ProductID" w:val="50,0 cm"/>
        </w:smartTagPr>
        <w:r>
          <w:rPr>
            <w:rFonts w:ascii="Times New Roman" w:hAnsi="Times New Roman"/>
            <w:sz w:val="20"/>
          </w:rPr>
          <w:t>50,0 cm</w:t>
        </w:r>
      </w:smartTag>
      <w:r>
        <w:rPr>
          <w:rFonts w:ascii="Times New Roman" w:hAnsi="Times New Roman"/>
          <w:sz w:val="20"/>
        </w:rPr>
        <w:t xml:space="preserve">. W przypadku konieczności włączenia </w:t>
      </w:r>
      <w:proofErr w:type="spellStart"/>
      <w:r>
        <w:rPr>
          <w:rFonts w:ascii="Times New Roman" w:hAnsi="Times New Roman"/>
          <w:sz w:val="20"/>
        </w:rPr>
        <w:t>przykanalika</w:t>
      </w:r>
      <w:proofErr w:type="spellEnd"/>
      <w:r>
        <w:rPr>
          <w:rFonts w:ascii="Times New Roman" w:hAnsi="Times New Roman"/>
          <w:sz w:val="20"/>
        </w:rPr>
        <w:t xml:space="preserve"> na wysokości większej należy stosować przepady (kaskady) umieszczone na zewnątrz poza ścianką studzienki,</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włączenia </w:t>
      </w:r>
      <w:proofErr w:type="spellStart"/>
      <w:r>
        <w:rPr>
          <w:rFonts w:ascii="Times New Roman" w:hAnsi="Times New Roman"/>
          <w:sz w:val="20"/>
        </w:rPr>
        <w:t>przykanalików</w:t>
      </w:r>
      <w:proofErr w:type="spellEnd"/>
      <w:r>
        <w:rPr>
          <w:rFonts w:ascii="Times New Roman" w:hAnsi="Times New Roman"/>
          <w:sz w:val="20"/>
        </w:rPr>
        <w:t xml:space="preserve"> z dwóch stron do kanału zbiorczego poprzez wpusty boczne powinny być usytuowane w odległości min. </w:t>
      </w:r>
      <w:smartTag w:uri="urn:schemas-microsoft-com:office:smarttags" w:element="metricconverter">
        <w:smartTagPr>
          <w:attr w:name="ProductID" w:val="1,0 m"/>
        </w:smartTagPr>
        <w:r>
          <w:rPr>
            <w:rFonts w:ascii="Times New Roman" w:hAnsi="Times New Roman"/>
            <w:sz w:val="20"/>
          </w:rPr>
          <w:t>1,0 m</w:t>
        </w:r>
      </w:smartTag>
      <w:r>
        <w:rPr>
          <w:rFonts w:ascii="Times New Roman" w:hAnsi="Times New Roman"/>
          <w:sz w:val="20"/>
        </w:rPr>
        <w:t xml:space="preserve"> od siebie.</w:t>
      </w:r>
    </w:p>
    <w:p w:rsidR="00ED0C0A" w:rsidRDefault="00ED0C0A" w:rsidP="00ED0C0A">
      <w:pPr>
        <w:pStyle w:val="StylIwony"/>
        <w:rPr>
          <w:rFonts w:ascii="Times New Roman" w:hAnsi="Times New Roman"/>
          <w:sz w:val="20"/>
        </w:rPr>
      </w:pPr>
      <w:r>
        <w:rPr>
          <w:rFonts w:ascii="Times New Roman" w:hAnsi="Times New Roman"/>
          <w:b/>
          <w:sz w:val="20"/>
        </w:rPr>
        <w:t>5.5.7.</w:t>
      </w:r>
      <w:r>
        <w:rPr>
          <w:rFonts w:ascii="Times New Roman" w:hAnsi="Times New Roman"/>
          <w:sz w:val="20"/>
        </w:rPr>
        <w:t xml:space="preserve"> Studzienki ściekowe</w:t>
      </w:r>
    </w:p>
    <w:p w:rsidR="00ED0C0A" w:rsidRDefault="00ED0C0A" w:rsidP="00ED0C0A">
      <w:pPr>
        <w:pStyle w:val="StylIwony"/>
        <w:spacing w:before="0" w:after="0"/>
        <w:rPr>
          <w:rFonts w:ascii="Times New Roman" w:hAnsi="Times New Roman"/>
          <w:sz w:val="20"/>
        </w:rPr>
      </w:pPr>
      <w:r>
        <w:rPr>
          <w:rFonts w:ascii="Times New Roman" w:hAnsi="Times New Roman"/>
          <w:sz w:val="20"/>
        </w:rPr>
        <w:tab/>
        <w:t>Studzienki ściekowe, przeznaczone do odprowadzania wód opadowych z jezdni dróg i placów, powinny być z wpustem ulicznym żeliwnym i osadnikiem.</w:t>
      </w:r>
    </w:p>
    <w:p w:rsidR="00ED0C0A" w:rsidRDefault="00ED0C0A" w:rsidP="00ED0C0A">
      <w:pPr>
        <w:pStyle w:val="StylIwony"/>
        <w:spacing w:before="0" w:after="0"/>
        <w:rPr>
          <w:rFonts w:ascii="Times New Roman" w:hAnsi="Times New Roman"/>
          <w:sz w:val="20"/>
        </w:rPr>
      </w:pPr>
      <w:r>
        <w:rPr>
          <w:rFonts w:ascii="Times New Roman" w:hAnsi="Times New Roman"/>
          <w:sz w:val="20"/>
        </w:rPr>
        <w:tab/>
        <w:t>Podstawowe wymiary studzienek powinny wynosić:</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głębokość studzienki od wierzchu skrzynki wpustu do dna wylotu </w:t>
      </w:r>
      <w:proofErr w:type="spellStart"/>
      <w:r>
        <w:rPr>
          <w:rFonts w:ascii="Times New Roman" w:hAnsi="Times New Roman"/>
          <w:sz w:val="20"/>
        </w:rPr>
        <w:t>przykanalika</w:t>
      </w:r>
      <w:proofErr w:type="spellEnd"/>
      <w:r>
        <w:rPr>
          <w:rFonts w:ascii="Times New Roman" w:hAnsi="Times New Roman"/>
          <w:sz w:val="20"/>
        </w:rPr>
        <w:t xml:space="preserve"> </w:t>
      </w:r>
      <w:smartTag w:uri="urn:schemas-microsoft-com:office:smarttags" w:element="metricconverter">
        <w:smartTagPr>
          <w:attr w:name="ProductID" w:val="1,65 m"/>
        </w:smartTagPr>
        <w:r>
          <w:rPr>
            <w:rFonts w:ascii="Times New Roman" w:hAnsi="Times New Roman"/>
            <w:sz w:val="20"/>
          </w:rPr>
          <w:t>1,65 m</w:t>
        </w:r>
      </w:smartTag>
      <w:r>
        <w:rPr>
          <w:rFonts w:ascii="Times New Roman" w:hAnsi="Times New Roman"/>
          <w:sz w:val="20"/>
        </w:rPr>
        <w:t xml:space="preserve"> (wyjątkowo - min. </w:t>
      </w:r>
      <w:smartTag w:uri="urn:schemas-microsoft-com:office:smarttags" w:element="metricconverter">
        <w:smartTagPr>
          <w:attr w:name="ProductID" w:val="1,50 m"/>
        </w:smartTagPr>
        <w:r>
          <w:rPr>
            <w:rFonts w:ascii="Times New Roman" w:hAnsi="Times New Roman"/>
            <w:sz w:val="20"/>
          </w:rPr>
          <w:t>1,50 m</w:t>
        </w:r>
      </w:smartTag>
      <w:r>
        <w:rPr>
          <w:rFonts w:ascii="Times New Roman" w:hAnsi="Times New Roman"/>
          <w:sz w:val="20"/>
        </w:rPr>
        <w:t xml:space="preserve"> i  max. </w:t>
      </w:r>
      <w:smartTag w:uri="urn:schemas-microsoft-com:office:smarttags" w:element="metricconverter">
        <w:smartTagPr>
          <w:attr w:name="ProductID" w:val="2,05 m"/>
        </w:smartTagPr>
        <w:r>
          <w:rPr>
            <w:rFonts w:ascii="Times New Roman" w:hAnsi="Times New Roman"/>
            <w:sz w:val="20"/>
          </w:rPr>
          <w:t>2,05 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głębokość osadnika </w:t>
      </w:r>
      <w:smartTag w:uri="urn:schemas-microsoft-com:office:smarttags" w:element="metricconverter">
        <w:smartTagPr>
          <w:attr w:name="ProductID" w:val="0,95 m"/>
        </w:smartTagPr>
        <w:r>
          <w:rPr>
            <w:rFonts w:ascii="Times New Roman" w:hAnsi="Times New Roman"/>
            <w:sz w:val="20"/>
          </w:rPr>
          <w:t>0,95 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średnica osadnika (studzienki) </w:t>
      </w:r>
      <w:smartTag w:uri="urn:schemas-microsoft-com:office:smarttags" w:element="metricconverter">
        <w:smartTagPr>
          <w:attr w:name="ProductID" w:val="0,50 m"/>
        </w:smartTagPr>
        <w:r>
          <w:rPr>
            <w:rFonts w:ascii="Times New Roman" w:hAnsi="Times New Roman"/>
            <w:sz w:val="20"/>
          </w:rPr>
          <w:t>0,50 m</w:t>
        </w:r>
      </w:smartTag>
      <w:r>
        <w:rPr>
          <w:rFonts w:ascii="Times New Roman" w:hAnsi="Times New Roman"/>
          <w:sz w:val="20"/>
        </w:rPr>
        <w:t>.</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Krata ściekowa wpustu powinna być usytuowana w ścieku jezdni, przy czym wierzch kraty powinien być usytuowany </w:t>
      </w:r>
      <w:smartTag w:uri="urn:schemas-microsoft-com:office:smarttags" w:element="metricconverter">
        <w:smartTagPr>
          <w:attr w:name="ProductID" w:val="2 cm"/>
        </w:smartTagPr>
        <w:r>
          <w:rPr>
            <w:rFonts w:ascii="Times New Roman" w:hAnsi="Times New Roman"/>
            <w:sz w:val="20"/>
          </w:rPr>
          <w:t>2 cm</w:t>
        </w:r>
      </w:smartTag>
      <w:r>
        <w:rPr>
          <w:rFonts w:ascii="Times New Roman" w:hAnsi="Times New Roman"/>
          <w:sz w:val="20"/>
        </w:rPr>
        <w:t xml:space="preserve"> poniżej ścieku jezdni.</w:t>
      </w:r>
    </w:p>
    <w:p w:rsidR="00ED0C0A" w:rsidRDefault="00ED0C0A" w:rsidP="00ED0C0A">
      <w:pPr>
        <w:pStyle w:val="StylIwony"/>
        <w:spacing w:before="0" w:after="0"/>
        <w:rPr>
          <w:rFonts w:ascii="Times New Roman" w:hAnsi="Times New Roman"/>
          <w:sz w:val="20"/>
        </w:rPr>
      </w:pPr>
      <w:r>
        <w:rPr>
          <w:rFonts w:ascii="Times New Roman" w:hAnsi="Times New Roman"/>
          <w:sz w:val="20"/>
        </w:rPr>
        <w:tab/>
        <w:t>Lokalizacja studzienek wynika z rozwiązania drogowego.</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Liczba studzienek ściekowych i ich rozmieszczenie uzależnione jest przede wszystkim od wielkości odwadnianej powierzchni jezdni i jej spadku podłużnego. Należy przyjmować, że na jedną studzienkę powinno przypadać od 800 do </w:t>
      </w:r>
      <w:smartTag w:uri="urn:schemas-microsoft-com:office:smarttags" w:element="metricconverter">
        <w:smartTagPr>
          <w:attr w:name="ProductID" w:val="1000 m2"/>
        </w:smartTagPr>
        <w:r>
          <w:rPr>
            <w:rFonts w:ascii="Times New Roman" w:hAnsi="Times New Roman"/>
            <w:sz w:val="20"/>
          </w:rPr>
          <w:t>1000 m</w:t>
        </w:r>
        <w:r>
          <w:rPr>
            <w:rFonts w:ascii="Times New Roman" w:hAnsi="Times New Roman"/>
            <w:sz w:val="20"/>
            <w:vertAlign w:val="superscript"/>
          </w:rPr>
          <w:t>2</w:t>
        </w:r>
      </w:smartTag>
      <w:r>
        <w:rPr>
          <w:rFonts w:ascii="Times New Roman" w:hAnsi="Times New Roman"/>
          <w:sz w:val="20"/>
        </w:rPr>
        <w:t xml:space="preserve"> nawierzchni szczelnej.</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Rozstaw wpustów przy pochyleniu podłużnym ścieku do 3 </w:t>
      </w:r>
      <w:r>
        <w:rPr>
          <w:rFonts w:ascii="Times New Roman" w:hAnsi="Times New Roman"/>
          <w:sz w:val="20"/>
        </w:rPr>
        <w:sym w:font="Bookman Old Style" w:char="F030"/>
      </w:r>
      <w:r>
        <w:rPr>
          <w:rFonts w:ascii="Times New Roman" w:hAnsi="Times New Roman"/>
          <w:sz w:val="20"/>
        </w:rPr>
        <w:t xml:space="preserve"> powinien wynosić od 40 do </w:t>
      </w:r>
      <w:smartTag w:uri="urn:schemas-microsoft-com:office:smarttags" w:element="metricconverter">
        <w:smartTagPr>
          <w:attr w:name="ProductID" w:val="50 m"/>
        </w:smartTagPr>
        <w:r>
          <w:rPr>
            <w:rFonts w:ascii="Times New Roman" w:hAnsi="Times New Roman"/>
            <w:sz w:val="20"/>
          </w:rPr>
          <w:t>50 m</w:t>
        </w:r>
      </w:smartTag>
      <w:r>
        <w:rPr>
          <w:rFonts w:ascii="Times New Roman" w:hAnsi="Times New Roman"/>
          <w:sz w:val="20"/>
        </w:rPr>
        <w:t xml:space="preserve">; od 3 do 5 </w:t>
      </w:r>
      <w:r>
        <w:rPr>
          <w:rFonts w:ascii="Times New Roman" w:hAnsi="Times New Roman"/>
          <w:sz w:val="20"/>
        </w:rPr>
        <w:sym w:font="Bookman Old Style" w:char="F030"/>
      </w:r>
      <w:r>
        <w:rPr>
          <w:rFonts w:ascii="Times New Roman" w:hAnsi="Times New Roman"/>
          <w:sz w:val="20"/>
        </w:rPr>
        <w:t xml:space="preserve"> powinien wynosić od 50 do </w:t>
      </w:r>
      <w:smartTag w:uri="urn:schemas-microsoft-com:office:smarttags" w:element="metricconverter">
        <w:smartTagPr>
          <w:attr w:name="ProductID" w:val="70 m"/>
        </w:smartTagPr>
        <w:r>
          <w:rPr>
            <w:rFonts w:ascii="Times New Roman" w:hAnsi="Times New Roman"/>
            <w:sz w:val="20"/>
          </w:rPr>
          <w:t>70 m</w:t>
        </w:r>
      </w:smartTag>
      <w:r>
        <w:rPr>
          <w:rFonts w:ascii="Times New Roman" w:hAnsi="Times New Roman"/>
          <w:sz w:val="20"/>
        </w:rPr>
        <w:t xml:space="preserve">; od 5 do 10 </w:t>
      </w:r>
      <w:r>
        <w:rPr>
          <w:rFonts w:ascii="Times New Roman" w:hAnsi="Times New Roman"/>
          <w:sz w:val="20"/>
        </w:rPr>
        <w:sym w:font="Bookman Old Style" w:char="F030"/>
      </w:r>
      <w:r>
        <w:rPr>
          <w:rFonts w:ascii="Times New Roman" w:hAnsi="Times New Roman"/>
          <w:sz w:val="20"/>
        </w:rPr>
        <w:t xml:space="preserve"> - od 70 do </w:t>
      </w:r>
      <w:smartTag w:uri="urn:schemas-microsoft-com:office:smarttags" w:element="metricconverter">
        <w:smartTagPr>
          <w:attr w:name="ProductID" w:val="100 m"/>
        </w:smartTagPr>
        <w:r>
          <w:rPr>
            <w:rFonts w:ascii="Times New Roman" w:hAnsi="Times New Roman"/>
            <w:sz w:val="20"/>
          </w:rPr>
          <w:t>100 m</w:t>
        </w:r>
      </w:smartTag>
      <w:r>
        <w:rPr>
          <w:rFonts w:ascii="Times New Roman" w:hAnsi="Times New Roman"/>
          <w:sz w:val="20"/>
        </w:rPr>
        <w:t>.</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Wpusty uliczne na skrzyżowaniach ulic należy rozmieszczać przy krawężnikach prostych w odległości minimum </w:t>
      </w:r>
      <w:smartTag w:uri="urn:schemas-microsoft-com:office:smarttags" w:element="metricconverter">
        <w:smartTagPr>
          <w:attr w:name="ProductID" w:val="2,0 m"/>
        </w:smartTagPr>
        <w:r>
          <w:rPr>
            <w:rFonts w:ascii="Times New Roman" w:hAnsi="Times New Roman"/>
            <w:sz w:val="20"/>
          </w:rPr>
          <w:t>2,0 m</w:t>
        </w:r>
      </w:smartTag>
      <w:r>
        <w:rPr>
          <w:rFonts w:ascii="Times New Roman" w:hAnsi="Times New Roman"/>
          <w:sz w:val="20"/>
        </w:rPr>
        <w:t xml:space="preserve"> od zakończenia łuku krawężnika.</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Przy umieszczeniu kratek ściekowych bezpośrednio w nawierzchni, wierzch kraty powinien znajdować się </w:t>
      </w:r>
      <w:smartTag w:uri="urn:schemas-microsoft-com:office:smarttags" w:element="metricconverter">
        <w:smartTagPr>
          <w:attr w:name="ProductID" w:val="0,5 cm"/>
        </w:smartTagPr>
        <w:r>
          <w:rPr>
            <w:rFonts w:ascii="Times New Roman" w:hAnsi="Times New Roman"/>
            <w:sz w:val="20"/>
          </w:rPr>
          <w:t>0,5 cm</w:t>
        </w:r>
      </w:smartTag>
      <w:r>
        <w:rPr>
          <w:rFonts w:ascii="Times New Roman" w:hAnsi="Times New Roman"/>
          <w:sz w:val="20"/>
        </w:rPr>
        <w:t xml:space="preserve"> poniżej poziomu warstwy ścieralnej.</w:t>
      </w:r>
    </w:p>
    <w:p w:rsidR="00ED0C0A" w:rsidRDefault="00ED0C0A" w:rsidP="00ED0C0A">
      <w:pPr>
        <w:pStyle w:val="StylIwony"/>
        <w:spacing w:before="0" w:after="0"/>
        <w:rPr>
          <w:rFonts w:ascii="Times New Roman" w:hAnsi="Times New Roman"/>
          <w:sz w:val="20"/>
        </w:rPr>
      </w:pPr>
      <w:r>
        <w:rPr>
          <w:rFonts w:ascii="Times New Roman" w:hAnsi="Times New Roman"/>
          <w:sz w:val="20"/>
        </w:rPr>
        <w:tab/>
        <w:t>Każdy wpust powinien być podłączony do kanału za pośrednictwem studzienki rewizyjnej połączeniowej, studzienki krytej (tzw. ślepej) lub wyjątkowo za pomocą wpustu bocznego.</w:t>
      </w:r>
    </w:p>
    <w:p w:rsidR="00ED0C0A" w:rsidRDefault="00ED0C0A" w:rsidP="00ED0C0A">
      <w:pPr>
        <w:pStyle w:val="StylIwony"/>
        <w:spacing w:before="0" w:after="0"/>
        <w:rPr>
          <w:rFonts w:ascii="Times New Roman" w:hAnsi="Times New Roman"/>
          <w:sz w:val="20"/>
        </w:rPr>
      </w:pPr>
      <w:r>
        <w:rPr>
          <w:rFonts w:ascii="Times New Roman" w:hAnsi="Times New Roman"/>
          <w:sz w:val="20"/>
        </w:rPr>
        <w:tab/>
        <w:t>Wpustów deszczowych nie należy sprzęgać. Gdy zachodzi konieczność zwiększenia powierzchni spływu, dopuszcza się w wyjątkowych przypadkach stosowanie wpustów podwójnych.</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W przypadkach kolizyjnych, gdy zachodzi konieczność usytuowania wpustu nad istniejącymi urządzeniami podziemnymi, można studzienkę ściekową </w:t>
      </w:r>
      <w:proofErr w:type="spellStart"/>
      <w:r>
        <w:rPr>
          <w:rFonts w:ascii="Times New Roman" w:hAnsi="Times New Roman"/>
          <w:sz w:val="20"/>
        </w:rPr>
        <w:t>wypłycić</w:t>
      </w:r>
      <w:proofErr w:type="spellEnd"/>
      <w:r>
        <w:rPr>
          <w:rFonts w:ascii="Times New Roman" w:hAnsi="Times New Roman"/>
          <w:sz w:val="20"/>
        </w:rPr>
        <w:t xml:space="preserve"> do min. </w:t>
      </w:r>
      <w:smartTag w:uri="urn:schemas-microsoft-com:office:smarttags" w:element="metricconverter">
        <w:smartTagPr>
          <w:attr w:name="ProductID" w:val="0,60 m"/>
        </w:smartTagPr>
        <w:r>
          <w:rPr>
            <w:rFonts w:ascii="Times New Roman" w:hAnsi="Times New Roman"/>
            <w:sz w:val="20"/>
          </w:rPr>
          <w:t>0,60 m</w:t>
        </w:r>
      </w:smartTag>
      <w:r>
        <w:rPr>
          <w:rFonts w:ascii="Times New Roman" w:hAnsi="Times New Roman"/>
          <w:sz w:val="20"/>
        </w:rPr>
        <w:t xml:space="preserve"> nie stosując osadnika. Osadnik natomiast powinien być ustawiony poza kolizyjnym urządzeniem i połączony </w:t>
      </w:r>
      <w:proofErr w:type="spellStart"/>
      <w:r>
        <w:rPr>
          <w:rFonts w:ascii="Times New Roman" w:hAnsi="Times New Roman"/>
          <w:sz w:val="20"/>
        </w:rPr>
        <w:t>przykanalikiem</w:t>
      </w:r>
      <w:proofErr w:type="spellEnd"/>
      <w:r>
        <w:rPr>
          <w:rFonts w:ascii="Times New Roman" w:hAnsi="Times New Roman"/>
          <w:sz w:val="20"/>
        </w:rPr>
        <w:t xml:space="preserve"> ze studzienką, jak również z kanałem zbiorczym. Odległość osadnika od krawężnika jezdni nie powinna przekraczać </w:t>
      </w:r>
      <w:smartTag w:uri="urn:schemas-microsoft-com:office:smarttags" w:element="metricconverter">
        <w:smartTagPr>
          <w:attr w:name="ProductID" w:val="3,0 m"/>
        </w:smartTagPr>
        <w:r>
          <w:rPr>
            <w:rFonts w:ascii="Times New Roman" w:hAnsi="Times New Roman"/>
            <w:sz w:val="20"/>
          </w:rPr>
          <w:t>3,0 m</w:t>
        </w:r>
      </w:smartTag>
      <w:r>
        <w:rPr>
          <w:rFonts w:ascii="Times New Roman" w:hAnsi="Times New Roman"/>
          <w:sz w:val="20"/>
        </w:rPr>
        <w:t>.</w:t>
      </w:r>
    </w:p>
    <w:p w:rsidR="00ED0C0A" w:rsidRDefault="00ED0C0A" w:rsidP="00ED0C0A">
      <w:pPr>
        <w:pStyle w:val="StylIwony"/>
        <w:rPr>
          <w:rFonts w:ascii="Times New Roman" w:hAnsi="Times New Roman"/>
          <w:sz w:val="20"/>
        </w:rPr>
      </w:pPr>
      <w:r>
        <w:rPr>
          <w:rFonts w:ascii="Times New Roman" w:hAnsi="Times New Roman"/>
          <w:b/>
          <w:sz w:val="20"/>
        </w:rPr>
        <w:t>5.5.8.</w:t>
      </w:r>
      <w:r>
        <w:rPr>
          <w:rFonts w:ascii="Times New Roman" w:hAnsi="Times New Roman"/>
          <w:sz w:val="20"/>
        </w:rPr>
        <w:t xml:space="preserve"> Izolacje</w:t>
      </w:r>
    </w:p>
    <w:p w:rsidR="00ED0C0A" w:rsidRDefault="00ED0C0A" w:rsidP="00ED0C0A">
      <w:pPr>
        <w:pStyle w:val="StylIwony"/>
        <w:spacing w:before="0" w:after="0"/>
        <w:rPr>
          <w:rFonts w:ascii="Times New Roman" w:hAnsi="Times New Roman"/>
          <w:sz w:val="20"/>
        </w:rPr>
      </w:pPr>
      <w:r>
        <w:rPr>
          <w:rFonts w:ascii="Times New Roman" w:hAnsi="Times New Roman"/>
          <w:sz w:val="20"/>
        </w:rPr>
        <w:lastRenderedPageBreak/>
        <w:tab/>
        <w:t>Rury betonowe i żelbetowe użyte do budowy kanalizacji powinny być zabezpieczone przed korozją, zgodnie z zasadami zawartymi w „Instrukcji zabezpieczania przed korozją konstrukcji betonowych” opracowanej przez Instytut Techniki Budowlanej w 1986 r. [21].</w:t>
      </w:r>
    </w:p>
    <w:p w:rsidR="00ED0C0A" w:rsidRDefault="00ED0C0A" w:rsidP="00ED0C0A">
      <w:pPr>
        <w:pStyle w:val="tekstost"/>
      </w:pPr>
      <w:r>
        <w:tab/>
        <w:t>Zabezpieczenie rur kanałowych polega na powleczeniu ich zewnętrznej i wewnętrznej powierzchni warstwą izolacyjną asfaltową, posiadającą aprobatę techniczną, wydaną przez upoważnioną jednostkę.</w:t>
      </w:r>
    </w:p>
    <w:p w:rsidR="00ED0C0A" w:rsidRDefault="00ED0C0A" w:rsidP="00ED0C0A">
      <w:pPr>
        <w:pStyle w:val="StylIwony"/>
        <w:spacing w:before="0" w:after="0"/>
        <w:rPr>
          <w:rFonts w:ascii="Times New Roman" w:hAnsi="Times New Roman"/>
          <w:sz w:val="20"/>
        </w:rPr>
      </w:pPr>
      <w:r>
        <w:rPr>
          <w:rFonts w:ascii="Times New Roman" w:hAnsi="Times New Roman"/>
          <w:sz w:val="20"/>
        </w:rPr>
        <w:tab/>
        <w:t>Studzienki zabezpiecza się przez posmarowanie z zewnątrz izolacją bitumiczną.</w:t>
      </w:r>
    </w:p>
    <w:p w:rsidR="00ED0C0A" w:rsidRDefault="00ED0C0A" w:rsidP="00ED0C0A">
      <w:pPr>
        <w:pStyle w:val="StylIwony"/>
        <w:spacing w:before="0" w:after="0"/>
        <w:rPr>
          <w:rFonts w:ascii="Times New Roman" w:hAnsi="Times New Roman"/>
          <w:sz w:val="20"/>
        </w:rPr>
      </w:pPr>
      <w:r>
        <w:rPr>
          <w:rFonts w:ascii="Times New Roman" w:hAnsi="Times New Roman"/>
          <w:sz w:val="20"/>
        </w:rPr>
        <w:tab/>
        <w:t>Dopuszcza się stosowanie innego środka izolacyjnego uzgodnionego z Inżynierem.</w:t>
      </w:r>
    </w:p>
    <w:p w:rsidR="00ED0C0A" w:rsidRDefault="00ED0C0A" w:rsidP="00ED0C0A">
      <w:pPr>
        <w:pStyle w:val="StylIwony"/>
        <w:spacing w:before="0" w:after="0"/>
        <w:rPr>
          <w:rFonts w:ascii="Times New Roman" w:hAnsi="Times New Roman"/>
          <w:sz w:val="20"/>
        </w:rPr>
      </w:pPr>
      <w:r>
        <w:rPr>
          <w:rFonts w:ascii="Times New Roman" w:hAnsi="Times New Roman"/>
          <w:sz w:val="20"/>
        </w:rPr>
        <w:tab/>
        <w:t>W środowisku słabo agresywnym, niezależnie od czynnika agresji, studzienki należy zabezpieczyć przez zagruntowanie izolacją asfaltową oraz trzykrotne posmarowanie lepikiem asfaltowym stosowanym na gorąco wg PN-C-96177 [14].</w:t>
      </w:r>
    </w:p>
    <w:p w:rsidR="00ED0C0A" w:rsidRDefault="00ED0C0A" w:rsidP="00ED0C0A">
      <w:pPr>
        <w:pStyle w:val="StylIwony"/>
        <w:spacing w:before="0" w:after="0"/>
        <w:rPr>
          <w:rFonts w:ascii="Times New Roman" w:hAnsi="Times New Roman"/>
          <w:sz w:val="20"/>
        </w:rPr>
      </w:pPr>
      <w:r>
        <w:rPr>
          <w:rFonts w:ascii="Times New Roman" w:hAnsi="Times New Roman"/>
          <w:sz w:val="20"/>
        </w:rPr>
        <w:tab/>
        <w:t>W środowisku silnie agresywnym (z uwagi na dużą różnorodność i bardzo duży przedział natężenia czynnika agresji) sposób zabezpieczenia rur przed korozją Wykonawca uzgodni z Inżynierem.</w:t>
      </w:r>
    </w:p>
    <w:p w:rsidR="00ED0C0A" w:rsidRDefault="00ED0C0A" w:rsidP="00ED0C0A">
      <w:pPr>
        <w:pStyle w:val="StylIwony"/>
        <w:keepNext/>
        <w:rPr>
          <w:rFonts w:ascii="Times New Roman" w:hAnsi="Times New Roman"/>
          <w:sz w:val="20"/>
        </w:rPr>
      </w:pPr>
      <w:r>
        <w:rPr>
          <w:rFonts w:ascii="Times New Roman" w:hAnsi="Times New Roman"/>
          <w:b/>
          <w:sz w:val="20"/>
        </w:rPr>
        <w:t>5.5.9.</w:t>
      </w:r>
      <w:r>
        <w:rPr>
          <w:rFonts w:ascii="Times New Roman" w:hAnsi="Times New Roman"/>
          <w:sz w:val="20"/>
        </w:rPr>
        <w:t xml:space="preserve"> Zasypanie wykopów i ich zagęszczenie</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Zasypywanie rur w wykopie należy prowadzić warstwami grubości </w:t>
      </w:r>
      <w:smartTag w:uri="urn:schemas-microsoft-com:office:smarttags" w:element="metricconverter">
        <w:smartTagPr>
          <w:attr w:name="ProductID" w:val="20 cm"/>
        </w:smartTagPr>
        <w:r>
          <w:rPr>
            <w:rFonts w:ascii="Times New Roman" w:hAnsi="Times New Roman"/>
            <w:sz w:val="20"/>
          </w:rPr>
          <w:t>20 cm</w:t>
        </w:r>
      </w:smartTag>
      <w:r>
        <w:rPr>
          <w:rFonts w:ascii="Times New Roman" w:hAnsi="Times New Roman"/>
          <w:sz w:val="20"/>
        </w:rPr>
        <w:t xml:space="preserve">. Materiał </w:t>
      </w:r>
      <w:proofErr w:type="spellStart"/>
      <w:r>
        <w:rPr>
          <w:rFonts w:ascii="Times New Roman" w:hAnsi="Times New Roman"/>
          <w:sz w:val="20"/>
        </w:rPr>
        <w:t>zasypkowy</w:t>
      </w:r>
      <w:proofErr w:type="spellEnd"/>
      <w:r>
        <w:rPr>
          <w:rFonts w:ascii="Times New Roman" w:hAnsi="Times New Roman"/>
          <w:sz w:val="20"/>
        </w:rPr>
        <w:t xml:space="preserve"> powinien być równomiernie układany i zagęszczany po obu stronach przewodu. Wskaźnik zagęszczenia powinien być zgodny z określonym w SST.</w:t>
      </w:r>
    </w:p>
    <w:p w:rsidR="00ED0C0A" w:rsidRDefault="00ED0C0A" w:rsidP="00ED0C0A">
      <w:pPr>
        <w:pStyle w:val="StylIwony"/>
        <w:spacing w:before="0" w:after="0"/>
        <w:rPr>
          <w:rFonts w:ascii="Times New Roman" w:hAnsi="Times New Roman"/>
          <w:sz w:val="20"/>
        </w:rPr>
      </w:pPr>
      <w:r>
        <w:rPr>
          <w:rFonts w:ascii="Times New Roman" w:hAnsi="Times New Roman"/>
          <w:sz w:val="20"/>
        </w:rPr>
        <w:tab/>
        <w:t>Rodzaj gruntu do zasypywania wykopów Wykonawca uzgodni z Inżynierem.</w:t>
      </w:r>
    </w:p>
    <w:p w:rsidR="00ED0C0A" w:rsidRDefault="00ED0C0A" w:rsidP="00ED0C0A">
      <w:pPr>
        <w:pStyle w:val="Nagwek1"/>
      </w:pPr>
      <w:bookmarkStart w:id="549" w:name="_Toc423928993"/>
      <w:r>
        <w:t>6. KONTROLA JAKOŚCI ROBÓT</w:t>
      </w:r>
      <w:bookmarkEnd w:id="549"/>
    </w:p>
    <w:p w:rsidR="00ED0C0A" w:rsidRDefault="00ED0C0A" w:rsidP="00ED0C0A">
      <w:pPr>
        <w:pStyle w:val="Nagwek2"/>
      </w:pPr>
      <w:r>
        <w:t>6.1. Ogólne zasady kontroli jakości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zasady kontroli jakości robót podano w SST D-M-00.00.00 „Wymagania ogólne” pkt 6.</w:t>
      </w:r>
    </w:p>
    <w:p w:rsidR="00ED0C0A" w:rsidRDefault="00ED0C0A" w:rsidP="00ED0C0A">
      <w:pPr>
        <w:pStyle w:val="Nagwek2"/>
      </w:pPr>
      <w:r>
        <w:t>6.2. Kontrola, pomiary i badania</w:t>
      </w:r>
    </w:p>
    <w:p w:rsidR="00ED0C0A" w:rsidRDefault="00ED0C0A" w:rsidP="00ED0C0A">
      <w:pPr>
        <w:pStyle w:val="StylIwony"/>
        <w:spacing w:before="0" w:after="0"/>
        <w:rPr>
          <w:rFonts w:ascii="Times New Roman" w:hAnsi="Times New Roman"/>
          <w:sz w:val="20"/>
        </w:rPr>
      </w:pPr>
      <w:r>
        <w:rPr>
          <w:rFonts w:ascii="Times New Roman" w:hAnsi="Times New Roman"/>
          <w:b/>
          <w:sz w:val="20"/>
        </w:rPr>
        <w:t>6.2.1.</w:t>
      </w:r>
      <w:r>
        <w:rPr>
          <w:rFonts w:ascii="Times New Roman" w:hAnsi="Times New Roman"/>
          <w:sz w:val="20"/>
        </w:rPr>
        <w:t xml:space="preserve"> Badania przed przystąpieniem do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Przed przystąpieniem do robót Wykonawca powinien:</w:t>
      </w:r>
    </w:p>
    <w:p w:rsidR="00ED0C0A" w:rsidRDefault="00ED0C0A" w:rsidP="00A46F82">
      <w:pPr>
        <w:pStyle w:val="StylIwony"/>
        <w:numPr>
          <w:ilvl w:val="0"/>
          <w:numId w:val="213"/>
        </w:numPr>
        <w:tabs>
          <w:tab w:val="num" w:pos="567"/>
        </w:tabs>
        <w:spacing w:before="0" w:after="0"/>
        <w:textAlignment w:val="auto"/>
        <w:rPr>
          <w:rFonts w:ascii="Times New Roman" w:hAnsi="Times New Roman"/>
          <w:sz w:val="20"/>
        </w:rPr>
      </w:pPr>
      <w:r>
        <w:rPr>
          <w:rFonts w:ascii="Times New Roman" w:hAnsi="Times New Roman"/>
          <w:sz w:val="20"/>
        </w:rPr>
        <w:t>wykonać badania materiałów do betonu i zapraw i ustalić receptę,</w:t>
      </w:r>
    </w:p>
    <w:p w:rsidR="00ED0C0A" w:rsidRDefault="00ED0C0A" w:rsidP="00A46F82">
      <w:pPr>
        <w:pStyle w:val="StylIwony"/>
        <w:numPr>
          <w:ilvl w:val="0"/>
          <w:numId w:val="213"/>
        </w:numPr>
        <w:tabs>
          <w:tab w:val="num" w:pos="567"/>
        </w:tabs>
        <w:spacing w:before="0" w:after="0"/>
        <w:textAlignment w:val="auto"/>
        <w:rPr>
          <w:rFonts w:ascii="Times New Roman" w:hAnsi="Times New Roman"/>
          <w:sz w:val="20"/>
        </w:rPr>
      </w:pPr>
      <w:r>
        <w:rPr>
          <w:rFonts w:ascii="Times New Roman" w:hAnsi="Times New Roman"/>
          <w:sz w:val="20"/>
        </w:rPr>
        <w:t>uzyskać wymagane dokumenty, dopuszczające wyroby budowlane do obrotu (aprobaty techniczne, certyfikaty zgodności, deklaracje zgodności, ew. badania materiałów wykonane przez dostawców itp.) [27],</w:t>
      </w:r>
    </w:p>
    <w:p w:rsidR="00ED0C0A" w:rsidRDefault="00ED0C0A" w:rsidP="00ED0C0A">
      <w:r>
        <w:tab/>
        <w:t>Wszystkie dokumenty oraz wyniki badań Wykonawca przedstawia Inżynierowi do akceptacji.</w:t>
      </w:r>
    </w:p>
    <w:p w:rsidR="00ED0C0A" w:rsidRDefault="00ED0C0A" w:rsidP="00ED0C0A">
      <w:pPr>
        <w:pStyle w:val="StylIwony"/>
        <w:rPr>
          <w:rFonts w:ascii="Times New Roman" w:hAnsi="Times New Roman"/>
          <w:sz w:val="20"/>
        </w:rPr>
      </w:pPr>
      <w:r>
        <w:rPr>
          <w:rFonts w:ascii="Times New Roman" w:hAnsi="Times New Roman"/>
          <w:b/>
          <w:sz w:val="20"/>
        </w:rPr>
        <w:t>6.2.2.</w:t>
      </w:r>
      <w:r>
        <w:rPr>
          <w:rFonts w:ascii="Times New Roman" w:hAnsi="Times New Roman"/>
          <w:sz w:val="20"/>
        </w:rPr>
        <w:t xml:space="preserve"> Kontrola, pomiary i badania w czasie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Wykonawca jest zobowiązany do stałej i systematycznej kontroli prowadzonych robót w zakresie i z częstotliwością określoną w niniejszej SST i zaakceptowaną przez Inżyniera.</w:t>
      </w:r>
    </w:p>
    <w:p w:rsidR="00ED0C0A" w:rsidRDefault="00ED0C0A" w:rsidP="00ED0C0A">
      <w:pPr>
        <w:pStyle w:val="StylIwony"/>
        <w:spacing w:before="0" w:after="0"/>
        <w:rPr>
          <w:rFonts w:ascii="Times New Roman" w:hAnsi="Times New Roman"/>
          <w:sz w:val="20"/>
        </w:rPr>
      </w:pPr>
      <w:r>
        <w:rPr>
          <w:rFonts w:ascii="Times New Roman" w:hAnsi="Times New Roman"/>
          <w:sz w:val="20"/>
        </w:rPr>
        <w:tab/>
        <w:t>W szczególności kontrola powinna obejmować:</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sprawdzenie rzędnych założonych ław celowniczych w nawiązaniu do podanych stałych punktów wysokościowych z dokładnością do </w:t>
      </w:r>
      <w:smartTag w:uri="urn:schemas-microsoft-com:office:smarttags" w:element="metricconverter">
        <w:smartTagPr>
          <w:attr w:name="ProductID" w:val="1 cm"/>
        </w:smartTagPr>
        <w:r>
          <w:rPr>
            <w:rFonts w:ascii="Times New Roman" w:hAnsi="Times New Roman"/>
            <w:sz w:val="20"/>
          </w:rPr>
          <w:t>1 cm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badanie zabezpieczenia wykopów przed zalaniem wodą,</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badanie i pomiary szerokości, grubości i zagęszczenia wykonanej warstwy podłoża z kruszywa mineralnego lub betonu,</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sprawdzenie zgodności z dokumentacją projektową założenia przewodów i studzienek,</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badanie odchylenia spadku kolektora deszczowego,</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sprawdzenie prawidłowości ułożenia przewodów,</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sprawdzenie prawidłowości uszczelniania przewodów,</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badanie wskaźników zagęszczenia poszczególnych warstw zasypu,</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sprawdzenie rzędnych posadowienia studzienek ściekowych (kratek) i pokryw włazowych,</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sprawdzenie zabezpieczenia przed korozją.</w:t>
      </w:r>
    </w:p>
    <w:p w:rsidR="00ED0C0A" w:rsidRDefault="00ED0C0A" w:rsidP="00ED0C0A">
      <w:pPr>
        <w:pStyle w:val="StylIwony"/>
        <w:keepNext/>
        <w:rPr>
          <w:rFonts w:ascii="Times New Roman" w:hAnsi="Times New Roman"/>
          <w:sz w:val="20"/>
        </w:rPr>
      </w:pPr>
      <w:r>
        <w:rPr>
          <w:rFonts w:ascii="Times New Roman" w:hAnsi="Times New Roman"/>
          <w:b/>
          <w:sz w:val="20"/>
        </w:rPr>
        <w:t>6.2.3.</w:t>
      </w:r>
      <w:r>
        <w:rPr>
          <w:rFonts w:ascii="Times New Roman" w:hAnsi="Times New Roman"/>
          <w:sz w:val="20"/>
        </w:rPr>
        <w:t xml:space="preserve"> Dopuszczalne tolerancje i wymagania</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odchylenie odległości krawędzi wykopu w dnie od ustalonej w planie osi wykopu nie powinno wynosić więcej niż </w:t>
      </w:r>
      <w:r>
        <w:rPr>
          <w:rFonts w:ascii="Times New Roman" w:hAnsi="Times New Roman"/>
          <w:sz w:val="20"/>
        </w:rPr>
        <w:sym w:font="Symbol" w:char="F0B1"/>
      </w:r>
      <w:r>
        <w:rPr>
          <w:rFonts w:ascii="Times New Roman" w:hAnsi="Times New Roman"/>
          <w:sz w:val="20"/>
        </w:rPr>
        <w:t xml:space="preserve"> </w:t>
      </w:r>
      <w:smartTag w:uri="urn:schemas-microsoft-com:office:smarttags" w:element="metricconverter">
        <w:smartTagPr>
          <w:attr w:name="ProductID" w:val="5 cm"/>
        </w:smartTagPr>
        <w:r>
          <w:rPr>
            <w:rFonts w:ascii="Times New Roman" w:hAnsi="Times New Roman"/>
            <w:sz w:val="20"/>
          </w:rPr>
          <w:t>5 cm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odchylenie wymiarów w planie nie powinno być większe niż </w:t>
      </w:r>
      <w:smartTag w:uri="urn:schemas-microsoft-com:office:smarttags" w:element="metricconverter">
        <w:smartTagPr>
          <w:attr w:name="ProductID" w:val="0,1 m"/>
        </w:smartTagPr>
        <w:r>
          <w:rPr>
            <w:rFonts w:ascii="Times New Roman" w:hAnsi="Times New Roman"/>
            <w:sz w:val="20"/>
          </w:rPr>
          <w:t>0,1 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odchylenie grubości warstwy podłoża nie powinno przekraczać </w:t>
      </w:r>
      <w:r>
        <w:rPr>
          <w:rFonts w:ascii="Times New Roman" w:hAnsi="Times New Roman"/>
          <w:sz w:val="20"/>
        </w:rPr>
        <w:sym w:font="Symbol" w:char="F0B1"/>
      </w:r>
      <w:r>
        <w:rPr>
          <w:rFonts w:ascii="Times New Roman" w:hAnsi="Times New Roman"/>
          <w:sz w:val="20"/>
        </w:rPr>
        <w:t xml:space="preserve"> </w:t>
      </w:r>
      <w:smartTag w:uri="urn:schemas-microsoft-com:office:smarttags" w:element="metricconverter">
        <w:smartTagPr>
          <w:attr w:name="ProductID" w:val="3 cm"/>
        </w:smartTagPr>
        <w:r>
          <w:rPr>
            <w:rFonts w:ascii="Times New Roman" w:hAnsi="Times New Roman"/>
            <w:sz w:val="20"/>
          </w:rPr>
          <w:t>3 cm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odchylenie szerokości warstwy podłoża nie powinno przekraczać </w:t>
      </w:r>
      <w:r>
        <w:rPr>
          <w:rFonts w:ascii="Times New Roman" w:hAnsi="Times New Roman"/>
          <w:sz w:val="20"/>
        </w:rPr>
        <w:sym w:font="Symbol" w:char="F0B1"/>
      </w:r>
      <w:r>
        <w:rPr>
          <w:rFonts w:ascii="Times New Roman" w:hAnsi="Times New Roman"/>
          <w:sz w:val="20"/>
        </w:rPr>
        <w:t xml:space="preserve"> </w:t>
      </w:r>
      <w:smartTag w:uri="urn:schemas-microsoft-com:office:smarttags" w:element="metricconverter">
        <w:smartTagPr>
          <w:attr w:name="ProductID" w:val="5 cm"/>
        </w:smartTagPr>
        <w:r>
          <w:rPr>
            <w:rFonts w:ascii="Times New Roman" w:hAnsi="Times New Roman"/>
            <w:sz w:val="20"/>
          </w:rPr>
          <w:t>5 cm</w:t>
        </w:r>
      </w:smartTag>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wskaźnik zagęszczenia zasypki wykopów określony w trzech miejscach na długości </w:t>
      </w:r>
      <w:smartTag w:uri="urn:schemas-microsoft-com:office:smarttags" w:element="metricconverter">
        <w:smartTagPr>
          <w:attr w:name="ProductID" w:val="100 m"/>
        </w:smartTagPr>
        <w:r>
          <w:rPr>
            <w:rFonts w:ascii="Times New Roman" w:hAnsi="Times New Roman"/>
            <w:sz w:val="20"/>
          </w:rPr>
          <w:t>100 m</w:t>
        </w:r>
      </w:smartTag>
      <w:r>
        <w:rPr>
          <w:rFonts w:ascii="Times New Roman" w:hAnsi="Times New Roman"/>
          <w:sz w:val="20"/>
        </w:rPr>
        <w:t xml:space="preserve"> powinien być zgodny z pkt 5.5.9,</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rzędne kratek ściekowych i pokryw studzienek powinny być wykonane z dokładnością do </w:t>
      </w:r>
      <w:r>
        <w:rPr>
          <w:rFonts w:ascii="Times New Roman" w:hAnsi="Times New Roman"/>
          <w:sz w:val="20"/>
        </w:rPr>
        <w:sym w:font="Symbol" w:char="F0B1"/>
      </w:r>
      <w:r>
        <w:rPr>
          <w:rFonts w:ascii="Times New Roman" w:hAnsi="Times New Roman"/>
          <w:sz w:val="20"/>
        </w:rPr>
        <w:t xml:space="preserve"> </w:t>
      </w:r>
      <w:smartTag w:uri="urn:schemas-microsoft-com:office:smarttags" w:element="metricconverter">
        <w:smartTagPr>
          <w:attr w:name="ProductID" w:val="5 mm"/>
        </w:smartTagPr>
        <w:r>
          <w:rPr>
            <w:rFonts w:ascii="Times New Roman" w:hAnsi="Times New Roman"/>
            <w:sz w:val="20"/>
          </w:rPr>
          <w:t>5 mm</w:t>
        </w:r>
      </w:smartTag>
      <w:r>
        <w:rPr>
          <w:rFonts w:ascii="Times New Roman" w:hAnsi="Times New Roman"/>
          <w:sz w:val="20"/>
        </w:rPr>
        <w:t>.</w:t>
      </w:r>
    </w:p>
    <w:p w:rsidR="00ED0C0A" w:rsidRDefault="00ED0C0A" w:rsidP="00ED0C0A">
      <w:pPr>
        <w:pStyle w:val="Nagwek1"/>
      </w:pPr>
      <w:bookmarkStart w:id="550" w:name="_Toc423928994"/>
      <w:r>
        <w:lastRenderedPageBreak/>
        <w:t>7. OBMIAR ROBÓT</w:t>
      </w:r>
      <w:bookmarkEnd w:id="550"/>
    </w:p>
    <w:p w:rsidR="00ED0C0A" w:rsidRDefault="00ED0C0A" w:rsidP="00ED0C0A">
      <w:pPr>
        <w:pStyle w:val="Nagwek2"/>
      </w:pPr>
      <w:r>
        <w:t>7.1. Ogólne zasady obmiaru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zasady obmiaru robót podano w SST D-M-00.00.00 „Wymagania ogólne” pkt 7.</w:t>
      </w:r>
    </w:p>
    <w:p w:rsidR="00ED0C0A" w:rsidRDefault="00ED0C0A" w:rsidP="00ED0C0A">
      <w:pPr>
        <w:pStyle w:val="Nagwek2"/>
      </w:pPr>
      <w:r>
        <w:t>7.2. Jednostka obmiarowa</w:t>
      </w:r>
    </w:p>
    <w:p w:rsidR="00ED0C0A" w:rsidRDefault="00ED0C0A" w:rsidP="00ED0C0A">
      <w:pPr>
        <w:pStyle w:val="StylIwony"/>
        <w:spacing w:before="0" w:after="0"/>
        <w:rPr>
          <w:rFonts w:ascii="Times New Roman" w:hAnsi="Times New Roman"/>
          <w:sz w:val="20"/>
        </w:rPr>
      </w:pPr>
      <w:r>
        <w:rPr>
          <w:rFonts w:ascii="Times New Roman" w:hAnsi="Times New Roman"/>
          <w:sz w:val="20"/>
        </w:rPr>
        <w:tab/>
        <w:t>Jednostką obmiarową jest m (metr) wykonanej i odebranej kanalizacji.</w:t>
      </w:r>
    </w:p>
    <w:p w:rsidR="00ED0C0A" w:rsidRDefault="00ED0C0A" w:rsidP="00ED0C0A">
      <w:pPr>
        <w:pStyle w:val="Nagwek1"/>
      </w:pPr>
      <w:bookmarkStart w:id="551" w:name="_Toc423928995"/>
      <w:r>
        <w:t>8. ODBIÓR ROBÓT</w:t>
      </w:r>
      <w:bookmarkEnd w:id="551"/>
    </w:p>
    <w:p w:rsidR="00ED0C0A" w:rsidRDefault="00ED0C0A" w:rsidP="00ED0C0A">
      <w:pPr>
        <w:pStyle w:val="Nagwek2"/>
      </w:pPr>
      <w:r>
        <w:t>8.1. Ogólne zasady odbioru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zasady odbioru robót podano w SST D-M-00.00.00 „Wymagania ogólne” pkt 8.</w:t>
      </w:r>
    </w:p>
    <w:p w:rsidR="00ED0C0A" w:rsidRDefault="00ED0C0A" w:rsidP="00ED0C0A">
      <w:pPr>
        <w:pStyle w:val="StylIwony"/>
        <w:spacing w:before="0" w:after="0"/>
        <w:rPr>
          <w:rFonts w:ascii="Times New Roman" w:hAnsi="Times New Roman"/>
          <w:sz w:val="20"/>
        </w:rPr>
      </w:pPr>
      <w:r>
        <w:rPr>
          <w:rFonts w:ascii="Times New Roman" w:hAnsi="Times New Roman"/>
          <w:sz w:val="20"/>
        </w:rPr>
        <w:tab/>
        <w:t>Roboty uznaje się za wykonane zgodnie z dokumentacją projektową, SST i wymaganiami Inżyniera, jeżeli wszystkie pomiary i badania z zachowaniem tolerancji wg pkt 6 dały wyniki pozytywne.</w:t>
      </w:r>
    </w:p>
    <w:p w:rsidR="00ED0C0A" w:rsidRDefault="00ED0C0A" w:rsidP="00ED0C0A">
      <w:pPr>
        <w:pStyle w:val="Nagwek2"/>
      </w:pPr>
      <w:r>
        <w:t>8.2. Odbiór robót zanikających i ulegających zakryciu</w:t>
      </w:r>
    </w:p>
    <w:p w:rsidR="00ED0C0A" w:rsidRDefault="00ED0C0A" w:rsidP="00ED0C0A">
      <w:pPr>
        <w:pStyle w:val="StylIwony"/>
        <w:spacing w:before="0" w:after="0"/>
        <w:rPr>
          <w:rFonts w:ascii="Times New Roman" w:hAnsi="Times New Roman"/>
          <w:sz w:val="20"/>
        </w:rPr>
      </w:pPr>
      <w:r>
        <w:rPr>
          <w:rFonts w:ascii="Times New Roman" w:hAnsi="Times New Roman"/>
          <w:sz w:val="20"/>
        </w:rPr>
        <w:tab/>
        <w:t>Odbiorowi robót zanikających i ulegających zakryciu podlegają:</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roboty montażowe wykonania rur  </w:t>
      </w:r>
      <w:proofErr w:type="spellStart"/>
      <w:r>
        <w:rPr>
          <w:rFonts w:ascii="Times New Roman" w:hAnsi="Times New Roman"/>
          <w:sz w:val="20"/>
        </w:rPr>
        <w:t>przykanalika</w:t>
      </w:r>
      <w:proofErr w:type="spellEnd"/>
      <w:r>
        <w:rPr>
          <w:rFonts w:ascii="Times New Roman" w:hAnsi="Times New Roman"/>
          <w:sz w:val="20"/>
        </w:rPr>
        <w: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wykonane studzienki ściekowe,</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wykonana izolacja,</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zasypany  zagęszczony wykop.</w:t>
      </w:r>
    </w:p>
    <w:p w:rsidR="00ED0C0A" w:rsidRDefault="00ED0C0A" w:rsidP="00ED0C0A">
      <w:pPr>
        <w:pStyle w:val="StylIwony"/>
        <w:spacing w:before="0" w:after="0"/>
        <w:rPr>
          <w:rFonts w:ascii="Times New Roman" w:hAnsi="Times New Roman"/>
          <w:sz w:val="20"/>
        </w:rPr>
      </w:pPr>
      <w:r>
        <w:rPr>
          <w:rFonts w:ascii="Times New Roman" w:hAnsi="Times New Roman"/>
          <w:sz w:val="20"/>
        </w:rPr>
        <w:tab/>
        <w:t>Odbiór robót zanikających powinien być dokonany w czasie umożliwiającym wykonanie korekt i poprawek, bez hamowania ogólnego postępu robót.</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Długość odcinka robót ziemnych poddana odbiorowi nie powinna być mniejsza od </w:t>
      </w:r>
      <w:smartTag w:uri="urn:schemas-microsoft-com:office:smarttags" w:element="metricconverter">
        <w:smartTagPr>
          <w:attr w:name="ProductID" w:val="50 m"/>
        </w:smartTagPr>
        <w:r>
          <w:rPr>
            <w:rFonts w:ascii="Times New Roman" w:hAnsi="Times New Roman"/>
            <w:sz w:val="20"/>
          </w:rPr>
          <w:t>50 m</w:t>
        </w:r>
      </w:smartTag>
      <w:r>
        <w:rPr>
          <w:rFonts w:ascii="Times New Roman" w:hAnsi="Times New Roman"/>
          <w:sz w:val="20"/>
        </w:rPr>
        <w:t>.</w:t>
      </w:r>
    </w:p>
    <w:p w:rsidR="00ED0C0A" w:rsidRDefault="00ED0C0A" w:rsidP="00ED0C0A">
      <w:pPr>
        <w:pStyle w:val="Nagwek1"/>
      </w:pPr>
      <w:bookmarkStart w:id="552" w:name="_Toc423928996"/>
      <w:r>
        <w:t>9. PODSTAWA PŁATNOŚCI</w:t>
      </w:r>
      <w:bookmarkEnd w:id="552"/>
    </w:p>
    <w:p w:rsidR="00ED0C0A" w:rsidRDefault="00ED0C0A" w:rsidP="00ED0C0A">
      <w:pPr>
        <w:pStyle w:val="Nagwek2"/>
      </w:pPr>
      <w:r>
        <w:t>9.1. Ogólne ustalenia dotyczące podstawy płatności</w:t>
      </w:r>
    </w:p>
    <w:p w:rsidR="00ED0C0A" w:rsidRDefault="00ED0C0A" w:rsidP="00ED0C0A">
      <w:pPr>
        <w:pStyle w:val="StylIwony"/>
        <w:spacing w:before="0" w:after="0"/>
        <w:rPr>
          <w:rFonts w:ascii="Times New Roman" w:hAnsi="Times New Roman"/>
          <w:sz w:val="20"/>
        </w:rPr>
      </w:pPr>
      <w:r>
        <w:rPr>
          <w:rFonts w:ascii="Times New Roman" w:hAnsi="Times New Roman"/>
          <w:sz w:val="20"/>
        </w:rPr>
        <w:tab/>
        <w:t>Ogólne ustalenia dotyczące podstawy płatności podano w SST D-M-00.00.00 „Wymagania ogólne” pkt 9.</w:t>
      </w:r>
    </w:p>
    <w:p w:rsidR="00ED0C0A" w:rsidRDefault="00ED0C0A" w:rsidP="00ED0C0A">
      <w:pPr>
        <w:pStyle w:val="Nagwek2"/>
      </w:pPr>
      <w:r>
        <w:t>9.2. Cena jednostki obmiarowej</w:t>
      </w:r>
    </w:p>
    <w:p w:rsidR="00ED0C0A" w:rsidRDefault="00ED0C0A" w:rsidP="00ED0C0A">
      <w:pPr>
        <w:pStyle w:val="StylIwony"/>
        <w:spacing w:before="0" w:after="0"/>
        <w:rPr>
          <w:rFonts w:ascii="Times New Roman" w:hAnsi="Times New Roman"/>
          <w:sz w:val="20"/>
        </w:rPr>
      </w:pPr>
      <w:r>
        <w:rPr>
          <w:rFonts w:ascii="Times New Roman" w:hAnsi="Times New Roman"/>
          <w:sz w:val="20"/>
        </w:rPr>
        <w:tab/>
        <w:t xml:space="preserve">Cena </w:t>
      </w:r>
      <w:smartTag w:uri="urn:schemas-microsoft-com:office:smarttags" w:element="metricconverter">
        <w:smartTagPr>
          <w:attr w:name="ProductID" w:val="1 m"/>
        </w:smartTagPr>
        <w:r>
          <w:rPr>
            <w:rFonts w:ascii="Times New Roman" w:hAnsi="Times New Roman"/>
            <w:sz w:val="20"/>
          </w:rPr>
          <w:t>1 m</w:t>
        </w:r>
      </w:smartTag>
      <w:r>
        <w:rPr>
          <w:rFonts w:ascii="Times New Roman" w:hAnsi="Times New Roman"/>
          <w:sz w:val="20"/>
        </w:rPr>
        <w:t xml:space="preserve"> wykonanej i odebranej kanalizacji obejmuje:</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oznakowanie robót,</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dostawę materiałów,</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wykonanie robót przygotowawczych,</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wykonanie wykopu w gruncie kat. I-IV wraz z umocnieniem ścian wykopu i jego odwodnienie,</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przygotowanie podłoża i fundamentu,</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wykonanie sączków,</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wykonanie wylotu kolektora,</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 xml:space="preserve">ułożenie przewodów kanalizacyjnych, </w:t>
      </w:r>
      <w:proofErr w:type="spellStart"/>
      <w:r>
        <w:rPr>
          <w:rFonts w:ascii="Times New Roman" w:hAnsi="Times New Roman"/>
          <w:sz w:val="20"/>
        </w:rPr>
        <w:t>przykanalików</w:t>
      </w:r>
      <w:proofErr w:type="spellEnd"/>
      <w:r>
        <w:rPr>
          <w:rFonts w:ascii="Times New Roman" w:hAnsi="Times New Roman"/>
          <w:sz w:val="20"/>
        </w:rPr>
        <w:t>, studni, studzienek ściekowych,</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wykonanie izolacji rur i studzienek,</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zasypanie i zagęszczenie wykopu,</w:t>
      </w:r>
    </w:p>
    <w:p w:rsidR="00ED0C0A" w:rsidRDefault="00ED0C0A" w:rsidP="00A46F82">
      <w:pPr>
        <w:pStyle w:val="StylIwony"/>
        <w:numPr>
          <w:ilvl w:val="0"/>
          <w:numId w:val="213"/>
        </w:numPr>
        <w:spacing w:before="0" w:after="0"/>
        <w:textAlignment w:val="auto"/>
        <w:rPr>
          <w:rFonts w:ascii="Times New Roman" w:hAnsi="Times New Roman"/>
          <w:sz w:val="20"/>
        </w:rPr>
      </w:pPr>
      <w:r>
        <w:rPr>
          <w:rFonts w:ascii="Times New Roman" w:hAnsi="Times New Roman"/>
          <w:sz w:val="20"/>
        </w:rPr>
        <w:t>przeprowadzenie pomiarów i badań wymaganych w specyfikacji technicznej.</w:t>
      </w:r>
    </w:p>
    <w:p w:rsidR="00ED0C0A" w:rsidRDefault="00ED0C0A" w:rsidP="00ED0C0A">
      <w:pPr>
        <w:pStyle w:val="Nagwek1"/>
      </w:pPr>
      <w:bookmarkStart w:id="553" w:name="_Toc423928997"/>
      <w:r>
        <w:t>10. PRZEPISY ZWIĄZANE</w:t>
      </w:r>
      <w:bookmarkEnd w:id="553"/>
    </w:p>
    <w:p w:rsidR="00ED0C0A" w:rsidRDefault="00ED0C0A" w:rsidP="00ED0C0A">
      <w:pPr>
        <w:pStyle w:val="Nagwek2"/>
      </w:pPr>
      <w:r>
        <w:t>10.1. Normy</w:t>
      </w:r>
    </w:p>
    <w:tbl>
      <w:tblPr>
        <w:tblW w:w="7590" w:type="dxa"/>
        <w:tblLayout w:type="fixed"/>
        <w:tblCellMar>
          <w:left w:w="70" w:type="dxa"/>
          <w:right w:w="70" w:type="dxa"/>
        </w:tblCellMar>
        <w:tblLook w:val="04A0" w:firstRow="1" w:lastRow="0" w:firstColumn="1" w:lastColumn="0" w:noHBand="0" w:noVBand="1"/>
      </w:tblPr>
      <w:tblGrid>
        <w:gridCol w:w="496"/>
        <w:gridCol w:w="1844"/>
        <w:gridCol w:w="5250"/>
      </w:tblGrid>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1.</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PN-EN 124:2000</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Zwieńczenia wpustów i studzienek kanalizacyjnych do nawierzchni dla ruchu pieszego i kołowego. Zasady konstrukcji, badania typu, znakowanie, sterowanie jakością</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2.</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PN-EN 197-1:2002</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Cement. Część 1: Skład, wymagania i kryteria zgodności dotyczące cementu powszechnego użytku</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3.</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PN-EN 206-1:2000</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Beton. Część 1: Wymagania, właściwości, produkcja i zgodność</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4.</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PN-EN 295:2002</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Rury i kształtki kamionkowe i ich połączenia w sieci drenażowej i kanalizacyjnej</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5.</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PN-EN 1115:2002</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Systemy przewodów rurowych z tworzyw sztucznych do kanalizacji ciśnieniowej deszczowej i ściekowej. Utwardzalne </w:t>
            </w:r>
            <w:r>
              <w:rPr>
                <w:rFonts w:ascii="Times New Roman" w:hAnsi="Times New Roman"/>
                <w:sz w:val="20"/>
                <w:lang w:eastAsia="en-US"/>
              </w:rPr>
              <w:lastRenderedPageBreak/>
              <w:t>tworzywa sztuczne na bazie nienasyconej żywicy poliestrowej (UP) wzmocnione włóknem szklanym (GRP)</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lastRenderedPageBreak/>
              <w:t xml:space="preserve">  6.</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PN-EN 12620:2004</w:t>
            </w:r>
          </w:p>
        </w:tc>
        <w:tc>
          <w:tcPr>
            <w:tcW w:w="5245" w:type="dxa"/>
            <w:hideMark/>
          </w:tcPr>
          <w:p w:rsidR="00ED0C0A" w:rsidRDefault="00ED0C0A">
            <w:pPr>
              <w:pStyle w:val="StylIwony"/>
              <w:spacing w:before="0" w:after="0" w:line="276" w:lineRule="auto"/>
              <w:rPr>
                <w:rFonts w:ascii="Times New Roman" w:hAnsi="Times New Roman"/>
                <w:color w:val="FF0000"/>
                <w:sz w:val="20"/>
                <w:lang w:eastAsia="en-US"/>
              </w:rPr>
            </w:pPr>
            <w:r>
              <w:rPr>
                <w:rFonts w:ascii="Times New Roman" w:hAnsi="Times New Roman"/>
                <w:sz w:val="20"/>
                <w:lang w:eastAsia="en-US"/>
              </w:rPr>
              <w:t>Kruszywa do betonu (Norma do zastosowań przyszłościo</w:t>
            </w:r>
            <w:r>
              <w:rPr>
                <w:rFonts w:ascii="Times New Roman" w:hAnsi="Times New Roman"/>
                <w:sz w:val="20"/>
                <w:lang w:eastAsia="en-US"/>
              </w:rPr>
              <w:softHyphen/>
              <w:t>wych. Tymczasowo należy stosować normę PN-B-06712 [10])</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7.</w:t>
            </w:r>
          </w:p>
        </w:tc>
        <w:tc>
          <w:tcPr>
            <w:tcW w:w="1842" w:type="dxa"/>
            <w:hideMark/>
          </w:tcPr>
          <w:p w:rsidR="00ED0C0A" w:rsidRDefault="00ED0C0A">
            <w:pPr>
              <w:pStyle w:val="StylIwony"/>
              <w:spacing w:before="0" w:after="0" w:line="276" w:lineRule="auto"/>
              <w:rPr>
                <w:rFonts w:ascii="Times New Roman" w:hAnsi="Times New Roman"/>
                <w:strike/>
                <w:sz w:val="20"/>
                <w:lang w:eastAsia="en-US"/>
              </w:rPr>
            </w:pPr>
            <w:r>
              <w:rPr>
                <w:rFonts w:ascii="Times New Roman" w:hAnsi="Times New Roman"/>
                <w:sz w:val="20"/>
                <w:lang w:eastAsia="en-US"/>
              </w:rPr>
              <w:t>PN-EN 13043:2004</w:t>
            </w:r>
          </w:p>
        </w:tc>
        <w:tc>
          <w:tcPr>
            <w:tcW w:w="5245" w:type="dxa"/>
            <w:hideMark/>
          </w:tcPr>
          <w:p w:rsidR="00ED0C0A" w:rsidRDefault="00ED0C0A">
            <w:pPr>
              <w:pStyle w:val="StylIwony"/>
              <w:spacing w:before="0" w:after="0" w:line="276" w:lineRule="auto"/>
              <w:rPr>
                <w:rFonts w:ascii="Times New Roman" w:hAnsi="Times New Roman"/>
                <w:strike/>
                <w:color w:val="FF0000"/>
                <w:sz w:val="20"/>
                <w:lang w:eastAsia="en-US"/>
              </w:rPr>
            </w:pPr>
            <w:r>
              <w:rPr>
                <w:rFonts w:ascii="Times New Roman" w:hAnsi="Times New Roman"/>
                <w:sz w:val="20"/>
                <w:lang w:eastAsia="en-US"/>
              </w:rPr>
              <w:t>Kruszywa do mieszanek bitumicznych i powierzchniowych utrwaleń stosowanych na drogach, lotniskach i innych powierzchniach przeznaczonych do ruchu (Norma do zastosowań przyszłościowych. Tymczasowo należy stosować normy: PN-B-11111 [11] i PN-B-11112 [12])</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8.</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PN-EN 13101:2002</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Stopnie do studzienek włazowych. Wymagania, znakowanie, badania i ocena zgodności</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  9.</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PN-B-06250:1988</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Beton zwykły</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10.</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PN-B-06712:1986</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Kruszywa mineralne do betonu</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11.</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PN-B-11111:1996</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Kruszywa mineralne. Kruszywa naturalne do nawierzchni drogowych. Żwir i mieszanka</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12.</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PN-B-11112:1996</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Kruszywa mineralne. Kruszywa łamane do nawierzchni drogowych</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13.</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PN-B-12037:1998</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Wyroby budowlane ceramiczne. Cegły kanalizacyjne</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14.</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PN-C-96177:1958</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Lepik asfaltowy bez wypełniaczy stosowany na gorąco</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15.</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PN-H-74101:1984</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Żeliwne rury ciśnieniowe do połączeń sztywnych</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16.</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PN-B-14501:1990</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Zaprawy budowlane zwykłe</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17.</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BN-86/8971-06.00</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Rury bezciśnieniowe. Kielichowe rury betonowe i żelbetowe „</w:t>
            </w:r>
            <w:proofErr w:type="spellStart"/>
            <w:r>
              <w:rPr>
                <w:rFonts w:ascii="Times New Roman" w:hAnsi="Times New Roman"/>
                <w:sz w:val="20"/>
                <w:lang w:eastAsia="en-US"/>
              </w:rPr>
              <w:t>Wipro</w:t>
            </w:r>
            <w:proofErr w:type="spellEnd"/>
            <w:r>
              <w:rPr>
                <w:rFonts w:ascii="Times New Roman" w:hAnsi="Times New Roman"/>
                <w:sz w:val="20"/>
                <w:lang w:eastAsia="en-US"/>
              </w:rPr>
              <w:t>”</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18.</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BN-83/8971-06.02</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Rury bezciśnieniowe. Rury betonowe i żelbetowe</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19.</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BN-86/8971-08</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Prefabrykaty budowlane z betonu. Kręgi betonowe                        i żelbetowe</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20.</w:t>
            </w:r>
          </w:p>
        </w:tc>
        <w:tc>
          <w:tcPr>
            <w:tcW w:w="1842"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BN-88/6731-08</w:t>
            </w:r>
          </w:p>
        </w:tc>
        <w:tc>
          <w:tcPr>
            <w:tcW w:w="5245"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Cement. Transport i przechowywanie</w:t>
            </w:r>
          </w:p>
        </w:tc>
      </w:tr>
    </w:tbl>
    <w:p w:rsidR="00ED0C0A" w:rsidRDefault="00ED0C0A" w:rsidP="00ED0C0A">
      <w:pPr>
        <w:pStyle w:val="Nagwek2"/>
      </w:pPr>
      <w:r>
        <w:t>10.2. Inne dokumenty</w:t>
      </w:r>
    </w:p>
    <w:tbl>
      <w:tblPr>
        <w:tblW w:w="0" w:type="auto"/>
        <w:tblLayout w:type="fixed"/>
        <w:tblCellMar>
          <w:left w:w="70" w:type="dxa"/>
          <w:right w:w="70" w:type="dxa"/>
        </w:tblCellMar>
        <w:tblLook w:val="04A0" w:firstRow="1" w:lastRow="0" w:firstColumn="1" w:lastColumn="0" w:noHBand="0" w:noVBand="1"/>
      </w:tblPr>
      <w:tblGrid>
        <w:gridCol w:w="496"/>
        <w:gridCol w:w="7087"/>
      </w:tblGrid>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21.</w:t>
            </w:r>
          </w:p>
        </w:tc>
        <w:tc>
          <w:tcPr>
            <w:tcW w:w="7087"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Instrukcja zabezpieczania przed korozją konstrukcji betonowych opracowana przez Instytut Techniki Budowlanej - Warszawa 1986 r.</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22.</w:t>
            </w:r>
          </w:p>
        </w:tc>
        <w:tc>
          <w:tcPr>
            <w:tcW w:w="7087"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Katalog budownictwa</w:t>
            </w:r>
          </w:p>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KB4-4.12.1.(6)     Studzienki połączeniowe (lipiec 1980)</w:t>
            </w:r>
          </w:p>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KB4-4.12.1.(7)     Studzienki przelotowe (lipiec 1980)</w:t>
            </w:r>
          </w:p>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KB4-4.12.1.(8)     Studzienki spadowe (lipiec 1980)</w:t>
            </w:r>
          </w:p>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KB4-4.12.1.(11)   Studzienki ślepe (lipiec 1980)</w:t>
            </w:r>
          </w:p>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KB4-3.3.1.10.(1)  Studzienki ściekowe do odwodnienia dróg (październik 1983)</w:t>
            </w:r>
          </w:p>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 xml:space="preserve">KB1-22.2.6.(6)     Kręgi betonowe średnicy </w:t>
            </w:r>
            <w:smartTag w:uri="urn:schemas-microsoft-com:office:smarttags" w:element="metricconverter">
              <w:smartTagPr>
                <w:attr w:name="ProductID" w:val="50 cm"/>
              </w:smartTagPr>
              <w:r>
                <w:rPr>
                  <w:rFonts w:ascii="Times New Roman" w:hAnsi="Times New Roman"/>
                  <w:sz w:val="20"/>
                  <w:lang w:eastAsia="en-US"/>
                </w:rPr>
                <w:t>50 cm</w:t>
              </w:r>
            </w:smartTag>
            <w:r>
              <w:rPr>
                <w:rFonts w:ascii="Times New Roman" w:hAnsi="Times New Roman"/>
                <w:sz w:val="20"/>
                <w:lang w:eastAsia="en-US"/>
              </w:rPr>
              <w:t xml:space="preserve">; wysokości 30 lub  </w:t>
            </w:r>
            <w:smartTag w:uri="urn:schemas-microsoft-com:office:smarttags" w:element="metricconverter">
              <w:smartTagPr>
                <w:attr w:name="ProductID" w:val="60 cm"/>
              </w:smartTagPr>
              <w:r>
                <w:rPr>
                  <w:rFonts w:ascii="Times New Roman" w:hAnsi="Times New Roman"/>
                  <w:sz w:val="20"/>
                  <w:lang w:eastAsia="en-US"/>
                </w:rPr>
                <w:t>60 cm</w:t>
              </w:r>
            </w:smartTag>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23.</w:t>
            </w:r>
          </w:p>
        </w:tc>
        <w:tc>
          <w:tcPr>
            <w:tcW w:w="7087"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„Katalog powtarzalnych elementów drogowych”. „</w:t>
            </w:r>
            <w:proofErr w:type="spellStart"/>
            <w:r>
              <w:rPr>
                <w:rFonts w:ascii="Times New Roman" w:hAnsi="Times New Roman"/>
                <w:sz w:val="20"/>
                <w:lang w:eastAsia="en-US"/>
              </w:rPr>
              <w:t>Transprojekt</w:t>
            </w:r>
            <w:proofErr w:type="spellEnd"/>
            <w:r>
              <w:rPr>
                <w:rFonts w:ascii="Times New Roman" w:hAnsi="Times New Roman"/>
                <w:sz w:val="20"/>
                <w:lang w:eastAsia="en-US"/>
              </w:rPr>
              <w:t>” - Warszawa,                1979-1982 r.</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24.</w:t>
            </w:r>
          </w:p>
        </w:tc>
        <w:tc>
          <w:tcPr>
            <w:tcW w:w="7087"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Tymczasowa instrukcja projektowania i budowy przewodów kanalizacyjnych z rur „</w:t>
            </w:r>
            <w:proofErr w:type="spellStart"/>
            <w:r>
              <w:rPr>
                <w:rFonts w:ascii="Times New Roman" w:hAnsi="Times New Roman"/>
                <w:sz w:val="20"/>
                <w:lang w:eastAsia="en-US"/>
              </w:rPr>
              <w:t>Wipro</w:t>
            </w:r>
            <w:proofErr w:type="spellEnd"/>
            <w:r>
              <w:rPr>
                <w:rFonts w:ascii="Times New Roman" w:hAnsi="Times New Roman"/>
                <w:sz w:val="20"/>
                <w:lang w:eastAsia="en-US"/>
              </w:rPr>
              <w:t>”, Centrum Techniki Komunalnej,  1978 r.</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25.</w:t>
            </w:r>
          </w:p>
        </w:tc>
        <w:tc>
          <w:tcPr>
            <w:tcW w:w="7087"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Wytyczne eksploatacyjne do projektowania sieci i urządzeń sieciowych, wodociągowych i kanalizacyjnych, BPC WiK „</w:t>
            </w:r>
            <w:proofErr w:type="spellStart"/>
            <w:r>
              <w:rPr>
                <w:rFonts w:ascii="Times New Roman" w:hAnsi="Times New Roman"/>
                <w:sz w:val="20"/>
                <w:lang w:eastAsia="en-US"/>
              </w:rPr>
              <w:t>Cewok</w:t>
            </w:r>
            <w:proofErr w:type="spellEnd"/>
            <w:r>
              <w:rPr>
                <w:rFonts w:ascii="Times New Roman" w:hAnsi="Times New Roman"/>
                <w:sz w:val="20"/>
                <w:lang w:eastAsia="en-US"/>
              </w:rPr>
              <w:t xml:space="preserve">” i BPBBO </w:t>
            </w:r>
            <w:proofErr w:type="spellStart"/>
            <w:r>
              <w:rPr>
                <w:rFonts w:ascii="Times New Roman" w:hAnsi="Times New Roman"/>
                <w:sz w:val="20"/>
                <w:lang w:eastAsia="en-US"/>
              </w:rPr>
              <w:t>Miastoprojekt</w:t>
            </w:r>
            <w:proofErr w:type="spellEnd"/>
            <w:r>
              <w:rPr>
                <w:rFonts w:ascii="Times New Roman" w:hAnsi="Times New Roman"/>
                <w:sz w:val="20"/>
                <w:lang w:eastAsia="en-US"/>
              </w:rPr>
              <w:t>- Warszawa, zaakceptowane i zalecone do stosowania przez Zespół Doradczy ds. procesu inwestycyjnego powołany przez Prezydenta m.st. Warszawy -sierpień 1984 r.</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26.</w:t>
            </w:r>
          </w:p>
        </w:tc>
        <w:tc>
          <w:tcPr>
            <w:tcW w:w="7087" w:type="dxa"/>
            <w:hideMark/>
          </w:tcPr>
          <w:p w:rsidR="00ED0C0A" w:rsidRDefault="00ED0C0A">
            <w:pPr>
              <w:spacing w:line="276" w:lineRule="auto"/>
              <w:rPr>
                <w:lang w:eastAsia="en-US"/>
              </w:rPr>
            </w:pPr>
            <w:r>
              <w:rPr>
                <w:lang w:eastAsia="en-US"/>
              </w:rPr>
              <w:t>Ustawa z dnia 16 kwietnia 2004 r. o wyrobach budowlanych ( Dz. U. nr 92, poz. 881)</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27.</w:t>
            </w:r>
          </w:p>
        </w:tc>
        <w:tc>
          <w:tcPr>
            <w:tcW w:w="7087" w:type="dxa"/>
            <w:hideMark/>
          </w:tcPr>
          <w:p w:rsidR="00ED0C0A" w:rsidRDefault="00ED0C0A">
            <w:pPr>
              <w:spacing w:line="276" w:lineRule="auto"/>
              <w:rPr>
                <w:lang w:eastAsia="en-US"/>
              </w:rPr>
            </w:pPr>
            <w:r>
              <w:rPr>
                <w:lang w:eastAsia="en-US"/>
              </w:rPr>
              <w:t>Rozporządzenie Ministra Infrastruktury z dn. 11 sierpnia 2004 r. w sprawie sposobów deklarowania zgodności wyrobów budowlanych oraz sposobu znakowania ich znakiem budowlanym (Dz. U. nr 198, poz. 2041)</w:t>
            </w:r>
          </w:p>
        </w:tc>
      </w:tr>
      <w:tr w:rsidR="00ED0C0A" w:rsidTr="00ED0C0A">
        <w:tc>
          <w:tcPr>
            <w:tcW w:w="496" w:type="dxa"/>
            <w:hideMark/>
          </w:tcPr>
          <w:p w:rsidR="00ED0C0A" w:rsidRDefault="00ED0C0A">
            <w:pPr>
              <w:pStyle w:val="StylIwony"/>
              <w:spacing w:before="0" w:after="0" w:line="276" w:lineRule="auto"/>
              <w:rPr>
                <w:rFonts w:ascii="Times New Roman" w:hAnsi="Times New Roman"/>
                <w:sz w:val="20"/>
                <w:lang w:eastAsia="en-US"/>
              </w:rPr>
            </w:pPr>
            <w:r>
              <w:rPr>
                <w:rFonts w:ascii="Times New Roman" w:hAnsi="Times New Roman"/>
                <w:sz w:val="20"/>
                <w:lang w:eastAsia="en-US"/>
              </w:rPr>
              <w:t>28.</w:t>
            </w:r>
          </w:p>
        </w:tc>
        <w:tc>
          <w:tcPr>
            <w:tcW w:w="7087" w:type="dxa"/>
            <w:hideMark/>
          </w:tcPr>
          <w:p w:rsidR="00ED0C0A" w:rsidRDefault="00ED0C0A">
            <w:pPr>
              <w:spacing w:line="276" w:lineRule="auto"/>
              <w:rPr>
                <w:lang w:eastAsia="en-US"/>
              </w:rPr>
            </w:pPr>
            <w:r>
              <w:rPr>
                <w:lang w:eastAsia="en-US"/>
              </w:rPr>
              <w:t>Rozporządzenie Ministra Infrastruktury z dn. 08 listopada 2004 r. w sprawie aprobat technicznych oraz jednostek organizacyjnych upoważnionych do ich wydawania (Dz. U. nr 249, poz. 2497)</w:t>
            </w:r>
          </w:p>
        </w:tc>
      </w:tr>
    </w:tbl>
    <w:p w:rsidR="00216C9A" w:rsidRDefault="00216C9A" w:rsidP="00ED0C0A">
      <w:bookmarkStart w:id="554" w:name="_GoBack"/>
      <w:bookmarkEnd w:id="554"/>
    </w:p>
    <w:sectPr w:rsidR="00216C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AC4" w:rsidRDefault="00E07AC4" w:rsidP="00ED0C0A">
      <w:r>
        <w:separator/>
      </w:r>
    </w:p>
  </w:endnote>
  <w:endnote w:type="continuationSeparator" w:id="0">
    <w:p w:rsidR="00E07AC4" w:rsidRDefault="00E07AC4" w:rsidP="00ED0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TTE188C168t00">
    <w:altName w:val="Times New Roman"/>
    <w:panose1 w:val="00000000000000000000"/>
    <w:charset w:val="00"/>
    <w:family w:val="auto"/>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AC4" w:rsidRDefault="00E07AC4" w:rsidP="00ED0C0A">
      <w:r>
        <w:separator/>
      </w:r>
    </w:p>
  </w:footnote>
  <w:footnote w:type="continuationSeparator" w:id="0">
    <w:p w:rsidR="00E07AC4" w:rsidRDefault="00E07AC4" w:rsidP="00ED0C0A">
      <w:r>
        <w:continuationSeparator/>
      </w:r>
    </w:p>
  </w:footnote>
  <w:footnote w:id="1">
    <w:p w:rsidR="00E07AC4" w:rsidRDefault="00E07AC4" w:rsidP="00ED0C0A">
      <w:pPr>
        <w:pStyle w:val="Tekstprzypisudolnego"/>
        <w:rPr>
          <w:lang w:val="en-US"/>
        </w:rPr>
      </w:pPr>
      <w:r>
        <w:rPr>
          <w:rStyle w:val="Odwoanieprzypisudolnego"/>
        </w:rPr>
        <w:footnoteRef/>
      </w:r>
      <w:r>
        <w:rPr>
          <w:lang w:val="en-US"/>
        </w:rPr>
        <w:t xml:space="preserve"> </w:t>
      </w:r>
      <w:proofErr w:type="spellStart"/>
      <w:r>
        <w:rPr>
          <w:lang w:val="en-US"/>
        </w:rPr>
        <w:t>Nie</w:t>
      </w:r>
      <w:proofErr w:type="spellEnd"/>
      <w:r>
        <w:rPr>
          <w:lang w:val="en-US"/>
        </w:rPr>
        <w:t xml:space="preserve"> </w:t>
      </w:r>
      <w:proofErr w:type="spellStart"/>
      <w:r>
        <w:rPr>
          <w:lang w:val="en-US"/>
        </w:rPr>
        <w:t>dotyczy</w:t>
      </w:r>
      <w:proofErr w:type="spellEnd"/>
      <w:r>
        <w:rPr>
          <w:lang w:val="en-US"/>
        </w:rPr>
        <w:t xml:space="preserve"> </w:t>
      </w:r>
      <w:proofErr w:type="spellStart"/>
      <w:r>
        <w:rPr>
          <w:lang w:val="en-US"/>
        </w:rPr>
        <w:t>rur</w:t>
      </w:r>
      <w:proofErr w:type="spellEnd"/>
      <w:r>
        <w:rPr>
          <w:lang w:val="en-US"/>
        </w:rPr>
        <w:t xml:space="preserve">  CFW GRP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7124E21"/>
    <w:multiLevelType w:val="hybridMultilevel"/>
    <w:tmpl w:val="F93608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1D163C9"/>
    <w:multiLevelType w:val="hybridMultilevel"/>
    <w:tmpl w:val="9ECA5270"/>
    <w:lvl w:ilvl="0" w:tplc="D35AB624">
      <w:start w:val="1"/>
      <w:numFmt w:val="bullet"/>
      <w:lvlText w:val="–"/>
      <w:lvlJc w:val="left"/>
      <w:pPr>
        <w:ind w:left="795" w:hanging="360"/>
      </w:pPr>
      <w:rPr>
        <w:rFonts w:ascii="Times New Roman" w:hAnsi="Times New Roman" w:cs="Times New Roman" w:hint="default"/>
        <w:sz w:val="16"/>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
    <w:nsid w:val="022F7F80"/>
    <w:multiLevelType w:val="singleLevel"/>
    <w:tmpl w:val="3580D2DA"/>
    <w:lvl w:ilvl="0">
      <w:start w:val="3"/>
      <w:numFmt w:val="decimal"/>
      <w:lvlText w:val="5.3.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
    <w:nsid w:val="02620972"/>
    <w:multiLevelType w:val="singleLevel"/>
    <w:tmpl w:val="345C1684"/>
    <w:lvl w:ilvl="0">
      <w:start w:val="4"/>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
    <w:nsid w:val="043C2509"/>
    <w:multiLevelType w:val="singleLevel"/>
    <w:tmpl w:val="EA9268FC"/>
    <w:lvl w:ilvl="0">
      <w:start w:val="1"/>
      <w:numFmt w:val="lowerLetter"/>
      <w:lvlText w:val="%1)"/>
      <w:legacy w:legacy="1" w:legacySpace="0" w:legacyIndent="283"/>
      <w:lvlJc w:val="left"/>
      <w:pPr>
        <w:ind w:left="283" w:hanging="283"/>
      </w:pPr>
    </w:lvl>
  </w:abstractNum>
  <w:abstractNum w:abstractNumId="6">
    <w:nsid w:val="049A30DA"/>
    <w:multiLevelType w:val="hybridMultilevel"/>
    <w:tmpl w:val="C2F83EDA"/>
    <w:lvl w:ilvl="0" w:tplc="9B907680">
      <w:start w:val="1"/>
      <w:numFmt w:val="bullet"/>
      <w:lvlText w:val="-"/>
      <w:lvlJc w:val="left"/>
      <w:pPr>
        <w:ind w:left="1000" w:hanging="360"/>
      </w:pPr>
      <w:rPr>
        <w:rFonts w:ascii="Times New Roman" w:eastAsia="Times New Roman" w:hAnsi="Times New Roman" w:hint="default"/>
        <w:sz w:val="24"/>
        <w:szCs w:val="24"/>
      </w:rPr>
    </w:lvl>
    <w:lvl w:ilvl="1" w:tplc="7AFE00B6">
      <w:start w:val="1"/>
      <w:numFmt w:val="bullet"/>
      <w:lvlText w:val="•"/>
      <w:lvlJc w:val="left"/>
      <w:pPr>
        <w:ind w:left="1828" w:hanging="360"/>
      </w:pPr>
      <w:rPr>
        <w:rFonts w:hint="default"/>
      </w:rPr>
    </w:lvl>
    <w:lvl w:ilvl="2" w:tplc="C1C2CF84">
      <w:start w:val="1"/>
      <w:numFmt w:val="bullet"/>
      <w:lvlText w:val="•"/>
      <w:lvlJc w:val="left"/>
      <w:pPr>
        <w:ind w:left="2656" w:hanging="360"/>
      </w:pPr>
      <w:rPr>
        <w:rFonts w:hint="default"/>
      </w:rPr>
    </w:lvl>
    <w:lvl w:ilvl="3" w:tplc="B8DE954A">
      <w:start w:val="1"/>
      <w:numFmt w:val="bullet"/>
      <w:lvlText w:val="•"/>
      <w:lvlJc w:val="left"/>
      <w:pPr>
        <w:ind w:left="3484" w:hanging="360"/>
      </w:pPr>
      <w:rPr>
        <w:rFonts w:hint="default"/>
      </w:rPr>
    </w:lvl>
    <w:lvl w:ilvl="4" w:tplc="AA76163A">
      <w:start w:val="1"/>
      <w:numFmt w:val="bullet"/>
      <w:lvlText w:val="•"/>
      <w:lvlJc w:val="left"/>
      <w:pPr>
        <w:ind w:left="4312" w:hanging="360"/>
      </w:pPr>
      <w:rPr>
        <w:rFonts w:hint="default"/>
      </w:rPr>
    </w:lvl>
    <w:lvl w:ilvl="5" w:tplc="FC96AAD0">
      <w:start w:val="1"/>
      <w:numFmt w:val="bullet"/>
      <w:lvlText w:val="•"/>
      <w:lvlJc w:val="left"/>
      <w:pPr>
        <w:ind w:left="5140" w:hanging="360"/>
      </w:pPr>
      <w:rPr>
        <w:rFonts w:hint="default"/>
      </w:rPr>
    </w:lvl>
    <w:lvl w:ilvl="6" w:tplc="7FC07AE2">
      <w:start w:val="1"/>
      <w:numFmt w:val="bullet"/>
      <w:lvlText w:val="•"/>
      <w:lvlJc w:val="left"/>
      <w:pPr>
        <w:ind w:left="5968" w:hanging="360"/>
      </w:pPr>
      <w:rPr>
        <w:rFonts w:hint="default"/>
      </w:rPr>
    </w:lvl>
    <w:lvl w:ilvl="7" w:tplc="9EA48F10">
      <w:start w:val="1"/>
      <w:numFmt w:val="bullet"/>
      <w:lvlText w:val="•"/>
      <w:lvlJc w:val="left"/>
      <w:pPr>
        <w:ind w:left="6796" w:hanging="360"/>
      </w:pPr>
      <w:rPr>
        <w:rFonts w:hint="default"/>
      </w:rPr>
    </w:lvl>
    <w:lvl w:ilvl="8" w:tplc="E55CBFB2">
      <w:start w:val="1"/>
      <w:numFmt w:val="bullet"/>
      <w:lvlText w:val="•"/>
      <w:lvlJc w:val="left"/>
      <w:pPr>
        <w:ind w:left="7624" w:hanging="360"/>
      </w:pPr>
      <w:rPr>
        <w:rFonts w:hint="default"/>
      </w:rPr>
    </w:lvl>
  </w:abstractNum>
  <w:abstractNum w:abstractNumId="7">
    <w:nsid w:val="060D634D"/>
    <w:multiLevelType w:val="singleLevel"/>
    <w:tmpl w:val="8E9095BA"/>
    <w:lvl w:ilvl="0">
      <w:start w:val="2"/>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
    <w:nsid w:val="06937866"/>
    <w:multiLevelType w:val="singleLevel"/>
    <w:tmpl w:val="7E424548"/>
    <w:lvl w:ilvl="0">
      <w:start w:val="1"/>
      <w:numFmt w:val="decimal"/>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9">
    <w:nsid w:val="070163AC"/>
    <w:multiLevelType w:val="singleLevel"/>
    <w:tmpl w:val="1410F7AE"/>
    <w:lvl w:ilvl="0">
      <w:start w:val="6"/>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0">
    <w:nsid w:val="085E3460"/>
    <w:multiLevelType w:val="singleLevel"/>
    <w:tmpl w:val="12FCC392"/>
    <w:lvl w:ilvl="0">
      <w:start w:val="1"/>
      <w:numFmt w:val="lowerLetter"/>
      <w:lvlText w:val="%1)"/>
      <w:legacy w:legacy="1" w:legacySpace="0" w:legacyIndent="283"/>
      <w:lvlJc w:val="left"/>
      <w:pPr>
        <w:ind w:left="283" w:hanging="283"/>
      </w:pPr>
      <w:rPr>
        <w:rFonts w:cs="Times New Roman"/>
      </w:rPr>
    </w:lvl>
  </w:abstractNum>
  <w:abstractNum w:abstractNumId="11">
    <w:nsid w:val="0A226871"/>
    <w:multiLevelType w:val="hybridMultilevel"/>
    <w:tmpl w:val="B776D7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D355942"/>
    <w:multiLevelType w:val="singleLevel"/>
    <w:tmpl w:val="1438F054"/>
    <w:lvl w:ilvl="0">
      <w:start w:val="1"/>
      <w:numFmt w:val="lowerLetter"/>
      <w:lvlText w:val="%1)"/>
      <w:legacy w:legacy="1" w:legacySpace="0" w:legacyIndent="283"/>
      <w:lvlJc w:val="left"/>
      <w:pPr>
        <w:ind w:left="283" w:hanging="283"/>
      </w:pPr>
    </w:lvl>
  </w:abstractNum>
  <w:abstractNum w:abstractNumId="13">
    <w:nsid w:val="0DAC2794"/>
    <w:multiLevelType w:val="singleLevel"/>
    <w:tmpl w:val="756EA118"/>
    <w:lvl w:ilvl="0">
      <w:start w:val="1"/>
      <w:numFmt w:val="lowerLetter"/>
      <w:lvlText w:val="%1)"/>
      <w:legacy w:legacy="1" w:legacySpace="0" w:legacyIndent="283"/>
      <w:lvlJc w:val="left"/>
      <w:pPr>
        <w:ind w:left="283" w:hanging="283"/>
      </w:pPr>
      <w:rPr>
        <w:rFonts w:cs="Times New Roman"/>
      </w:rPr>
    </w:lvl>
  </w:abstractNum>
  <w:abstractNum w:abstractNumId="14">
    <w:nsid w:val="0E8C3699"/>
    <w:multiLevelType w:val="singleLevel"/>
    <w:tmpl w:val="7974F0A0"/>
    <w:lvl w:ilvl="0">
      <w:start w:val="1"/>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5">
    <w:nsid w:val="0EBB6176"/>
    <w:multiLevelType w:val="singleLevel"/>
    <w:tmpl w:val="756EA118"/>
    <w:lvl w:ilvl="0">
      <w:start w:val="1"/>
      <w:numFmt w:val="lowerLetter"/>
      <w:lvlText w:val="%1)"/>
      <w:legacy w:legacy="1" w:legacySpace="0" w:legacyIndent="283"/>
      <w:lvlJc w:val="left"/>
      <w:pPr>
        <w:ind w:left="283" w:hanging="283"/>
      </w:pPr>
      <w:rPr>
        <w:rFonts w:cs="Times New Roman"/>
      </w:rPr>
    </w:lvl>
  </w:abstractNum>
  <w:abstractNum w:abstractNumId="16">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17">
    <w:nsid w:val="0F097C8E"/>
    <w:multiLevelType w:val="singleLevel"/>
    <w:tmpl w:val="E91A2754"/>
    <w:lvl w:ilvl="0">
      <w:start w:val="1"/>
      <w:numFmt w:val="lowerLetter"/>
      <w:lvlText w:val="%1)"/>
      <w:legacy w:legacy="1" w:legacySpace="0" w:legacyIndent="283"/>
      <w:lvlJc w:val="left"/>
      <w:pPr>
        <w:ind w:left="283" w:hanging="283"/>
      </w:pPr>
    </w:lvl>
  </w:abstractNum>
  <w:abstractNum w:abstractNumId="18">
    <w:nsid w:val="0F1D754C"/>
    <w:multiLevelType w:val="singleLevel"/>
    <w:tmpl w:val="8B42EEBA"/>
    <w:lvl w:ilvl="0">
      <w:start w:val="9"/>
      <w:numFmt w:val="decimal"/>
      <w:lvlText w:val="%1."/>
      <w:legacy w:legacy="1" w:legacySpace="170" w:legacyIndent="227"/>
      <w:lvlJc w:val="right"/>
      <w:pPr>
        <w:ind w:left="227" w:hanging="227"/>
      </w:pPr>
    </w:lvl>
  </w:abstractNum>
  <w:abstractNum w:abstractNumId="19">
    <w:nsid w:val="0F3A639B"/>
    <w:multiLevelType w:val="singleLevel"/>
    <w:tmpl w:val="E294E9A6"/>
    <w:lvl w:ilvl="0">
      <w:start w:val="1"/>
      <w:numFmt w:val="decimal"/>
      <w:lvlText w:val="%1."/>
      <w:legacy w:legacy="1" w:legacySpace="0" w:legacyIndent="283"/>
      <w:lvlJc w:val="left"/>
      <w:pPr>
        <w:ind w:left="283" w:hanging="283"/>
      </w:pPr>
    </w:lvl>
  </w:abstractNum>
  <w:abstractNum w:abstractNumId="20">
    <w:nsid w:val="0FE2142A"/>
    <w:multiLevelType w:val="singleLevel"/>
    <w:tmpl w:val="A398A4CA"/>
    <w:lvl w:ilvl="0">
      <w:start w:val="17"/>
      <w:numFmt w:val="decimal"/>
      <w:lvlText w:val="%1."/>
      <w:legacy w:legacy="1" w:legacySpace="0" w:legacyIndent="283"/>
      <w:lvlJc w:val="left"/>
      <w:pPr>
        <w:ind w:left="425" w:hanging="283"/>
      </w:pPr>
    </w:lvl>
  </w:abstractNum>
  <w:abstractNum w:abstractNumId="21">
    <w:nsid w:val="114946D8"/>
    <w:multiLevelType w:val="singleLevel"/>
    <w:tmpl w:val="E91A2754"/>
    <w:lvl w:ilvl="0">
      <w:start w:val="1"/>
      <w:numFmt w:val="lowerLetter"/>
      <w:lvlText w:val="%1)"/>
      <w:legacy w:legacy="1" w:legacySpace="0" w:legacyIndent="283"/>
      <w:lvlJc w:val="left"/>
      <w:pPr>
        <w:ind w:left="283" w:hanging="283"/>
      </w:pPr>
    </w:lvl>
  </w:abstractNum>
  <w:abstractNum w:abstractNumId="22">
    <w:nsid w:val="11AD4109"/>
    <w:multiLevelType w:val="singleLevel"/>
    <w:tmpl w:val="61E85F70"/>
    <w:lvl w:ilvl="0">
      <w:start w:val="27"/>
      <w:numFmt w:val="decimal"/>
      <w:lvlText w:val="%1."/>
      <w:legacy w:legacy="1" w:legacySpace="113" w:legacyIndent="454"/>
      <w:lvlJc w:val="left"/>
      <w:pPr>
        <w:ind w:left="454" w:hanging="454"/>
      </w:pPr>
    </w:lvl>
  </w:abstractNum>
  <w:abstractNum w:abstractNumId="23">
    <w:nsid w:val="12C66F7D"/>
    <w:multiLevelType w:val="singleLevel"/>
    <w:tmpl w:val="E0CC6D16"/>
    <w:lvl w:ilvl="0">
      <w:start w:val="1"/>
      <w:numFmt w:val="lowerLetter"/>
      <w:lvlText w:val="%1)"/>
      <w:legacy w:legacy="1" w:legacySpace="0" w:legacyIndent="283"/>
      <w:lvlJc w:val="left"/>
      <w:pPr>
        <w:ind w:left="283" w:hanging="283"/>
      </w:pPr>
    </w:lvl>
  </w:abstractNum>
  <w:abstractNum w:abstractNumId="24">
    <w:nsid w:val="12CC550F"/>
    <w:multiLevelType w:val="singleLevel"/>
    <w:tmpl w:val="BC825F9A"/>
    <w:lvl w:ilvl="0">
      <w:start w:val="5"/>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5">
    <w:nsid w:val="13D461A8"/>
    <w:multiLevelType w:val="singleLevel"/>
    <w:tmpl w:val="90CA0D66"/>
    <w:lvl w:ilvl="0">
      <w:start w:val="2"/>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6">
    <w:nsid w:val="13FD0175"/>
    <w:multiLevelType w:val="singleLevel"/>
    <w:tmpl w:val="1834F7CC"/>
    <w:lvl w:ilvl="0">
      <w:start w:val="1"/>
      <w:numFmt w:val="lowerLetter"/>
      <w:lvlText w:val="%1)"/>
      <w:legacy w:legacy="1" w:legacySpace="0" w:legacyIndent="283"/>
      <w:lvlJc w:val="left"/>
      <w:pPr>
        <w:ind w:left="567" w:hanging="283"/>
      </w:pPr>
    </w:lvl>
  </w:abstractNum>
  <w:abstractNum w:abstractNumId="27">
    <w:nsid w:val="13FE2E1B"/>
    <w:multiLevelType w:val="singleLevel"/>
    <w:tmpl w:val="D7DE019A"/>
    <w:lvl w:ilvl="0">
      <w:start w:val="12"/>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8">
    <w:nsid w:val="14386F61"/>
    <w:multiLevelType w:val="singleLevel"/>
    <w:tmpl w:val="3AE017F0"/>
    <w:lvl w:ilvl="0">
      <w:start w:val="1"/>
      <w:numFmt w:val="lowerLetter"/>
      <w:lvlText w:val="%1)"/>
      <w:legacy w:legacy="1" w:legacySpace="0" w:legacyIndent="283"/>
      <w:lvlJc w:val="left"/>
      <w:pPr>
        <w:ind w:left="283" w:hanging="283"/>
      </w:pPr>
    </w:lvl>
  </w:abstractNum>
  <w:abstractNum w:abstractNumId="29">
    <w:nsid w:val="14F408CD"/>
    <w:multiLevelType w:val="singleLevel"/>
    <w:tmpl w:val="C630C958"/>
    <w:lvl w:ilvl="0">
      <w:start w:val="2"/>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0">
    <w:nsid w:val="15354F82"/>
    <w:multiLevelType w:val="singleLevel"/>
    <w:tmpl w:val="E91A2754"/>
    <w:lvl w:ilvl="0">
      <w:start w:val="1"/>
      <w:numFmt w:val="lowerLetter"/>
      <w:lvlText w:val="%1)"/>
      <w:legacy w:legacy="1" w:legacySpace="0" w:legacyIndent="283"/>
      <w:lvlJc w:val="left"/>
      <w:pPr>
        <w:ind w:left="283" w:hanging="283"/>
      </w:pPr>
    </w:lvl>
  </w:abstractNum>
  <w:abstractNum w:abstractNumId="31">
    <w:nsid w:val="17153F2F"/>
    <w:multiLevelType w:val="hybridMultilevel"/>
    <w:tmpl w:val="37400880"/>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17606019"/>
    <w:multiLevelType w:val="singleLevel"/>
    <w:tmpl w:val="F6641092"/>
    <w:lvl w:ilvl="0">
      <w:start w:val="1"/>
      <w:numFmt w:val="lowerLetter"/>
      <w:lvlText w:val="%1)"/>
      <w:legacy w:legacy="1" w:legacySpace="0" w:legacyIndent="283"/>
      <w:lvlJc w:val="left"/>
      <w:pPr>
        <w:ind w:left="283" w:hanging="283"/>
      </w:pPr>
    </w:lvl>
  </w:abstractNum>
  <w:abstractNum w:abstractNumId="33">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4">
    <w:nsid w:val="1A3A6679"/>
    <w:multiLevelType w:val="singleLevel"/>
    <w:tmpl w:val="121C28B6"/>
    <w:lvl w:ilvl="0">
      <w:start w:val="1"/>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5">
    <w:nsid w:val="1A8769A9"/>
    <w:multiLevelType w:val="singleLevel"/>
    <w:tmpl w:val="AF7CB93A"/>
    <w:lvl w:ilvl="0">
      <w:start w:val="3"/>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36">
    <w:nsid w:val="1B4136AB"/>
    <w:multiLevelType w:val="singleLevel"/>
    <w:tmpl w:val="12FCC392"/>
    <w:lvl w:ilvl="0">
      <w:start w:val="1"/>
      <w:numFmt w:val="lowerLetter"/>
      <w:lvlText w:val="%1)"/>
      <w:legacy w:legacy="1" w:legacySpace="0" w:legacyIndent="283"/>
      <w:lvlJc w:val="left"/>
      <w:pPr>
        <w:ind w:left="283" w:hanging="283"/>
      </w:pPr>
      <w:rPr>
        <w:rFonts w:cs="Times New Roman"/>
      </w:rPr>
    </w:lvl>
  </w:abstractNum>
  <w:abstractNum w:abstractNumId="37">
    <w:nsid w:val="1C9E1275"/>
    <w:multiLevelType w:val="singleLevel"/>
    <w:tmpl w:val="1438F054"/>
    <w:lvl w:ilvl="0">
      <w:start w:val="1"/>
      <w:numFmt w:val="lowerLetter"/>
      <w:lvlText w:val="%1)"/>
      <w:legacy w:legacy="1" w:legacySpace="0" w:legacyIndent="283"/>
      <w:lvlJc w:val="left"/>
      <w:pPr>
        <w:ind w:left="283" w:hanging="283"/>
      </w:pPr>
    </w:lvl>
  </w:abstractNum>
  <w:abstractNum w:abstractNumId="38">
    <w:nsid w:val="1D1F699F"/>
    <w:multiLevelType w:val="hybridMultilevel"/>
    <w:tmpl w:val="B880971A"/>
    <w:lvl w:ilvl="0" w:tplc="376E012C">
      <w:start w:val="1"/>
      <w:numFmt w:val="decimal"/>
      <w:lvlText w:val="%1"/>
      <w:legacy w:legacy="1" w:legacySpace="120" w:legacyIndent="360"/>
      <w:lvlJc w:val="left"/>
      <w:rPr>
        <w:rFonts w:cs="Times New Roman"/>
      </w:rPr>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1DD239F4"/>
    <w:multiLevelType w:val="singleLevel"/>
    <w:tmpl w:val="EA9268FC"/>
    <w:lvl w:ilvl="0">
      <w:start w:val="1"/>
      <w:numFmt w:val="lowerLetter"/>
      <w:lvlText w:val="%1)"/>
      <w:legacy w:legacy="1" w:legacySpace="0" w:legacyIndent="283"/>
      <w:lvlJc w:val="left"/>
      <w:pPr>
        <w:ind w:left="283" w:hanging="283"/>
      </w:pPr>
    </w:lvl>
  </w:abstractNum>
  <w:abstractNum w:abstractNumId="40">
    <w:nsid w:val="1E241001"/>
    <w:multiLevelType w:val="hybridMultilevel"/>
    <w:tmpl w:val="2B907B0A"/>
    <w:lvl w:ilvl="0" w:tplc="CEF2BF70">
      <w:start w:val="1"/>
      <w:numFmt w:val="decimal"/>
      <w:lvlText w:val="%1."/>
      <w:lvlJc w:val="left"/>
      <w:pPr>
        <w:ind w:left="2835" w:hanging="247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E5559FD"/>
    <w:multiLevelType w:val="singleLevel"/>
    <w:tmpl w:val="0F8CEEEE"/>
    <w:lvl w:ilvl="0">
      <w:start w:val="3"/>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2">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1F7F11BA"/>
    <w:multiLevelType w:val="singleLevel"/>
    <w:tmpl w:val="63566DB4"/>
    <w:lvl w:ilvl="0">
      <w:start w:val="2"/>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4">
    <w:nsid w:val="1F9D0753"/>
    <w:multiLevelType w:val="hybridMultilevel"/>
    <w:tmpl w:val="4FB2C368"/>
    <w:lvl w:ilvl="0" w:tplc="D410FAD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0713C92"/>
    <w:multiLevelType w:val="singleLevel"/>
    <w:tmpl w:val="1438F054"/>
    <w:lvl w:ilvl="0">
      <w:start w:val="1"/>
      <w:numFmt w:val="lowerLetter"/>
      <w:lvlText w:val="%1)"/>
      <w:legacy w:legacy="1" w:legacySpace="0" w:legacyIndent="283"/>
      <w:lvlJc w:val="left"/>
      <w:pPr>
        <w:ind w:left="283" w:hanging="283"/>
      </w:pPr>
    </w:lvl>
  </w:abstractNum>
  <w:abstractNum w:abstractNumId="46">
    <w:nsid w:val="209664F2"/>
    <w:multiLevelType w:val="singleLevel"/>
    <w:tmpl w:val="C5B65A50"/>
    <w:lvl w:ilvl="0">
      <w:start w:val="4"/>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7">
    <w:nsid w:val="21CA0284"/>
    <w:multiLevelType w:val="singleLevel"/>
    <w:tmpl w:val="1ECE4F26"/>
    <w:lvl w:ilvl="0">
      <w:start w:val="1"/>
      <w:numFmt w:val="lowerLetter"/>
      <w:lvlText w:val="(%1)"/>
      <w:legacy w:legacy="1" w:legacySpace="0" w:legacyIndent="283"/>
      <w:lvlJc w:val="left"/>
      <w:pPr>
        <w:ind w:left="283" w:hanging="283"/>
      </w:pPr>
    </w:lvl>
  </w:abstractNum>
  <w:abstractNum w:abstractNumId="48">
    <w:nsid w:val="22246730"/>
    <w:multiLevelType w:val="singleLevel"/>
    <w:tmpl w:val="BE869B6E"/>
    <w:lvl w:ilvl="0">
      <w:start w:val="1"/>
      <w:numFmt w:val="lowerLetter"/>
      <w:lvlText w:val="%1)"/>
      <w:legacy w:legacy="1" w:legacySpace="0" w:legacyIndent="283"/>
      <w:lvlJc w:val="left"/>
      <w:pPr>
        <w:ind w:left="283" w:hanging="283"/>
      </w:pPr>
    </w:lvl>
  </w:abstractNum>
  <w:abstractNum w:abstractNumId="49">
    <w:nsid w:val="225F4CCA"/>
    <w:multiLevelType w:val="multilevel"/>
    <w:tmpl w:val="EB3E2AFA"/>
    <w:lvl w:ilvl="0">
      <w:start w:val="1"/>
      <w:numFmt w:val="decimal"/>
      <w:lvlText w:val="%1"/>
      <w:lvlJc w:val="left"/>
      <w:pPr>
        <w:ind w:left="640" w:hanging="540"/>
        <w:jc w:val="left"/>
      </w:pPr>
      <w:rPr>
        <w:rFonts w:hint="default"/>
      </w:rPr>
    </w:lvl>
    <w:lvl w:ilvl="1">
      <w:start w:val="4"/>
      <w:numFmt w:val="decimal"/>
      <w:lvlText w:val="%1.%2"/>
      <w:lvlJc w:val="left"/>
      <w:pPr>
        <w:ind w:left="640" w:hanging="540"/>
        <w:jc w:val="left"/>
      </w:pPr>
      <w:rPr>
        <w:rFonts w:hint="default"/>
      </w:rPr>
    </w:lvl>
    <w:lvl w:ilvl="2">
      <w:start w:val="1"/>
      <w:numFmt w:val="decimal"/>
      <w:lvlText w:val="%1.%2.%3."/>
      <w:lvlJc w:val="left"/>
      <w:pPr>
        <w:ind w:left="640" w:hanging="540"/>
        <w:jc w:val="left"/>
      </w:pPr>
      <w:rPr>
        <w:rFonts w:ascii="Times New Roman" w:eastAsia="Times New Roman" w:hAnsi="Times New Roman" w:hint="default"/>
        <w:b/>
        <w:bCs/>
        <w:sz w:val="24"/>
        <w:szCs w:val="24"/>
      </w:rPr>
    </w:lvl>
    <w:lvl w:ilvl="3">
      <w:start w:val="1"/>
      <w:numFmt w:val="bullet"/>
      <w:lvlText w:val="•"/>
      <w:lvlJc w:val="left"/>
      <w:pPr>
        <w:ind w:left="3232" w:hanging="540"/>
      </w:pPr>
      <w:rPr>
        <w:rFonts w:hint="default"/>
      </w:rPr>
    </w:lvl>
    <w:lvl w:ilvl="4">
      <w:start w:val="1"/>
      <w:numFmt w:val="bullet"/>
      <w:lvlText w:val="•"/>
      <w:lvlJc w:val="left"/>
      <w:pPr>
        <w:ind w:left="4096" w:hanging="540"/>
      </w:pPr>
      <w:rPr>
        <w:rFonts w:hint="default"/>
      </w:rPr>
    </w:lvl>
    <w:lvl w:ilvl="5">
      <w:start w:val="1"/>
      <w:numFmt w:val="bullet"/>
      <w:lvlText w:val="•"/>
      <w:lvlJc w:val="left"/>
      <w:pPr>
        <w:ind w:left="4960" w:hanging="540"/>
      </w:pPr>
      <w:rPr>
        <w:rFonts w:hint="default"/>
      </w:rPr>
    </w:lvl>
    <w:lvl w:ilvl="6">
      <w:start w:val="1"/>
      <w:numFmt w:val="bullet"/>
      <w:lvlText w:val="•"/>
      <w:lvlJc w:val="left"/>
      <w:pPr>
        <w:ind w:left="5824" w:hanging="540"/>
      </w:pPr>
      <w:rPr>
        <w:rFonts w:hint="default"/>
      </w:rPr>
    </w:lvl>
    <w:lvl w:ilvl="7">
      <w:start w:val="1"/>
      <w:numFmt w:val="bullet"/>
      <w:lvlText w:val="•"/>
      <w:lvlJc w:val="left"/>
      <w:pPr>
        <w:ind w:left="6688" w:hanging="540"/>
      </w:pPr>
      <w:rPr>
        <w:rFonts w:hint="default"/>
      </w:rPr>
    </w:lvl>
    <w:lvl w:ilvl="8">
      <w:start w:val="1"/>
      <w:numFmt w:val="bullet"/>
      <w:lvlText w:val="•"/>
      <w:lvlJc w:val="left"/>
      <w:pPr>
        <w:ind w:left="7552" w:hanging="540"/>
      </w:pPr>
      <w:rPr>
        <w:rFonts w:hint="default"/>
      </w:rPr>
    </w:lvl>
  </w:abstractNum>
  <w:abstractNum w:abstractNumId="50">
    <w:nsid w:val="22CC1584"/>
    <w:multiLevelType w:val="singleLevel"/>
    <w:tmpl w:val="2438D09C"/>
    <w:lvl w:ilvl="0">
      <w:start w:val="6"/>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1">
    <w:nsid w:val="2310457D"/>
    <w:multiLevelType w:val="singleLevel"/>
    <w:tmpl w:val="62048D2C"/>
    <w:lvl w:ilvl="0">
      <w:start w:val="4"/>
      <w:numFmt w:val="decimal"/>
      <w:lvlText w:val="1.%1. "/>
      <w:lvlJc w:val="left"/>
      <w:pPr>
        <w:ind w:left="283" w:hanging="283"/>
      </w:pPr>
      <w:rPr>
        <w:rFonts w:ascii="Arial" w:hAnsi="Arial" w:cs="Arial" w:hint="default"/>
        <w:b/>
        <w:i w:val="0"/>
        <w:sz w:val="20"/>
        <w:szCs w:val="18"/>
        <w:u w:val="none"/>
      </w:rPr>
    </w:lvl>
  </w:abstractNum>
  <w:abstractNum w:abstractNumId="52">
    <w:nsid w:val="247C571E"/>
    <w:multiLevelType w:val="singleLevel"/>
    <w:tmpl w:val="B9D47880"/>
    <w:lvl w:ilvl="0">
      <w:start w:val="5"/>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3">
    <w:nsid w:val="24AA56F4"/>
    <w:multiLevelType w:val="singleLevel"/>
    <w:tmpl w:val="4814AE4C"/>
    <w:lvl w:ilvl="0">
      <w:start w:val="1"/>
      <w:numFmt w:val="decimal"/>
      <w:lvlText w:val="5.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4">
    <w:nsid w:val="25BB25EE"/>
    <w:multiLevelType w:val="singleLevel"/>
    <w:tmpl w:val="093CA65A"/>
    <w:lvl w:ilvl="0">
      <w:start w:val="1"/>
      <w:numFmt w:val="lowerLetter"/>
      <w:lvlText w:val="%1)"/>
      <w:legacy w:legacy="1" w:legacySpace="0" w:legacyIndent="283"/>
      <w:lvlJc w:val="left"/>
      <w:pPr>
        <w:ind w:left="283" w:hanging="283"/>
      </w:pPr>
    </w:lvl>
  </w:abstractNum>
  <w:abstractNum w:abstractNumId="55">
    <w:nsid w:val="25C83354"/>
    <w:multiLevelType w:val="singleLevel"/>
    <w:tmpl w:val="1834F7CC"/>
    <w:lvl w:ilvl="0">
      <w:start w:val="1"/>
      <w:numFmt w:val="lowerLetter"/>
      <w:lvlText w:val="%1)"/>
      <w:legacy w:legacy="1" w:legacySpace="0" w:legacyIndent="283"/>
      <w:lvlJc w:val="left"/>
      <w:pPr>
        <w:ind w:left="283" w:hanging="283"/>
      </w:pPr>
    </w:lvl>
  </w:abstractNum>
  <w:abstractNum w:abstractNumId="56">
    <w:nsid w:val="262F00D4"/>
    <w:multiLevelType w:val="singleLevel"/>
    <w:tmpl w:val="F350C410"/>
    <w:lvl w:ilvl="0">
      <w:start w:val="1"/>
      <w:numFmt w:val="decimal"/>
      <w:lvlText w:val="%1)"/>
      <w:legacy w:legacy="1" w:legacySpace="0" w:legacyIndent="283"/>
      <w:lvlJc w:val="left"/>
      <w:pPr>
        <w:ind w:left="283" w:hanging="283"/>
      </w:pPr>
    </w:lvl>
  </w:abstractNum>
  <w:abstractNum w:abstractNumId="57">
    <w:nsid w:val="265375BD"/>
    <w:multiLevelType w:val="singleLevel"/>
    <w:tmpl w:val="6F160ED8"/>
    <w:lvl w:ilvl="0">
      <w:start w:val="5"/>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8">
    <w:nsid w:val="26967F3C"/>
    <w:multiLevelType w:val="singleLevel"/>
    <w:tmpl w:val="1ECE4F26"/>
    <w:lvl w:ilvl="0">
      <w:start w:val="1"/>
      <w:numFmt w:val="lowerLetter"/>
      <w:lvlText w:val="(%1)"/>
      <w:legacy w:legacy="1" w:legacySpace="0" w:legacyIndent="283"/>
      <w:lvlJc w:val="left"/>
      <w:pPr>
        <w:ind w:left="283" w:hanging="283"/>
      </w:pPr>
    </w:lvl>
  </w:abstractNum>
  <w:abstractNum w:abstractNumId="59">
    <w:nsid w:val="280C052F"/>
    <w:multiLevelType w:val="singleLevel"/>
    <w:tmpl w:val="19761BF2"/>
    <w:lvl w:ilvl="0">
      <w:start w:val="1"/>
      <w:numFmt w:val="decimal"/>
      <w:lvlText w:val="5.7.%1. "/>
      <w:legacy w:legacy="1" w:legacySpace="0" w:legacyIndent="283"/>
      <w:lvlJc w:val="left"/>
      <w:pPr>
        <w:ind w:left="283" w:hanging="283"/>
      </w:pPr>
      <w:rPr>
        <w:b/>
        <w:i w:val="0"/>
        <w:sz w:val="20"/>
      </w:rPr>
    </w:lvl>
  </w:abstractNum>
  <w:abstractNum w:abstractNumId="60">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61">
    <w:nsid w:val="2A1F3272"/>
    <w:multiLevelType w:val="singleLevel"/>
    <w:tmpl w:val="F01E66CE"/>
    <w:lvl w:ilvl="0">
      <w:start w:val="2"/>
      <w:numFmt w:val="decimal"/>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2">
    <w:nsid w:val="2BC8564A"/>
    <w:multiLevelType w:val="singleLevel"/>
    <w:tmpl w:val="4E8E060E"/>
    <w:lvl w:ilvl="0">
      <w:start w:val="5"/>
      <w:numFmt w:val="decimal"/>
      <w:lvlText w:val="5.4.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3">
    <w:nsid w:val="2C1B4A81"/>
    <w:multiLevelType w:val="singleLevel"/>
    <w:tmpl w:val="756EA118"/>
    <w:lvl w:ilvl="0">
      <w:start w:val="1"/>
      <w:numFmt w:val="lowerLetter"/>
      <w:lvlText w:val="%1)"/>
      <w:legacy w:legacy="1" w:legacySpace="0" w:legacyIndent="283"/>
      <w:lvlJc w:val="left"/>
      <w:pPr>
        <w:ind w:left="283" w:hanging="283"/>
      </w:pPr>
      <w:rPr>
        <w:rFonts w:cs="Times New Roman"/>
      </w:rPr>
    </w:lvl>
  </w:abstractNum>
  <w:abstractNum w:abstractNumId="64">
    <w:nsid w:val="2C9F0558"/>
    <w:multiLevelType w:val="singleLevel"/>
    <w:tmpl w:val="6FFA315A"/>
    <w:lvl w:ilvl="0">
      <w:start w:val="2"/>
      <w:numFmt w:val="decimal"/>
      <w:lvlText w:val="5.3.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5">
    <w:nsid w:val="2CB023A7"/>
    <w:multiLevelType w:val="singleLevel"/>
    <w:tmpl w:val="E716B9D8"/>
    <w:lvl w:ilvl="0">
      <w:start w:val="1"/>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6">
    <w:nsid w:val="2CFC6C2C"/>
    <w:multiLevelType w:val="singleLevel"/>
    <w:tmpl w:val="21ECD0C6"/>
    <w:lvl w:ilvl="0">
      <w:start w:val="1"/>
      <w:numFmt w:val="decimal"/>
      <w:lvlText w:val="%1)"/>
      <w:legacy w:legacy="1" w:legacySpace="0" w:legacyIndent="283"/>
      <w:lvlJc w:val="left"/>
      <w:pPr>
        <w:ind w:left="283" w:hanging="283"/>
      </w:pPr>
    </w:lvl>
  </w:abstractNum>
  <w:abstractNum w:abstractNumId="67">
    <w:nsid w:val="2D32068C"/>
    <w:multiLevelType w:val="hybridMultilevel"/>
    <w:tmpl w:val="C67061AA"/>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2D764588"/>
    <w:multiLevelType w:val="multilevel"/>
    <w:tmpl w:val="BDA8583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9">
    <w:nsid w:val="2E3D12A2"/>
    <w:multiLevelType w:val="singleLevel"/>
    <w:tmpl w:val="EBB05C20"/>
    <w:lvl w:ilvl="0">
      <w:start w:val="9"/>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70">
    <w:nsid w:val="2E4E1C6B"/>
    <w:multiLevelType w:val="hybridMultilevel"/>
    <w:tmpl w:val="2B12D7F4"/>
    <w:lvl w:ilvl="0" w:tplc="D904127C">
      <w:start w:val="1"/>
      <w:numFmt w:val="bullet"/>
      <w:lvlText w:val=""/>
      <w:lvlJc w:val="right"/>
      <w:pPr>
        <w:ind w:left="786" w:hanging="360"/>
      </w:pPr>
      <w:rPr>
        <w:rFonts w:ascii="Symbol" w:hAnsi="Symbo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nsid w:val="2F190A48"/>
    <w:multiLevelType w:val="singleLevel"/>
    <w:tmpl w:val="43102DDE"/>
    <w:lvl w:ilvl="0">
      <w:start w:val="7"/>
      <w:numFmt w:val="decimal"/>
      <w:lvlText w:val="%1."/>
      <w:lvlJc w:val="right"/>
      <w:pPr>
        <w:tabs>
          <w:tab w:val="num" w:pos="0"/>
        </w:tabs>
        <w:ind w:left="360" w:hanging="72"/>
      </w:pPr>
      <w:rPr>
        <w:rFonts w:cs="Times New Roman" w:hint="default"/>
      </w:rPr>
    </w:lvl>
  </w:abstractNum>
  <w:abstractNum w:abstractNumId="72">
    <w:nsid w:val="2F8D63C3"/>
    <w:multiLevelType w:val="singleLevel"/>
    <w:tmpl w:val="E3FCDAC0"/>
    <w:lvl w:ilvl="0">
      <w:start w:val="1"/>
      <w:numFmt w:val="decimal"/>
      <w:lvlText w:val="5.3.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73">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74">
    <w:nsid w:val="303E7015"/>
    <w:multiLevelType w:val="singleLevel"/>
    <w:tmpl w:val="304E983C"/>
    <w:lvl w:ilvl="0">
      <w:start w:val="3"/>
      <w:numFmt w:val="decimal"/>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75">
    <w:nsid w:val="30753417"/>
    <w:multiLevelType w:val="singleLevel"/>
    <w:tmpl w:val="30349BB6"/>
    <w:lvl w:ilvl="0">
      <w:start w:val="1"/>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76">
    <w:nsid w:val="30D22B54"/>
    <w:multiLevelType w:val="singleLevel"/>
    <w:tmpl w:val="F6641092"/>
    <w:lvl w:ilvl="0">
      <w:start w:val="1"/>
      <w:numFmt w:val="lowerLetter"/>
      <w:lvlText w:val="%1)"/>
      <w:legacy w:legacy="1" w:legacySpace="0" w:legacyIndent="283"/>
      <w:lvlJc w:val="left"/>
      <w:pPr>
        <w:ind w:left="283" w:hanging="283"/>
      </w:pPr>
    </w:lvl>
  </w:abstractNum>
  <w:abstractNum w:abstractNumId="77">
    <w:nsid w:val="323137AF"/>
    <w:multiLevelType w:val="singleLevel"/>
    <w:tmpl w:val="1438F054"/>
    <w:lvl w:ilvl="0">
      <w:start w:val="1"/>
      <w:numFmt w:val="lowerLetter"/>
      <w:lvlText w:val="%1)"/>
      <w:legacy w:legacy="1" w:legacySpace="0" w:legacyIndent="283"/>
      <w:lvlJc w:val="left"/>
      <w:pPr>
        <w:ind w:left="283" w:hanging="283"/>
      </w:pPr>
    </w:lvl>
  </w:abstractNum>
  <w:abstractNum w:abstractNumId="78">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79">
    <w:nsid w:val="344D3333"/>
    <w:multiLevelType w:val="singleLevel"/>
    <w:tmpl w:val="C9D8E09E"/>
    <w:lvl w:ilvl="0">
      <w:start w:val="6"/>
      <w:numFmt w:val="decimal"/>
      <w:lvlText w:val="5.3.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80">
    <w:nsid w:val="346002BA"/>
    <w:multiLevelType w:val="singleLevel"/>
    <w:tmpl w:val="F6641092"/>
    <w:lvl w:ilvl="0">
      <w:start w:val="1"/>
      <w:numFmt w:val="lowerLetter"/>
      <w:lvlText w:val="%1)"/>
      <w:legacy w:legacy="1" w:legacySpace="0" w:legacyIndent="283"/>
      <w:lvlJc w:val="left"/>
      <w:pPr>
        <w:ind w:left="283" w:hanging="283"/>
      </w:pPr>
    </w:lvl>
  </w:abstractNum>
  <w:abstractNum w:abstractNumId="81">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82">
    <w:nsid w:val="352334CF"/>
    <w:multiLevelType w:val="singleLevel"/>
    <w:tmpl w:val="376E012C"/>
    <w:lvl w:ilvl="0">
      <w:start w:val="1"/>
      <w:numFmt w:val="decimal"/>
      <w:lvlText w:val="%1"/>
      <w:legacy w:legacy="1" w:legacySpace="120" w:legacyIndent="360"/>
      <w:lvlJc w:val="left"/>
      <w:rPr>
        <w:rFonts w:cs="Times New Roman"/>
      </w:rPr>
    </w:lvl>
  </w:abstractNum>
  <w:abstractNum w:abstractNumId="83">
    <w:nsid w:val="352641B1"/>
    <w:multiLevelType w:val="singleLevel"/>
    <w:tmpl w:val="1834F7CC"/>
    <w:lvl w:ilvl="0">
      <w:start w:val="1"/>
      <w:numFmt w:val="lowerLetter"/>
      <w:lvlText w:val="%1)"/>
      <w:legacy w:legacy="1" w:legacySpace="0" w:legacyIndent="283"/>
      <w:lvlJc w:val="left"/>
      <w:pPr>
        <w:ind w:left="283" w:hanging="283"/>
      </w:pPr>
    </w:lvl>
  </w:abstractNum>
  <w:abstractNum w:abstractNumId="84">
    <w:nsid w:val="359853DF"/>
    <w:multiLevelType w:val="singleLevel"/>
    <w:tmpl w:val="C172B1C4"/>
    <w:lvl w:ilvl="0">
      <w:start w:val="53"/>
      <w:numFmt w:val="decimal"/>
      <w:lvlText w:val="%1."/>
      <w:legacy w:legacy="1" w:legacySpace="0" w:legacyIndent="283"/>
      <w:lvlJc w:val="left"/>
      <w:pPr>
        <w:ind w:left="396" w:hanging="283"/>
      </w:pPr>
    </w:lvl>
  </w:abstractNum>
  <w:abstractNum w:abstractNumId="85">
    <w:nsid w:val="369A6A21"/>
    <w:multiLevelType w:val="singleLevel"/>
    <w:tmpl w:val="7376D988"/>
    <w:lvl w:ilvl="0">
      <w:start w:val="1"/>
      <w:numFmt w:val="decimal"/>
      <w:lvlText w:val="5.3.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86">
    <w:nsid w:val="37591049"/>
    <w:multiLevelType w:val="hybridMultilevel"/>
    <w:tmpl w:val="5742DA90"/>
    <w:lvl w:ilvl="0" w:tplc="881E580A">
      <w:start w:val="64"/>
      <w:numFmt w:val="decimal"/>
      <w:lvlText w:val="%1."/>
      <w:lvlJc w:val="left"/>
      <w:pPr>
        <w:tabs>
          <w:tab w:val="num" w:pos="397"/>
        </w:tabs>
        <w:ind w:left="397" w:hanging="397"/>
      </w:pPr>
      <w:rPr>
        <w:rFonts w:ascii="Verdana" w:hAnsi="Verdana"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376F519A"/>
    <w:multiLevelType w:val="singleLevel"/>
    <w:tmpl w:val="7D7679E0"/>
    <w:lvl w:ilvl="0">
      <w:start w:val="2"/>
      <w:numFmt w:val="decimal"/>
      <w:lvlText w:val="5.7.%1. "/>
      <w:legacy w:legacy="1" w:legacySpace="0" w:legacyIndent="283"/>
      <w:lvlJc w:val="left"/>
      <w:pPr>
        <w:ind w:left="283" w:hanging="283"/>
      </w:pPr>
      <w:rPr>
        <w:b/>
        <w:i w:val="0"/>
        <w:sz w:val="20"/>
      </w:rPr>
    </w:lvl>
  </w:abstractNum>
  <w:abstractNum w:abstractNumId="88">
    <w:nsid w:val="37B30F49"/>
    <w:multiLevelType w:val="singleLevel"/>
    <w:tmpl w:val="0980ECB0"/>
    <w:lvl w:ilvl="0">
      <w:start w:val="3"/>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9">
    <w:nsid w:val="38474951"/>
    <w:multiLevelType w:val="singleLevel"/>
    <w:tmpl w:val="E0CC6D16"/>
    <w:lvl w:ilvl="0">
      <w:start w:val="1"/>
      <w:numFmt w:val="lowerLetter"/>
      <w:lvlText w:val="%1)"/>
      <w:legacy w:legacy="1" w:legacySpace="0" w:legacyIndent="283"/>
      <w:lvlJc w:val="left"/>
      <w:pPr>
        <w:ind w:left="283" w:hanging="283"/>
      </w:pPr>
    </w:lvl>
  </w:abstractNum>
  <w:abstractNum w:abstractNumId="9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nsid w:val="390825CB"/>
    <w:multiLevelType w:val="singleLevel"/>
    <w:tmpl w:val="4F468F82"/>
    <w:lvl w:ilvl="0">
      <w:start w:val="9"/>
      <w:numFmt w:val="decimal"/>
      <w:lvlText w:val="4.2.%1. "/>
      <w:legacy w:legacy="1" w:legacySpace="0" w:legacyIndent="283"/>
      <w:lvlJc w:val="left"/>
      <w:pPr>
        <w:ind w:left="283" w:hanging="283"/>
      </w:pPr>
      <w:rPr>
        <w:rFonts w:cs="Times New Roman"/>
        <w:b/>
        <w:i w:val="0"/>
        <w:sz w:val="20"/>
      </w:rPr>
    </w:lvl>
  </w:abstractNum>
  <w:abstractNum w:abstractNumId="92">
    <w:nsid w:val="39A9559F"/>
    <w:multiLevelType w:val="singleLevel"/>
    <w:tmpl w:val="16949D7A"/>
    <w:lvl w:ilvl="0">
      <w:start w:val="3"/>
      <w:numFmt w:val="decimal"/>
      <w:lvlText w:val="5.4.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93">
    <w:nsid w:val="3A4A7909"/>
    <w:multiLevelType w:val="singleLevel"/>
    <w:tmpl w:val="1438F054"/>
    <w:lvl w:ilvl="0">
      <w:start w:val="1"/>
      <w:numFmt w:val="lowerLetter"/>
      <w:lvlText w:val="%1)"/>
      <w:legacy w:legacy="1" w:legacySpace="0" w:legacyIndent="283"/>
      <w:lvlJc w:val="left"/>
      <w:pPr>
        <w:ind w:left="283" w:hanging="283"/>
      </w:pPr>
    </w:lvl>
  </w:abstractNum>
  <w:abstractNum w:abstractNumId="94">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nsid w:val="3AC544A9"/>
    <w:multiLevelType w:val="singleLevel"/>
    <w:tmpl w:val="1438F054"/>
    <w:lvl w:ilvl="0">
      <w:start w:val="1"/>
      <w:numFmt w:val="lowerLetter"/>
      <w:lvlText w:val="%1)"/>
      <w:legacy w:legacy="1" w:legacySpace="0" w:legacyIndent="283"/>
      <w:lvlJc w:val="left"/>
      <w:pPr>
        <w:ind w:left="283" w:hanging="283"/>
      </w:pPr>
    </w:lvl>
  </w:abstractNum>
  <w:abstractNum w:abstractNumId="96">
    <w:nsid w:val="3D1209D0"/>
    <w:multiLevelType w:val="singleLevel"/>
    <w:tmpl w:val="5F5CC50C"/>
    <w:lvl w:ilvl="0">
      <w:start w:val="14"/>
      <w:numFmt w:val="decimal"/>
      <w:lvlText w:val="%1."/>
      <w:legacy w:legacy="1" w:legacySpace="0" w:legacyIndent="283"/>
      <w:lvlJc w:val="left"/>
      <w:pPr>
        <w:ind w:left="283" w:hanging="283"/>
      </w:pPr>
      <w:rPr>
        <w:rFonts w:cs="Times New Roman"/>
      </w:rPr>
    </w:lvl>
  </w:abstractNum>
  <w:abstractNum w:abstractNumId="97">
    <w:nsid w:val="3EBB56D8"/>
    <w:multiLevelType w:val="singleLevel"/>
    <w:tmpl w:val="1834F7CC"/>
    <w:lvl w:ilvl="0">
      <w:start w:val="1"/>
      <w:numFmt w:val="lowerLetter"/>
      <w:lvlText w:val="%1)"/>
      <w:legacy w:legacy="1" w:legacySpace="0" w:legacyIndent="283"/>
      <w:lvlJc w:val="left"/>
      <w:pPr>
        <w:ind w:left="283" w:hanging="283"/>
      </w:pPr>
    </w:lvl>
  </w:abstractNum>
  <w:abstractNum w:abstractNumId="98">
    <w:nsid w:val="41075BD4"/>
    <w:multiLevelType w:val="singleLevel"/>
    <w:tmpl w:val="756EA118"/>
    <w:lvl w:ilvl="0">
      <w:start w:val="1"/>
      <w:numFmt w:val="lowerLetter"/>
      <w:lvlText w:val="%1)"/>
      <w:legacy w:legacy="1" w:legacySpace="0" w:legacyIndent="283"/>
      <w:lvlJc w:val="left"/>
      <w:pPr>
        <w:ind w:left="283" w:hanging="283"/>
      </w:pPr>
      <w:rPr>
        <w:rFonts w:cs="Times New Roman"/>
      </w:rPr>
    </w:lvl>
  </w:abstractNum>
  <w:abstractNum w:abstractNumId="99">
    <w:nsid w:val="410F1BEB"/>
    <w:multiLevelType w:val="hybridMultilevel"/>
    <w:tmpl w:val="67746010"/>
    <w:lvl w:ilvl="0" w:tplc="2E365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103">
    <w:nsid w:val="427673FA"/>
    <w:multiLevelType w:val="singleLevel"/>
    <w:tmpl w:val="13D2C444"/>
    <w:lvl w:ilvl="0">
      <w:start w:val="5"/>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04">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105">
    <w:nsid w:val="430269EF"/>
    <w:multiLevelType w:val="singleLevel"/>
    <w:tmpl w:val="9E4A00DA"/>
    <w:lvl w:ilvl="0">
      <w:start w:val="6"/>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06">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107">
    <w:nsid w:val="438932FA"/>
    <w:multiLevelType w:val="singleLevel"/>
    <w:tmpl w:val="B23E837C"/>
    <w:lvl w:ilvl="0">
      <w:start w:val="3"/>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08">
    <w:nsid w:val="43B37BB3"/>
    <w:multiLevelType w:val="singleLevel"/>
    <w:tmpl w:val="1ECE4F26"/>
    <w:lvl w:ilvl="0">
      <w:start w:val="1"/>
      <w:numFmt w:val="lowerLetter"/>
      <w:lvlText w:val="(%1)"/>
      <w:legacy w:legacy="1" w:legacySpace="0" w:legacyIndent="283"/>
      <w:lvlJc w:val="left"/>
      <w:pPr>
        <w:ind w:left="283" w:hanging="283"/>
      </w:pPr>
    </w:lvl>
  </w:abstractNum>
  <w:abstractNum w:abstractNumId="109">
    <w:nsid w:val="43E87100"/>
    <w:multiLevelType w:val="singleLevel"/>
    <w:tmpl w:val="A63827E2"/>
    <w:lvl w:ilvl="0">
      <w:start w:val="5"/>
      <w:numFmt w:val="decimal"/>
      <w:lvlText w:val="5.3.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10">
    <w:nsid w:val="4425740A"/>
    <w:multiLevelType w:val="singleLevel"/>
    <w:tmpl w:val="D17E4E9A"/>
    <w:lvl w:ilvl="0">
      <w:start w:val="1"/>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11">
    <w:nsid w:val="44314F47"/>
    <w:multiLevelType w:val="singleLevel"/>
    <w:tmpl w:val="183ABA6E"/>
    <w:lvl w:ilvl="0">
      <w:start w:val="10"/>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12">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3">
    <w:nsid w:val="471F27D6"/>
    <w:multiLevelType w:val="hybridMultilevel"/>
    <w:tmpl w:val="061CA582"/>
    <w:lvl w:ilvl="0" w:tplc="7D0A56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47E67A8B"/>
    <w:multiLevelType w:val="singleLevel"/>
    <w:tmpl w:val="D1F073BA"/>
    <w:lvl w:ilvl="0">
      <w:start w:val="11"/>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15">
    <w:nsid w:val="48134AF5"/>
    <w:multiLevelType w:val="singleLevel"/>
    <w:tmpl w:val="1438F054"/>
    <w:lvl w:ilvl="0">
      <w:start w:val="1"/>
      <w:numFmt w:val="lowerLetter"/>
      <w:lvlText w:val="%1)"/>
      <w:legacy w:legacy="1" w:legacySpace="0" w:legacyIndent="283"/>
      <w:lvlJc w:val="left"/>
      <w:pPr>
        <w:ind w:left="283" w:hanging="283"/>
      </w:pPr>
    </w:lvl>
  </w:abstractNum>
  <w:abstractNum w:abstractNumId="116">
    <w:nsid w:val="482C73B1"/>
    <w:multiLevelType w:val="singleLevel"/>
    <w:tmpl w:val="5C46585A"/>
    <w:lvl w:ilvl="0">
      <w:start w:val="7"/>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17">
    <w:nsid w:val="48687B8D"/>
    <w:multiLevelType w:val="singleLevel"/>
    <w:tmpl w:val="31F6FFEC"/>
    <w:lvl w:ilvl="0">
      <w:start w:val="2"/>
      <w:numFmt w:val="decimal"/>
      <w:lvlText w:val="5.1.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18">
    <w:nsid w:val="48E40C1C"/>
    <w:multiLevelType w:val="multilevel"/>
    <w:tmpl w:val="0FFC77BC"/>
    <w:lvl w:ilvl="0">
      <w:start w:val="1"/>
      <w:numFmt w:val="decimal"/>
      <w:lvlText w:val="%1."/>
      <w:lvlJc w:val="left"/>
      <w:pPr>
        <w:ind w:left="619" w:hanging="520"/>
        <w:jc w:val="left"/>
      </w:pPr>
      <w:rPr>
        <w:rFonts w:ascii="Times New Roman" w:eastAsia="Times New Roman" w:hAnsi="Times New Roman" w:hint="default"/>
        <w:b/>
        <w:bCs/>
        <w:sz w:val="26"/>
        <w:szCs w:val="26"/>
      </w:rPr>
    </w:lvl>
    <w:lvl w:ilvl="1">
      <w:start w:val="1"/>
      <w:numFmt w:val="decimal"/>
      <w:lvlText w:val="%1.%2."/>
      <w:lvlJc w:val="left"/>
      <w:pPr>
        <w:ind w:left="520" w:hanging="420"/>
        <w:jc w:val="left"/>
      </w:pPr>
      <w:rPr>
        <w:rFonts w:ascii="Times New Roman" w:eastAsia="Times New Roman" w:hAnsi="Times New Roman" w:hint="default"/>
        <w:b/>
        <w:bCs/>
        <w:sz w:val="24"/>
        <w:szCs w:val="24"/>
      </w:rPr>
    </w:lvl>
    <w:lvl w:ilvl="2">
      <w:start w:val="1"/>
      <w:numFmt w:val="bullet"/>
      <w:lvlText w:val="-"/>
      <w:lvlJc w:val="left"/>
      <w:pPr>
        <w:ind w:left="839" w:hanging="200"/>
      </w:pPr>
      <w:rPr>
        <w:rFonts w:ascii="Times New Roman" w:eastAsia="Times New Roman" w:hAnsi="Times New Roman" w:hint="default"/>
        <w:sz w:val="24"/>
        <w:szCs w:val="24"/>
      </w:rPr>
    </w:lvl>
    <w:lvl w:ilvl="3">
      <w:start w:val="1"/>
      <w:numFmt w:val="bullet"/>
      <w:lvlText w:val="•"/>
      <w:lvlJc w:val="left"/>
      <w:pPr>
        <w:ind w:left="640" w:hanging="200"/>
      </w:pPr>
      <w:rPr>
        <w:rFonts w:hint="default"/>
      </w:rPr>
    </w:lvl>
    <w:lvl w:ilvl="4">
      <w:start w:val="1"/>
      <w:numFmt w:val="bullet"/>
      <w:lvlText w:val="•"/>
      <w:lvlJc w:val="left"/>
      <w:pPr>
        <w:ind w:left="808" w:hanging="200"/>
      </w:pPr>
      <w:rPr>
        <w:rFonts w:hint="default"/>
      </w:rPr>
    </w:lvl>
    <w:lvl w:ilvl="5">
      <w:start w:val="1"/>
      <w:numFmt w:val="bullet"/>
      <w:lvlText w:val="•"/>
      <w:lvlJc w:val="left"/>
      <w:pPr>
        <w:ind w:left="839" w:hanging="200"/>
      </w:pPr>
      <w:rPr>
        <w:rFonts w:hint="default"/>
      </w:rPr>
    </w:lvl>
    <w:lvl w:ilvl="6">
      <w:start w:val="1"/>
      <w:numFmt w:val="bullet"/>
      <w:lvlText w:val="•"/>
      <w:lvlJc w:val="left"/>
      <w:pPr>
        <w:ind w:left="868" w:hanging="200"/>
      </w:pPr>
      <w:rPr>
        <w:rFonts w:hint="default"/>
      </w:rPr>
    </w:lvl>
    <w:lvl w:ilvl="7">
      <w:start w:val="1"/>
      <w:numFmt w:val="bullet"/>
      <w:lvlText w:val="•"/>
      <w:lvlJc w:val="left"/>
      <w:pPr>
        <w:ind w:left="1000" w:hanging="200"/>
      </w:pPr>
      <w:rPr>
        <w:rFonts w:hint="default"/>
      </w:rPr>
    </w:lvl>
    <w:lvl w:ilvl="8">
      <w:start w:val="1"/>
      <w:numFmt w:val="bullet"/>
      <w:lvlText w:val="•"/>
      <w:lvlJc w:val="left"/>
      <w:pPr>
        <w:ind w:left="3760" w:hanging="200"/>
      </w:pPr>
      <w:rPr>
        <w:rFonts w:hint="default"/>
      </w:rPr>
    </w:lvl>
  </w:abstractNum>
  <w:abstractNum w:abstractNumId="119">
    <w:nsid w:val="4918526D"/>
    <w:multiLevelType w:val="singleLevel"/>
    <w:tmpl w:val="F1DE78C6"/>
    <w:lvl w:ilvl="0">
      <w:start w:val="1"/>
      <w:numFmt w:val="decimal"/>
      <w:lvlText w:val="5.4.6.%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20">
    <w:nsid w:val="4977145A"/>
    <w:multiLevelType w:val="singleLevel"/>
    <w:tmpl w:val="FACCFC8E"/>
    <w:lvl w:ilvl="0">
      <w:start w:val="1"/>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21">
    <w:nsid w:val="4AA44695"/>
    <w:multiLevelType w:val="singleLevel"/>
    <w:tmpl w:val="A57AB540"/>
    <w:lvl w:ilvl="0">
      <w:start w:val="1"/>
      <w:numFmt w:val="decimal"/>
      <w:lvlText w:val="%1."/>
      <w:legacy w:legacy="1" w:legacySpace="57" w:legacyIndent="340"/>
      <w:lvlJc w:val="left"/>
      <w:pPr>
        <w:ind w:left="341" w:hanging="340"/>
      </w:pPr>
    </w:lvl>
  </w:abstractNum>
  <w:abstractNum w:abstractNumId="122">
    <w:nsid w:val="4AF31D2B"/>
    <w:multiLevelType w:val="singleLevel"/>
    <w:tmpl w:val="411AE6F2"/>
    <w:lvl w:ilvl="0">
      <w:start w:val="3"/>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23">
    <w:nsid w:val="4B2E626C"/>
    <w:multiLevelType w:val="singleLevel"/>
    <w:tmpl w:val="3040812C"/>
    <w:lvl w:ilvl="0">
      <w:start w:val="10"/>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24">
    <w:nsid w:val="4BD335C1"/>
    <w:multiLevelType w:val="singleLevel"/>
    <w:tmpl w:val="DBBAF7F8"/>
    <w:lvl w:ilvl="0">
      <w:start w:val="1"/>
      <w:numFmt w:val="decimal"/>
      <w:lvlText w:val="5.1.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25">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6">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127">
    <w:nsid w:val="4DEB7EEC"/>
    <w:multiLevelType w:val="singleLevel"/>
    <w:tmpl w:val="E6F83894"/>
    <w:lvl w:ilvl="0">
      <w:start w:val="1"/>
      <w:numFmt w:val="decimal"/>
      <w:lvlText w:val="5.2.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28">
    <w:nsid w:val="4E280D30"/>
    <w:multiLevelType w:val="singleLevel"/>
    <w:tmpl w:val="16A4FA12"/>
    <w:lvl w:ilvl="0">
      <w:start w:val="1"/>
      <w:numFmt w:val="lowerLetter"/>
      <w:lvlText w:val="%1)"/>
      <w:legacy w:legacy="1" w:legacySpace="0" w:legacyIndent="284"/>
      <w:lvlJc w:val="left"/>
      <w:pPr>
        <w:ind w:left="284" w:hanging="284"/>
      </w:pPr>
    </w:lvl>
  </w:abstractNum>
  <w:abstractNum w:abstractNumId="129">
    <w:nsid w:val="4E56112B"/>
    <w:multiLevelType w:val="singleLevel"/>
    <w:tmpl w:val="1834F7CC"/>
    <w:lvl w:ilvl="0">
      <w:start w:val="1"/>
      <w:numFmt w:val="lowerLetter"/>
      <w:lvlText w:val="%1)"/>
      <w:legacy w:legacy="1" w:legacySpace="0" w:legacyIndent="283"/>
      <w:lvlJc w:val="left"/>
      <w:pPr>
        <w:ind w:left="283" w:hanging="283"/>
      </w:pPr>
    </w:lvl>
  </w:abstractNum>
  <w:abstractNum w:abstractNumId="130">
    <w:nsid w:val="4EA71BE9"/>
    <w:multiLevelType w:val="multilevel"/>
    <w:tmpl w:val="E65E4656"/>
    <w:lvl w:ilvl="0">
      <w:start w:val="8"/>
      <w:numFmt w:val="decimal"/>
      <w:lvlText w:val="%1."/>
      <w:lvlJc w:val="left"/>
      <w:pPr>
        <w:ind w:left="460" w:hanging="360"/>
        <w:jc w:val="left"/>
      </w:pPr>
      <w:rPr>
        <w:rFonts w:ascii="Arial" w:eastAsia="Arial" w:hAnsi="Arial" w:hint="default"/>
        <w:b/>
        <w:bCs/>
        <w:spacing w:val="-1"/>
        <w:sz w:val="26"/>
        <w:szCs w:val="26"/>
      </w:rPr>
    </w:lvl>
    <w:lvl w:ilvl="1">
      <w:start w:val="1"/>
      <w:numFmt w:val="decimal"/>
      <w:lvlText w:val="%1.%2."/>
      <w:lvlJc w:val="left"/>
      <w:pPr>
        <w:ind w:left="520" w:hanging="420"/>
        <w:jc w:val="right"/>
      </w:pPr>
      <w:rPr>
        <w:rFonts w:ascii="Times New Roman" w:eastAsia="Times New Roman" w:hAnsi="Times New Roman" w:hint="default"/>
        <w:b/>
        <w:bCs/>
        <w:sz w:val="24"/>
        <w:szCs w:val="24"/>
      </w:rPr>
    </w:lvl>
    <w:lvl w:ilvl="2">
      <w:start w:val="1"/>
      <w:numFmt w:val="bullet"/>
      <w:lvlText w:val="-"/>
      <w:lvlJc w:val="left"/>
      <w:pPr>
        <w:ind w:left="1000" w:hanging="360"/>
      </w:pPr>
      <w:rPr>
        <w:rFonts w:ascii="Times New Roman" w:eastAsia="Times New Roman" w:hAnsi="Times New Roman" w:hint="default"/>
        <w:sz w:val="24"/>
        <w:szCs w:val="24"/>
      </w:rPr>
    </w:lvl>
    <w:lvl w:ilvl="3">
      <w:start w:val="1"/>
      <w:numFmt w:val="bullet"/>
      <w:lvlText w:val="•"/>
      <w:lvlJc w:val="left"/>
      <w:pPr>
        <w:ind w:left="2035" w:hanging="360"/>
      </w:pPr>
      <w:rPr>
        <w:rFonts w:hint="default"/>
      </w:rPr>
    </w:lvl>
    <w:lvl w:ilvl="4">
      <w:start w:val="1"/>
      <w:numFmt w:val="bullet"/>
      <w:lvlText w:val="•"/>
      <w:lvlJc w:val="left"/>
      <w:pPr>
        <w:ind w:left="3070" w:hanging="360"/>
      </w:pPr>
      <w:rPr>
        <w:rFonts w:hint="default"/>
      </w:rPr>
    </w:lvl>
    <w:lvl w:ilvl="5">
      <w:start w:val="1"/>
      <w:numFmt w:val="bullet"/>
      <w:lvlText w:val="•"/>
      <w:lvlJc w:val="left"/>
      <w:pPr>
        <w:ind w:left="4105" w:hanging="360"/>
      </w:pPr>
      <w:rPr>
        <w:rFonts w:hint="default"/>
      </w:rPr>
    </w:lvl>
    <w:lvl w:ilvl="6">
      <w:start w:val="1"/>
      <w:numFmt w:val="bullet"/>
      <w:lvlText w:val="•"/>
      <w:lvlJc w:val="left"/>
      <w:pPr>
        <w:ind w:left="5140" w:hanging="360"/>
      </w:pPr>
      <w:rPr>
        <w:rFonts w:hint="default"/>
      </w:rPr>
    </w:lvl>
    <w:lvl w:ilvl="7">
      <w:start w:val="1"/>
      <w:numFmt w:val="bullet"/>
      <w:lvlText w:val="•"/>
      <w:lvlJc w:val="left"/>
      <w:pPr>
        <w:ind w:left="6175" w:hanging="360"/>
      </w:pPr>
      <w:rPr>
        <w:rFonts w:hint="default"/>
      </w:rPr>
    </w:lvl>
    <w:lvl w:ilvl="8">
      <w:start w:val="1"/>
      <w:numFmt w:val="bullet"/>
      <w:lvlText w:val="•"/>
      <w:lvlJc w:val="left"/>
      <w:pPr>
        <w:ind w:left="7210" w:hanging="360"/>
      </w:pPr>
      <w:rPr>
        <w:rFonts w:hint="default"/>
      </w:rPr>
    </w:lvl>
  </w:abstractNum>
  <w:abstractNum w:abstractNumId="131">
    <w:nsid w:val="4F4A1E80"/>
    <w:multiLevelType w:val="singleLevel"/>
    <w:tmpl w:val="965E20AE"/>
    <w:lvl w:ilvl="0">
      <w:start w:val="2"/>
      <w:numFmt w:val="decimal"/>
      <w:lvlText w:val="5.3.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32">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501D392D"/>
    <w:multiLevelType w:val="singleLevel"/>
    <w:tmpl w:val="729C441A"/>
    <w:lvl w:ilvl="0">
      <w:start w:val="5"/>
      <w:numFmt w:val="decimal"/>
      <w:lvlText w:val="1.4.%1. "/>
      <w:legacy w:legacy="1" w:legacySpace="0" w:legacyIndent="283"/>
      <w:lvlJc w:val="left"/>
      <w:pPr>
        <w:ind w:left="283" w:hanging="283"/>
      </w:pPr>
      <w:rPr>
        <w:rFonts w:cs="Times New Roman"/>
        <w:b/>
        <w:i w:val="0"/>
        <w:sz w:val="20"/>
      </w:rPr>
    </w:lvl>
  </w:abstractNum>
  <w:abstractNum w:abstractNumId="134">
    <w:nsid w:val="50CF62F3"/>
    <w:multiLevelType w:val="singleLevel"/>
    <w:tmpl w:val="9F8C2CBA"/>
    <w:lvl w:ilvl="0">
      <w:start w:val="4"/>
      <w:numFmt w:val="decimal"/>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35">
    <w:nsid w:val="50F470D3"/>
    <w:multiLevelType w:val="singleLevel"/>
    <w:tmpl w:val="1438F054"/>
    <w:lvl w:ilvl="0">
      <w:start w:val="1"/>
      <w:numFmt w:val="lowerLetter"/>
      <w:lvlText w:val="%1)"/>
      <w:legacy w:legacy="1" w:legacySpace="0" w:legacyIndent="283"/>
      <w:lvlJc w:val="left"/>
      <w:pPr>
        <w:ind w:left="283" w:hanging="283"/>
      </w:pPr>
    </w:lvl>
  </w:abstractNum>
  <w:abstractNum w:abstractNumId="136">
    <w:nsid w:val="51532ACA"/>
    <w:multiLevelType w:val="singleLevel"/>
    <w:tmpl w:val="8E18C0F8"/>
    <w:lvl w:ilvl="0">
      <w:start w:val="8"/>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37">
    <w:nsid w:val="525F3E47"/>
    <w:multiLevelType w:val="singleLevel"/>
    <w:tmpl w:val="D3143FBC"/>
    <w:lvl w:ilvl="0">
      <w:start w:val="4"/>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38">
    <w:nsid w:val="529C73C1"/>
    <w:multiLevelType w:val="multilevel"/>
    <w:tmpl w:val="F8C2BA2E"/>
    <w:lvl w:ilvl="0">
      <w:start w:val="1"/>
      <w:numFmt w:val="decimal"/>
      <w:lvlText w:val="%1."/>
      <w:legacy w:legacy="1" w:legacySpace="0" w:legacyIndent="283"/>
      <w:lvlJc w:val="left"/>
      <w:pPr>
        <w:ind w:left="283" w:hanging="283"/>
      </w:p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9">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140">
    <w:nsid w:val="52FA14CF"/>
    <w:multiLevelType w:val="multilevel"/>
    <w:tmpl w:val="DE6C4F22"/>
    <w:lvl w:ilvl="0">
      <w:start w:val="9"/>
      <w:numFmt w:val="decimal"/>
      <w:lvlText w:val="%1."/>
      <w:lvlJc w:val="left"/>
      <w:pPr>
        <w:ind w:left="425" w:hanging="326"/>
        <w:jc w:val="left"/>
      </w:pPr>
      <w:rPr>
        <w:rFonts w:ascii="Times New Roman" w:eastAsia="Times New Roman" w:hAnsi="Times New Roman" w:hint="default"/>
        <w:b/>
        <w:bCs/>
        <w:sz w:val="26"/>
        <w:szCs w:val="26"/>
      </w:rPr>
    </w:lvl>
    <w:lvl w:ilvl="1">
      <w:start w:val="1"/>
      <w:numFmt w:val="decimal"/>
      <w:lvlText w:val="%1.%2."/>
      <w:lvlJc w:val="left"/>
      <w:pPr>
        <w:ind w:left="520" w:hanging="420"/>
        <w:jc w:val="left"/>
      </w:pPr>
      <w:rPr>
        <w:rFonts w:ascii="Times New Roman" w:eastAsia="Times New Roman" w:hAnsi="Times New Roman" w:hint="default"/>
        <w:b/>
        <w:bCs/>
        <w:sz w:val="24"/>
        <w:szCs w:val="24"/>
      </w:rPr>
    </w:lvl>
    <w:lvl w:ilvl="2">
      <w:start w:val="1"/>
      <w:numFmt w:val="bullet"/>
      <w:lvlText w:val="•"/>
      <w:lvlJc w:val="left"/>
      <w:pPr>
        <w:ind w:left="1000" w:hanging="420"/>
      </w:pPr>
      <w:rPr>
        <w:rFonts w:hint="default"/>
      </w:rPr>
    </w:lvl>
    <w:lvl w:ilvl="3">
      <w:start w:val="1"/>
      <w:numFmt w:val="bullet"/>
      <w:lvlText w:val="•"/>
      <w:lvlJc w:val="left"/>
      <w:pPr>
        <w:ind w:left="2035" w:hanging="420"/>
      </w:pPr>
      <w:rPr>
        <w:rFonts w:hint="default"/>
      </w:rPr>
    </w:lvl>
    <w:lvl w:ilvl="4">
      <w:start w:val="1"/>
      <w:numFmt w:val="bullet"/>
      <w:lvlText w:val="•"/>
      <w:lvlJc w:val="left"/>
      <w:pPr>
        <w:ind w:left="3070" w:hanging="420"/>
      </w:pPr>
      <w:rPr>
        <w:rFonts w:hint="default"/>
      </w:rPr>
    </w:lvl>
    <w:lvl w:ilvl="5">
      <w:start w:val="1"/>
      <w:numFmt w:val="bullet"/>
      <w:lvlText w:val="•"/>
      <w:lvlJc w:val="left"/>
      <w:pPr>
        <w:ind w:left="4105" w:hanging="420"/>
      </w:pPr>
      <w:rPr>
        <w:rFonts w:hint="default"/>
      </w:rPr>
    </w:lvl>
    <w:lvl w:ilvl="6">
      <w:start w:val="1"/>
      <w:numFmt w:val="bullet"/>
      <w:lvlText w:val="•"/>
      <w:lvlJc w:val="left"/>
      <w:pPr>
        <w:ind w:left="5140" w:hanging="420"/>
      </w:pPr>
      <w:rPr>
        <w:rFonts w:hint="default"/>
      </w:rPr>
    </w:lvl>
    <w:lvl w:ilvl="7">
      <w:start w:val="1"/>
      <w:numFmt w:val="bullet"/>
      <w:lvlText w:val="•"/>
      <w:lvlJc w:val="left"/>
      <w:pPr>
        <w:ind w:left="6175" w:hanging="420"/>
      </w:pPr>
      <w:rPr>
        <w:rFonts w:hint="default"/>
      </w:rPr>
    </w:lvl>
    <w:lvl w:ilvl="8">
      <w:start w:val="1"/>
      <w:numFmt w:val="bullet"/>
      <w:lvlText w:val="•"/>
      <w:lvlJc w:val="left"/>
      <w:pPr>
        <w:ind w:left="7210" w:hanging="420"/>
      </w:pPr>
      <w:rPr>
        <w:rFonts w:hint="default"/>
      </w:rPr>
    </w:lvl>
  </w:abstractNum>
  <w:abstractNum w:abstractNumId="141">
    <w:nsid w:val="538B3D8B"/>
    <w:multiLevelType w:val="singleLevel"/>
    <w:tmpl w:val="935EF982"/>
    <w:lvl w:ilvl="0">
      <w:start w:val="8"/>
      <w:numFmt w:val="decimal"/>
      <w:lvlText w:val="4.2.%1. "/>
      <w:legacy w:legacy="1" w:legacySpace="0" w:legacyIndent="283"/>
      <w:lvlJc w:val="left"/>
      <w:pPr>
        <w:ind w:left="283" w:hanging="283"/>
      </w:pPr>
      <w:rPr>
        <w:rFonts w:cs="Times New Roman"/>
        <w:b/>
        <w:i w:val="0"/>
        <w:sz w:val="20"/>
      </w:rPr>
    </w:lvl>
  </w:abstractNum>
  <w:abstractNum w:abstractNumId="142">
    <w:nsid w:val="5479753D"/>
    <w:multiLevelType w:val="singleLevel"/>
    <w:tmpl w:val="1834F7CC"/>
    <w:lvl w:ilvl="0">
      <w:start w:val="1"/>
      <w:numFmt w:val="lowerLetter"/>
      <w:lvlText w:val="%1)"/>
      <w:legacy w:legacy="1" w:legacySpace="0" w:legacyIndent="283"/>
      <w:lvlJc w:val="left"/>
      <w:pPr>
        <w:ind w:left="283" w:hanging="283"/>
      </w:pPr>
    </w:lvl>
  </w:abstractNum>
  <w:abstractNum w:abstractNumId="143">
    <w:nsid w:val="55D636C2"/>
    <w:multiLevelType w:val="singleLevel"/>
    <w:tmpl w:val="E1C24C1C"/>
    <w:lvl w:ilvl="0">
      <w:start w:val="9"/>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44">
    <w:nsid w:val="55E85F27"/>
    <w:multiLevelType w:val="singleLevel"/>
    <w:tmpl w:val="5034687C"/>
    <w:lvl w:ilvl="0">
      <w:start w:val="2"/>
      <w:numFmt w:val="decimal"/>
      <w:lvlText w:val="5.1.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45">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6">
    <w:nsid w:val="57DD01A3"/>
    <w:multiLevelType w:val="singleLevel"/>
    <w:tmpl w:val="CF0C8398"/>
    <w:lvl w:ilvl="0">
      <w:start w:val="2"/>
      <w:numFmt w:val="decimal"/>
      <w:lvlText w:val="5.4.6.%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47">
    <w:nsid w:val="58492972"/>
    <w:multiLevelType w:val="singleLevel"/>
    <w:tmpl w:val="84A2A822"/>
    <w:lvl w:ilvl="0">
      <w:start w:val="1"/>
      <w:numFmt w:val="decimal"/>
      <w:lvlText w:val="5.4.7.%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48">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49">
    <w:nsid w:val="598F0ECF"/>
    <w:multiLevelType w:val="singleLevel"/>
    <w:tmpl w:val="F6641092"/>
    <w:lvl w:ilvl="0">
      <w:start w:val="1"/>
      <w:numFmt w:val="lowerLetter"/>
      <w:lvlText w:val="%1)"/>
      <w:legacy w:legacy="1" w:legacySpace="0" w:legacyIndent="283"/>
      <w:lvlJc w:val="left"/>
      <w:pPr>
        <w:ind w:left="283" w:hanging="283"/>
      </w:pPr>
    </w:lvl>
  </w:abstractNum>
  <w:abstractNum w:abstractNumId="15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1">
    <w:nsid w:val="5B60335A"/>
    <w:multiLevelType w:val="singleLevel"/>
    <w:tmpl w:val="FC82C638"/>
    <w:lvl w:ilvl="0">
      <w:start w:val="1"/>
      <w:numFmt w:val="lowerLetter"/>
      <w:lvlText w:val="%1)"/>
      <w:legacy w:legacy="1" w:legacySpace="0" w:legacyIndent="283"/>
      <w:lvlJc w:val="left"/>
      <w:pPr>
        <w:ind w:left="283" w:hanging="283"/>
      </w:pPr>
    </w:lvl>
  </w:abstractNum>
  <w:abstractNum w:abstractNumId="152">
    <w:nsid w:val="5B757185"/>
    <w:multiLevelType w:val="singleLevel"/>
    <w:tmpl w:val="B8C8681A"/>
    <w:lvl w:ilvl="0">
      <w:start w:val="1"/>
      <w:numFmt w:val="decimal"/>
      <w:lvlText w:val="%1)"/>
      <w:legacy w:legacy="1" w:legacySpace="0" w:legacyIndent="283"/>
      <w:lvlJc w:val="left"/>
      <w:pPr>
        <w:ind w:left="283" w:hanging="283"/>
      </w:pPr>
    </w:lvl>
  </w:abstractNum>
  <w:abstractNum w:abstractNumId="153">
    <w:nsid w:val="5BAF20FF"/>
    <w:multiLevelType w:val="singleLevel"/>
    <w:tmpl w:val="3F08773E"/>
    <w:lvl w:ilvl="0">
      <w:start w:val="4"/>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54">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155">
    <w:nsid w:val="5BFB681B"/>
    <w:multiLevelType w:val="singleLevel"/>
    <w:tmpl w:val="4FD03E86"/>
    <w:lvl w:ilvl="0">
      <w:start w:val="2"/>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56">
    <w:nsid w:val="5DB81A8F"/>
    <w:multiLevelType w:val="singleLevel"/>
    <w:tmpl w:val="169811C0"/>
    <w:lvl w:ilvl="0">
      <w:start w:val="1"/>
      <w:numFmt w:val="decimal"/>
      <w:lvlText w:val="5.3.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57">
    <w:nsid w:val="5E21540A"/>
    <w:multiLevelType w:val="singleLevel"/>
    <w:tmpl w:val="AE462244"/>
    <w:lvl w:ilvl="0">
      <w:start w:val="3"/>
      <w:numFmt w:val="decimal"/>
      <w:lvlText w:val="5.1.1.7.%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58">
    <w:nsid w:val="5E3A322A"/>
    <w:multiLevelType w:val="singleLevel"/>
    <w:tmpl w:val="67AA59DE"/>
    <w:lvl w:ilvl="0">
      <w:start w:val="4"/>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59">
    <w:nsid w:val="60EA3D3C"/>
    <w:multiLevelType w:val="singleLevel"/>
    <w:tmpl w:val="E42E593C"/>
    <w:lvl w:ilvl="0">
      <w:start w:val="3"/>
      <w:numFmt w:val="decimal"/>
      <w:lvlText w:val="5.3.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60">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161">
    <w:nsid w:val="618279D8"/>
    <w:multiLevelType w:val="singleLevel"/>
    <w:tmpl w:val="45A07B66"/>
    <w:lvl w:ilvl="0">
      <w:start w:val="6"/>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62">
    <w:nsid w:val="61A2500F"/>
    <w:multiLevelType w:val="singleLevel"/>
    <w:tmpl w:val="3C0C0796"/>
    <w:lvl w:ilvl="0">
      <w:start w:val="5"/>
      <w:numFmt w:val="decimal"/>
      <w:lvlText w:val="5.7.%1. "/>
      <w:legacy w:legacy="1" w:legacySpace="0" w:legacyIndent="283"/>
      <w:lvlJc w:val="left"/>
      <w:pPr>
        <w:ind w:left="283" w:hanging="283"/>
      </w:pPr>
      <w:rPr>
        <w:b/>
        <w:i w:val="0"/>
        <w:sz w:val="20"/>
      </w:rPr>
    </w:lvl>
  </w:abstractNum>
  <w:abstractNum w:abstractNumId="163">
    <w:nsid w:val="61E01B27"/>
    <w:multiLevelType w:val="singleLevel"/>
    <w:tmpl w:val="9A764F90"/>
    <w:lvl w:ilvl="0">
      <w:start w:val="2"/>
      <w:numFmt w:val="decimal"/>
      <w:lvlText w:val="5.1.1.7.%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64">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5">
    <w:nsid w:val="626D3B5F"/>
    <w:multiLevelType w:val="singleLevel"/>
    <w:tmpl w:val="E31E75F0"/>
    <w:lvl w:ilvl="0">
      <w:start w:val="1"/>
      <w:numFmt w:val="decimal"/>
      <w:lvlText w:val="5.4.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66">
    <w:nsid w:val="629C46DE"/>
    <w:multiLevelType w:val="singleLevel"/>
    <w:tmpl w:val="062C1614"/>
    <w:lvl w:ilvl="0">
      <w:start w:val="3"/>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67">
    <w:nsid w:val="62C01E05"/>
    <w:multiLevelType w:val="hybridMultilevel"/>
    <w:tmpl w:val="AD8427EC"/>
    <w:lvl w:ilvl="0" w:tplc="0704A452">
      <w:start w:val="1"/>
      <w:numFmt w:val="decimal"/>
      <w:lvlText w:val="%1."/>
      <w:lvlJc w:val="left"/>
      <w:pPr>
        <w:ind w:left="2920" w:hanging="240"/>
        <w:jc w:val="left"/>
      </w:pPr>
      <w:rPr>
        <w:rFonts w:ascii="Times New Roman" w:eastAsia="Times New Roman" w:hAnsi="Times New Roman" w:hint="default"/>
        <w:sz w:val="24"/>
        <w:szCs w:val="24"/>
      </w:rPr>
    </w:lvl>
    <w:lvl w:ilvl="1" w:tplc="55B0B340">
      <w:start w:val="1"/>
      <w:numFmt w:val="bullet"/>
      <w:lvlText w:val="•"/>
      <w:lvlJc w:val="left"/>
      <w:pPr>
        <w:ind w:left="3556" w:hanging="240"/>
      </w:pPr>
      <w:rPr>
        <w:rFonts w:hint="default"/>
      </w:rPr>
    </w:lvl>
    <w:lvl w:ilvl="2" w:tplc="24F6651C">
      <w:start w:val="1"/>
      <w:numFmt w:val="bullet"/>
      <w:lvlText w:val="•"/>
      <w:lvlJc w:val="left"/>
      <w:pPr>
        <w:ind w:left="4192" w:hanging="240"/>
      </w:pPr>
      <w:rPr>
        <w:rFonts w:hint="default"/>
      </w:rPr>
    </w:lvl>
    <w:lvl w:ilvl="3" w:tplc="7B947678">
      <w:start w:val="1"/>
      <w:numFmt w:val="bullet"/>
      <w:lvlText w:val="•"/>
      <w:lvlJc w:val="left"/>
      <w:pPr>
        <w:ind w:left="4828" w:hanging="240"/>
      </w:pPr>
      <w:rPr>
        <w:rFonts w:hint="default"/>
      </w:rPr>
    </w:lvl>
    <w:lvl w:ilvl="4" w:tplc="4CEC915A">
      <w:start w:val="1"/>
      <w:numFmt w:val="bullet"/>
      <w:lvlText w:val="•"/>
      <w:lvlJc w:val="left"/>
      <w:pPr>
        <w:ind w:left="5464" w:hanging="240"/>
      </w:pPr>
      <w:rPr>
        <w:rFonts w:hint="default"/>
      </w:rPr>
    </w:lvl>
    <w:lvl w:ilvl="5" w:tplc="B97677BA">
      <w:start w:val="1"/>
      <w:numFmt w:val="bullet"/>
      <w:lvlText w:val="•"/>
      <w:lvlJc w:val="left"/>
      <w:pPr>
        <w:ind w:left="6100" w:hanging="240"/>
      </w:pPr>
      <w:rPr>
        <w:rFonts w:hint="default"/>
      </w:rPr>
    </w:lvl>
    <w:lvl w:ilvl="6" w:tplc="BA92E756">
      <w:start w:val="1"/>
      <w:numFmt w:val="bullet"/>
      <w:lvlText w:val="•"/>
      <w:lvlJc w:val="left"/>
      <w:pPr>
        <w:ind w:left="6736" w:hanging="240"/>
      </w:pPr>
      <w:rPr>
        <w:rFonts w:hint="default"/>
      </w:rPr>
    </w:lvl>
    <w:lvl w:ilvl="7" w:tplc="621AF722">
      <w:start w:val="1"/>
      <w:numFmt w:val="bullet"/>
      <w:lvlText w:val="•"/>
      <w:lvlJc w:val="left"/>
      <w:pPr>
        <w:ind w:left="7372" w:hanging="240"/>
      </w:pPr>
      <w:rPr>
        <w:rFonts w:hint="default"/>
      </w:rPr>
    </w:lvl>
    <w:lvl w:ilvl="8" w:tplc="5D526EE6">
      <w:start w:val="1"/>
      <w:numFmt w:val="bullet"/>
      <w:lvlText w:val="•"/>
      <w:lvlJc w:val="left"/>
      <w:pPr>
        <w:ind w:left="8008" w:hanging="240"/>
      </w:pPr>
      <w:rPr>
        <w:rFonts w:hint="default"/>
      </w:rPr>
    </w:lvl>
  </w:abstractNum>
  <w:abstractNum w:abstractNumId="168">
    <w:nsid w:val="63D36F6C"/>
    <w:multiLevelType w:val="singleLevel"/>
    <w:tmpl w:val="C8AE4E26"/>
    <w:lvl w:ilvl="0">
      <w:start w:val="10"/>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69">
    <w:nsid w:val="645E335D"/>
    <w:multiLevelType w:val="singleLevel"/>
    <w:tmpl w:val="FECC6CA6"/>
    <w:lvl w:ilvl="0">
      <w:start w:val="1"/>
      <w:numFmt w:val="lowerLetter"/>
      <w:lvlText w:val="%1)"/>
      <w:legacy w:legacy="1" w:legacySpace="0" w:legacyIndent="283"/>
      <w:lvlJc w:val="left"/>
      <w:pPr>
        <w:ind w:left="283" w:hanging="283"/>
      </w:pPr>
    </w:lvl>
  </w:abstractNum>
  <w:abstractNum w:abstractNumId="170">
    <w:nsid w:val="67323B01"/>
    <w:multiLevelType w:val="singleLevel"/>
    <w:tmpl w:val="CA14FBD8"/>
    <w:lvl w:ilvl="0">
      <w:start w:val="2"/>
      <w:numFmt w:val="decimal"/>
      <w:lvlText w:val="5.1.12.%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1">
    <w:nsid w:val="6957017F"/>
    <w:multiLevelType w:val="singleLevel"/>
    <w:tmpl w:val="1438F054"/>
    <w:lvl w:ilvl="0">
      <w:start w:val="1"/>
      <w:numFmt w:val="lowerLetter"/>
      <w:lvlText w:val="%1)"/>
      <w:legacy w:legacy="1" w:legacySpace="0" w:legacyIndent="283"/>
      <w:lvlJc w:val="left"/>
      <w:pPr>
        <w:ind w:left="567" w:hanging="283"/>
      </w:pPr>
    </w:lvl>
  </w:abstractNum>
  <w:abstractNum w:abstractNumId="172">
    <w:nsid w:val="6A133445"/>
    <w:multiLevelType w:val="singleLevel"/>
    <w:tmpl w:val="F88A6CDA"/>
    <w:lvl w:ilvl="0">
      <w:start w:val="8"/>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73">
    <w:nsid w:val="6A1B53EF"/>
    <w:multiLevelType w:val="singleLevel"/>
    <w:tmpl w:val="9A263F18"/>
    <w:lvl w:ilvl="0">
      <w:start w:val="9"/>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74">
    <w:nsid w:val="6A616B59"/>
    <w:multiLevelType w:val="singleLevel"/>
    <w:tmpl w:val="EF90E7C0"/>
    <w:lvl w:ilvl="0">
      <w:start w:val="1"/>
      <w:numFmt w:val="decimal"/>
      <w:lvlText w:val="5.4.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5">
    <w:nsid w:val="6B167ACB"/>
    <w:multiLevelType w:val="singleLevel"/>
    <w:tmpl w:val="1834F7CC"/>
    <w:lvl w:ilvl="0">
      <w:start w:val="1"/>
      <w:numFmt w:val="lowerLetter"/>
      <w:lvlText w:val="%1)"/>
      <w:legacy w:legacy="1" w:legacySpace="0" w:legacyIndent="283"/>
      <w:lvlJc w:val="left"/>
      <w:pPr>
        <w:ind w:left="283" w:hanging="283"/>
      </w:pPr>
    </w:lvl>
  </w:abstractNum>
  <w:abstractNum w:abstractNumId="176">
    <w:nsid w:val="6DB92E84"/>
    <w:multiLevelType w:val="singleLevel"/>
    <w:tmpl w:val="67FE01A4"/>
    <w:lvl w:ilvl="0">
      <w:start w:val="2"/>
      <w:numFmt w:val="decimal"/>
      <w:lvlText w:val="5.2.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7">
    <w:nsid w:val="6EB604AC"/>
    <w:multiLevelType w:val="singleLevel"/>
    <w:tmpl w:val="FC82C638"/>
    <w:lvl w:ilvl="0">
      <w:start w:val="1"/>
      <w:numFmt w:val="lowerLetter"/>
      <w:lvlText w:val="%1)"/>
      <w:legacy w:legacy="1" w:legacySpace="0" w:legacyIndent="283"/>
      <w:lvlJc w:val="left"/>
      <w:pPr>
        <w:ind w:left="283" w:hanging="283"/>
      </w:pPr>
    </w:lvl>
  </w:abstractNum>
  <w:abstractNum w:abstractNumId="178">
    <w:nsid w:val="6F850E23"/>
    <w:multiLevelType w:val="singleLevel"/>
    <w:tmpl w:val="29448908"/>
    <w:lvl w:ilvl="0">
      <w:start w:val="4"/>
      <w:numFmt w:val="decimal"/>
      <w:lvlText w:val="5.4.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9">
    <w:nsid w:val="70570EE6"/>
    <w:multiLevelType w:val="singleLevel"/>
    <w:tmpl w:val="5BDC82BC"/>
    <w:lvl w:ilvl="0">
      <w:start w:val="1"/>
      <w:numFmt w:val="decimal"/>
      <w:lvlText w:val="5.1.1.7.%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80">
    <w:nsid w:val="70CF771F"/>
    <w:multiLevelType w:val="singleLevel"/>
    <w:tmpl w:val="6F6E3646"/>
    <w:lvl w:ilvl="0">
      <w:start w:val="2"/>
      <w:numFmt w:val="decimal"/>
      <w:lvlText w:val="5.4.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81">
    <w:nsid w:val="717F5467"/>
    <w:multiLevelType w:val="singleLevel"/>
    <w:tmpl w:val="521C4C56"/>
    <w:lvl w:ilvl="0">
      <w:start w:val="5"/>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82">
    <w:nsid w:val="71A878AF"/>
    <w:multiLevelType w:val="singleLevel"/>
    <w:tmpl w:val="F6641092"/>
    <w:lvl w:ilvl="0">
      <w:start w:val="1"/>
      <w:numFmt w:val="lowerLetter"/>
      <w:lvlText w:val="%1)"/>
      <w:legacy w:legacy="1" w:legacySpace="0" w:legacyIndent="283"/>
      <w:lvlJc w:val="left"/>
      <w:pPr>
        <w:ind w:left="283" w:hanging="283"/>
      </w:pPr>
    </w:lvl>
  </w:abstractNum>
  <w:abstractNum w:abstractNumId="183">
    <w:nsid w:val="73BB0B7C"/>
    <w:multiLevelType w:val="singleLevel"/>
    <w:tmpl w:val="944801B4"/>
    <w:lvl w:ilvl="0">
      <w:start w:val="3"/>
      <w:numFmt w:val="decimal"/>
      <w:lvlText w:val="%1)"/>
      <w:legacy w:legacy="1" w:legacySpace="0" w:legacyIndent="283"/>
      <w:lvlJc w:val="left"/>
      <w:pPr>
        <w:ind w:left="283" w:hanging="283"/>
      </w:pPr>
    </w:lvl>
  </w:abstractNum>
  <w:abstractNum w:abstractNumId="184">
    <w:nsid w:val="741B6E0B"/>
    <w:multiLevelType w:val="singleLevel"/>
    <w:tmpl w:val="F2D6853E"/>
    <w:lvl w:ilvl="0">
      <w:start w:val="2"/>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85">
    <w:nsid w:val="742D40F6"/>
    <w:multiLevelType w:val="singleLevel"/>
    <w:tmpl w:val="1776525C"/>
    <w:lvl w:ilvl="0">
      <w:start w:val="9"/>
      <w:numFmt w:val="bullet"/>
      <w:lvlText w:val="-"/>
      <w:lvlJc w:val="left"/>
      <w:pPr>
        <w:tabs>
          <w:tab w:val="num" w:pos="360"/>
        </w:tabs>
        <w:ind w:left="360" w:hanging="360"/>
      </w:pPr>
    </w:lvl>
  </w:abstractNum>
  <w:abstractNum w:abstractNumId="186">
    <w:nsid w:val="74356C3F"/>
    <w:multiLevelType w:val="singleLevel"/>
    <w:tmpl w:val="E57A2582"/>
    <w:lvl w:ilvl="0">
      <w:start w:val="8"/>
      <w:numFmt w:val="decimal"/>
      <w:lvlText w:val="5.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87">
    <w:nsid w:val="74CF7D82"/>
    <w:multiLevelType w:val="singleLevel"/>
    <w:tmpl w:val="58260CA2"/>
    <w:lvl w:ilvl="0">
      <w:start w:val="2"/>
      <w:numFmt w:val="lowerLetter"/>
      <w:lvlText w:val="%1)"/>
      <w:legacy w:legacy="1" w:legacySpace="0" w:legacyIndent="283"/>
      <w:lvlJc w:val="left"/>
      <w:pPr>
        <w:ind w:left="283" w:hanging="283"/>
      </w:pPr>
    </w:lvl>
  </w:abstractNum>
  <w:abstractNum w:abstractNumId="188">
    <w:nsid w:val="74D56604"/>
    <w:multiLevelType w:val="singleLevel"/>
    <w:tmpl w:val="0C7C5F60"/>
    <w:lvl w:ilvl="0">
      <w:start w:val="2"/>
      <w:numFmt w:val="lowerLetter"/>
      <w:lvlText w:val="%1)"/>
      <w:legacy w:legacy="1" w:legacySpace="0" w:legacyIndent="283"/>
      <w:lvlJc w:val="left"/>
      <w:pPr>
        <w:ind w:left="283" w:hanging="283"/>
      </w:pPr>
      <w:rPr>
        <w:rFonts w:cs="Times New Roman"/>
      </w:rPr>
    </w:lvl>
  </w:abstractNum>
  <w:abstractNum w:abstractNumId="189">
    <w:nsid w:val="74FF3DE8"/>
    <w:multiLevelType w:val="singleLevel"/>
    <w:tmpl w:val="6D48CF2E"/>
    <w:lvl w:ilvl="0">
      <w:start w:val="1"/>
      <w:numFmt w:val="decimal"/>
      <w:lvlText w:val="5.1.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0">
    <w:nsid w:val="765E53FC"/>
    <w:multiLevelType w:val="hybridMultilevel"/>
    <w:tmpl w:val="41BE7FD6"/>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1">
    <w:nsid w:val="76600674"/>
    <w:multiLevelType w:val="singleLevel"/>
    <w:tmpl w:val="7CFEAF10"/>
    <w:lvl w:ilvl="0">
      <w:start w:val="4"/>
      <w:numFmt w:val="decimal"/>
      <w:lvlText w:val="5.3.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2">
    <w:nsid w:val="76E21D2B"/>
    <w:multiLevelType w:val="singleLevel"/>
    <w:tmpl w:val="814EF850"/>
    <w:lvl w:ilvl="0">
      <w:start w:val="2"/>
      <w:numFmt w:val="decimal"/>
      <w:lvlText w:val="5.3.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3">
    <w:nsid w:val="778461AE"/>
    <w:multiLevelType w:val="singleLevel"/>
    <w:tmpl w:val="2D48A93C"/>
    <w:lvl w:ilvl="0">
      <w:start w:val="1"/>
      <w:numFmt w:val="lowerLetter"/>
      <w:lvlText w:val="%1)"/>
      <w:legacy w:legacy="1" w:legacySpace="0" w:legacyIndent="283"/>
      <w:lvlJc w:val="left"/>
      <w:pPr>
        <w:ind w:left="283" w:hanging="283"/>
      </w:pPr>
    </w:lvl>
  </w:abstractNum>
  <w:abstractNum w:abstractNumId="194">
    <w:nsid w:val="77CC12F5"/>
    <w:multiLevelType w:val="singleLevel"/>
    <w:tmpl w:val="0C1A955E"/>
    <w:lvl w:ilvl="0">
      <w:start w:val="1"/>
      <w:numFmt w:val="decimal"/>
      <w:lvlText w:val="5.1.12.%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5">
    <w:nsid w:val="7882734E"/>
    <w:multiLevelType w:val="hybridMultilevel"/>
    <w:tmpl w:val="8A903056"/>
    <w:lvl w:ilvl="0" w:tplc="376E012C">
      <w:start w:val="1"/>
      <w:numFmt w:val="decimal"/>
      <w:lvlText w:val="%1"/>
      <w:legacy w:legacy="1" w:legacySpace="120" w:legacyIndent="360"/>
      <w:lvlJc w:val="left"/>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6">
    <w:nsid w:val="789423D3"/>
    <w:multiLevelType w:val="singleLevel"/>
    <w:tmpl w:val="EA9268FC"/>
    <w:lvl w:ilvl="0">
      <w:start w:val="1"/>
      <w:numFmt w:val="lowerLetter"/>
      <w:lvlText w:val="%1)"/>
      <w:legacy w:legacy="1" w:legacySpace="0" w:legacyIndent="283"/>
      <w:lvlJc w:val="left"/>
      <w:pPr>
        <w:ind w:left="283" w:hanging="283"/>
      </w:pPr>
    </w:lvl>
  </w:abstractNum>
  <w:abstractNum w:abstractNumId="197">
    <w:nsid w:val="79143809"/>
    <w:multiLevelType w:val="singleLevel"/>
    <w:tmpl w:val="D93C4CC8"/>
    <w:lvl w:ilvl="0">
      <w:start w:val="3"/>
      <w:numFmt w:val="decimal"/>
      <w:lvlText w:val="5.7.%1. "/>
      <w:legacy w:legacy="1" w:legacySpace="0" w:legacyIndent="283"/>
      <w:lvlJc w:val="left"/>
      <w:pPr>
        <w:ind w:left="283" w:hanging="283"/>
      </w:pPr>
      <w:rPr>
        <w:b/>
        <w:i w:val="0"/>
        <w:sz w:val="20"/>
      </w:rPr>
    </w:lvl>
  </w:abstractNum>
  <w:abstractNum w:abstractNumId="198">
    <w:nsid w:val="795505BE"/>
    <w:multiLevelType w:val="singleLevel"/>
    <w:tmpl w:val="F54875A0"/>
    <w:lvl w:ilvl="0">
      <w:start w:val="3"/>
      <w:numFmt w:val="decimal"/>
      <w:lvlText w:val="5.4.6.%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9">
    <w:nsid w:val="7A8A6052"/>
    <w:multiLevelType w:val="singleLevel"/>
    <w:tmpl w:val="28F46492"/>
    <w:lvl w:ilvl="0">
      <w:start w:val="1"/>
      <w:numFmt w:val="decimal"/>
      <w:lvlText w:val="%1."/>
      <w:legacy w:legacy="1" w:legacySpace="0" w:legacyIndent="283"/>
      <w:lvlJc w:val="left"/>
      <w:pPr>
        <w:ind w:left="283" w:hanging="283"/>
      </w:pPr>
    </w:lvl>
  </w:abstractNum>
  <w:abstractNum w:abstractNumId="200">
    <w:nsid w:val="7AB950A2"/>
    <w:multiLevelType w:val="singleLevel"/>
    <w:tmpl w:val="4CBE8702"/>
    <w:lvl w:ilvl="0">
      <w:start w:val="4"/>
      <w:numFmt w:val="decimal"/>
      <w:lvlText w:val="5.7.%1. "/>
      <w:legacy w:legacy="1" w:legacySpace="0" w:legacyIndent="283"/>
      <w:lvlJc w:val="left"/>
      <w:pPr>
        <w:ind w:left="283" w:hanging="283"/>
      </w:pPr>
      <w:rPr>
        <w:b/>
        <w:i w:val="0"/>
        <w:sz w:val="20"/>
      </w:rPr>
    </w:lvl>
  </w:abstractNum>
  <w:abstractNum w:abstractNumId="201">
    <w:nsid w:val="7B1F2479"/>
    <w:multiLevelType w:val="singleLevel"/>
    <w:tmpl w:val="BA90C526"/>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02">
    <w:nsid w:val="7BFF3D5A"/>
    <w:multiLevelType w:val="singleLevel"/>
    <w:tmpl w:val="1A187952"/>
    <w:lvl w:ilvl="0">
      <w:start w:val="24"/>
      <w:numFmt w:val="decimal"/>
      <w:lvlText w:val="%1."/>
      <w:legacy w:legacy="1" w:legacySpace="0" w:legacyIndent="283"/>
      <w:lvlJc w:val="left"/>
      <w:pPr>
        <w:ind w:left="283" w:hanging="283"/>
      </w:pPr>
    </w:lvl>
  </w:abstractNum>
  <w:abstractNum w:abstractNumId="203">
    <w:nsid w:val="7CDF3E09"/>
    <w:multiLevelType w:val="singleLevel"/>
    <w:tmpl w:val="1AAA767C"/>
    <w:lvl w:ilvl="0">
      <w:start w:val="1"/>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04">
    <w:nsid w:val="7F5C4A29"/>
    <w:multiLevelType w:val="singleLevel"/>
    <w:tmpl w:val="A9CEC6E4"/>
    <w:lvl w:ilvl="0">
      <w:start w:val="7"/>
      <w:numFmt w:val="decimal"/>
      <w:lvlText w:val="5.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05">
    <w:nsid w:val="7F9E3663"/>
    <w:multiLevelType w:val="singleLevel"/>
    <w:tmpl w:val="969EC678"/>
    <w:lvl w:ilvl="0">
      <w:start w:val="1"/>
      <w:numFmt w:val="decimal"/>
      <w:lvlText w:val="%1."/>
      <w:legacy w:legacy="1" w:legacySpace="0" w:legacyIndent="283"/>
      <w:lvlJc w:val="left"/>
      <w:pPr>
        <w:ind w:left="283" w:hanging="283"/>
      </w:pPr>
    </w:lvl>
  </w:abstractNum>
  <w:abstractNum w:abstractNumId="206">
    <w:nsid w:val="7FCA441D"/>
    <w:multiLevelType w:val="singleLevel"/>
    <w:tmpl w:val="A516CEC4"/>
    <w:lvl w:ilvl="0">
      <w:start w:val="7"/>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07">
    <w:nsid w:val="7FCF705E"/>
    <w:multiLevelType w:val="singleLevel"/>
    <w:tmpl w:val="2B326732"/>
    <w:lvl w:ilvl="0">
      <w:start w:val="1"/>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08">
    <w:nsid w:val="7FED693A"/>
    <w:multiLevelType w:val="singleLevel"/>
    <w:tmpl w:val="508A3948"/>
    <w:lvl w:ilvl="0">
      <w:start w:val="4"/>
      <w:numFmt w:val="decimal"/>
      <w:lvlText w:val="5.4.6.%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2"/>
  </w:num>
  <w:num w:numId="3">
    <w:abstractNumId w:val="97"/>
  </w:num>
  <w:num w:numId="4">
    <w:abstractNumId w:val="55"/>
  </w:num>
  <w:num w:numId="5">
    <w:abstractNumId w:val="56"/>
  </w:num>
  <w:num w:numId="6">
    <w:abstractNumId w:val="26"/>
  </w:num>
  <w:num w:numId="7">
    <w:abstractNumId w:val="175"/>
  </w:num>
  <w:num w:numId="8">
    <w:abstractNumId w:val="138"/>
  </w:num>
  <w:num w:numId="9">
    <w:abstractNumId w:val="83"/>
  </w:num>
  <w:num w:numId="10">
    <w:abstractNumId w:val="129"/>
  </w:num>
  <w:num w:numId="11">
    <w:abstractNumId w:val="121"/>
  </w:num>
  <w:num w:numId="12">
    <w:abstractNumId w:val="108"/>
  </w:num>
  <w:num w:numId="13">
    <w:abstractNumId w:val="58"/>
  </w:num>
  <w:num w:numId="14">
    <w:abstractNumId w:val="47"/>
  </w:num>
  <w:num w:numId="15">
    <w:abstractNumId w:val="205"/>
  </w:num>
  <w:num w:numId="16">
    <w:abstractNumId w:val="54"/>
  </w:num>
  <w:num w:numId="17">
    <w:abstractNumId w:val="199"/>
  </w:num>
  <w:num w:numId="18">
    <w:abstractNumId w:val="16"/>
  </w:num>
  <w:num w:numId="19">
    <w:abstractNumId w:val="193"/>
    <w:lvlOverride w:ilvl="0">
      <w:startOverride w:val="1"/>
    </w:lvlOverride>
  </w:num>
  <w:num w:numId="20">
    <w:abstractNumId w:val="101"/>
  </w:num>
  <w:num w:numId="21">
    <w:abstractNumId w:val="99"/>
  </w:num>
  <w:num w:numId="22">
    <w:abstractNumId w:val="185"/>
  </w:num>
  <w:num w:numId="23">
    <w:abstractNumId w:val="40"/>
  </w:num>
  <w:num w:numId="24">
    <w:abstractNumId w:val="68"/>
  </w:num>
  <w:num w:numId="25">
    <w:abstractNumId w:val="44"/>
  </w:num>
  <w:num w:numId="26">
    <w:abstractNumId w:val="18"/>
  </w:num>
  <w:num w:numId="27">
    <w:abstractNumId w:val="39"/>
    <w:lvlOverride w:ilvl="0">
      <w:startOverride w:val="1"/>
    </w:lvlOverride>
  </w:num>
  <w:num w:numId="28">
    <w:abstractNumId w:val="196"/>
    <w:lvlOverride w:ilvl="0">
      <w:startOverride w:val="1"/>
    </w:lvlOverride>
  </w:num>
  <w:num w:numId="29">
    <w:abstractNumId w:val="152"/>
    <w:lvlOverride w:ilvl="0">
      <w:startOverride w:val="1"/>
    </w:lvlOverride>
  </w:num>
  <w:num w:numId="30">
    <w:abstractNumId w:val="5"/>
    <w:lvlOverride w:ilvl="0">
      <w:startOverride w:val="1"/>
    </w:lvlOverride>
  </w:num>
  <w:num w:numId="31">
    <w:abstractNumId w:val="22"/>
    <w:lvlOverride w:ilvl="0">
      <w:startOverride w:val="27"/>
    </w:lvlOverride>
  </w:num>
  <w:num w:numId="32">
    <w:abstractNumId w:val="33"/>
  </w:num>
  <w:num w:numId="33">
    <w:abstractNumId w:val="145"/>
  </w:num>
  <w:num w:numId="34">
    <w:abstractNumId w:val="125"/>
  </w:num>
  <w:num w:numId="35">
    <w:abstractNumId w:val="90"/>
  </w:num>
  <w:num w:numId="36">
    <w:abstractNumId w:val="164"/>
  </w:num>
  <w:num w:numId="37">
    <w:abstractNumId w:val="1"/>
    <w:lvlOverride w:ilvl="0">
      <w:lvl w:ilvl="0">
        <w:start w:val="65535"/>
        <w:numFmt w:val="bullet"/>
        <w:lvlText w:val="-"/>
        <w:legacy w:legacy="1" w:legacySpace="0" w:legacyIndent="398"/>
        <w:lvlJc w:val="left"/>
        <w:rPr>
          <w:rFonts w:ascii="Times New Roman" w:hAnsi="Times New Roman" w:cs="Times New Roman" w:hint="default"/>
        </w:rPr>
      </w:lvl>
    </w:lvlOverride>
  </w:num>
  <w:num w:numId="38">
    <w:abstractNumId w:val="1"/>
    <w:lvlOverride w:ilvl="0">
      <w:lvl w:ilvl="0">
        <w:start w:val="65535"/>
        <w:numFmt w:val="bullet"/>
        <w:lvlText w:val="-"/>
        <w:legacy w:legacy="1" w:legacySpace="0" w:legacyIndent="399"/>
        <w:lvlJc w:val="left"/>
        <w:rPr>
          <w:rFonts w:ascii="Times New Roman" w:hAnsi="Times New Roman" w:cs="Times New Roman" w:hint="default"/>
        </w:rPr>
      </w:lvl>
    </w:lvlOverride>
  </w:num>
  <w:num w:numId="39">
    <w:abstractNumId w:val="1"/>
    <w:lvlOverride w:ilvl="0">
      <w:lvl w:ilvl="0">
        <w:start w:val="65535"/>
        <w:numFmt w:val="bullet"/>
        <w:lvlText w:val="-"/>
        <w:legacy w:legacy="1" w:legacySpace="0" w:legacyIndent="403"/>
        <w:lvlJc w:val="left"/>
        <w:rPr>
          <w:rFonts w:ascii="Times New Roman" w:hAnsi="Times New Roman" w:cs="Times New Roman" w:hint="default"/>
        </w:rPr>
      </w:lvl>
    </w:lvlOverride>
  </w:num>
  <w:num w:numId="40">
    <w:abstractNumId w:val="11"/>
  </w:num>
  <w:num w:numId="41">
    <w:abstractNumId w:val="113"/>
  </w:num>
  <w:num w:numId="42">
    <w:abstractNumId w:val="2"/>
  </w:num>
  <w:num w:numId="43">
    <w:abstractNumId w:val="70"/>
  </w:num>
  <w:num w:numId="44">
    <w:abstractNumId w:val="132"/>
  </w:num>
  <w:num w:numId="45">
    <w:abstractNumId w:val="86"/>
  </w:num>
  <w:num w:numId="46">
    <w:abstractNumId w:val="0"/>
    <w:lvlOverride w:ilvl="0">
      <w:startOverride w:val="1"/>
    </w:lvlOverride>
    <w:lvlOverride w:ilvl="1"/>
    <w:lvlOverride w:ilvl="2"/>
    <w:lvlOverride w:ilvl="3"/>
    <w:lvlOverride w:ilvl="4"/>
    <w:lvlOverride w:ilvl="5"/>
    <w:lvlOverride w:ilvl="6"/>
    <w:lvlOverride w:ilvl="7"/>
    <w:lvlOverride w:ilvl="8"/>
  </w:num>
  <w:num w:numId="47">
    <w:abstractNumId w:val="100"/>
  </w:num>
  <w:num w:numId="48">
    <w:abstractNumId w:val="51"/>
  </w:num>
  <w:num w:numId="49">
    <w:abstractNumId w:val="23"/>
  </w:num>
  <w:num w:numId="50">
    <w:abstractNumId w:val="89"/>
  </w:num>
  <w:num w:numId="51">
    <w:abstractNumId w:val="128"/>
  </w:num>
  <w:num w:numId="52">
    <w:abstractNumId w:val="20"/>
  </w:num>
  <w:num w:numId="53">
    <w:abstractNumId w:val="1"/>
    <w:lvlOverride w:ilvl="0">
      <w:lvl w:ilvl="0">
        <w:start w:val="1"/>
        <w:numFmt w:val="bullet"/>
        <w:lvlText w:val=""/>
        <w:legacy w:legacy="1" w:legacySpace="0" w:legacyIndent="283"/>
        <w:lvlJc w:val="left"/>
        <w:pPr>
          <w:ind w:left="284" w:hanging="283"/>
        </w:pPr>
        <w:rPr>
          <w:rFonts w:ascii="Symbol" w:hAnsi="Symbol" w:hint="default"/>
          <w:sz w:val="20"/>
        </w:rPr>
      </w:lvl>
    </w:lvlOverride>
  </w:num>
  <w:num w:numId="54">
    <w:abstractNumId w:val="48"/>
  </w:num>
  <w:num w:numId="55">
    <w:abstractNumId w:val="28"/>
  </w:num>
  <w:num w:numId="56">
    <w:abstractNumId w:val="1"/>
    <w:lvlOverride w:ilvl="0">
      <w:lvl w:ilvl="0">
        <w:start w:val="1"/>
        <w:numFmt w:val="bullet"/>
        <w:lvlText w:val=""/>
        <w:legacy w:legacy="1" w:legacySpace="120" w:legacyIndent="360"/>
        <w:lvlJc w:val="left"/>
        <w:pPr>
          <w:ind w:left="360" w:hanging="360"/>
        </w:pPr>
        <w:rPr>
          <w:rFonts w:ascii="Symbol" w:hAnsi="Symbol" w:hint="default"/>
          <w:sz w:val="20"/>
        </w:rPr>
      </w:lvl>
    </w:lvlOverride>
  </w:num>
  <w:num w:numId="57">
    <w:abstractNumId w:val="169"/>
  </w:num>
  <w:num w:numId="58">
    <w:abstractNumId w:val="202"/>
  </w:num>
  <w:num w:numId="59">
    <w:abstractNumId w:val="139"/>
  </w:num>
  <w:num w:numId="60">
    <w:abstractNumId w:val="126"/>
  </w:num>
  <w:num w:numId="61">
    <w:abstractNumId w:val="60"/>
  </w:num>
  <w:num w:numId="62">
    <w:abstractNumId w:val="154"/>
  </w:num>
  <w:num w:numId="63">
    <w:abstractNumId w:val="1"/>
    <w:lvlOverride w:ilvl="0">
      <w:lvl w:ilvl="0">
        <w:start w:val="1"/>
        <w:numFmt w:val="bullet"/>
        <w:lvlText w:val=""/>
        <w:legacy w:legacy="1" w:legacySpace="0" w:legacyIndent="283"/>
        <w:lvlJc w:val="left"/>
        <w:pPr>
          <w:ind w:left="619" w:hanging="283"/>
        </w:pPr>
        <w:rPr>
          <w:rFonts w:ascii="Symbol" w:hAnsi="Symbol" w:hint="default"/>
        </w:rPr>
      </w:lvl>
    </w:lvlOverride>
  </w:num>
  <w:num w:numId="64">
    <w:abstractNumId w:val="106"/>
  </w:num>
  <w:num w:numId="65">
    <w:abstractNumId w:val="80"/>
  </w:num>
  <w:num w:numId="66">
    <w:abstractNumId w:val="76"/>
  </w:num>
  <w:num w:numId="67">
    <w:abstractNumId w:val="104"/>
  </w:num>
  <w:num w:numId="68">
    <w:abstractNumId w:val="182"/>
  </w:num>
  <w:num w:numId="69">
    <w:abstractNumId w:val="19"/>
  </w:num>
  <w:num w:numId="70">
    <w:abstractNumId w:val="32"/>
  </w:num>
  <w:num w:numId="71">
    <w:abstractNumId w:val="59"/>
  </w:num>
  <w:num w:numId="72">
    <w:abstractNumId w:val="87"/>
  </w:num>
  <w:num w:numId="73">
    <w:abstractNumId w:val="197"/>
  </w:num>
  <w:num w:numId="74">
    <w:abstractNumId w:val="200"/>
  </w:num>
  <w:num w:numId="75">
    <w:abstractNumId w:val="162"/>
  </w:num>
  <w:num w:numId="76">
    <w:abstractNumId w:val="102"/>
  </w:num>
  <w:num w:numId="77">
    <w:abstractNumId w:val="73"/>
  </w:num>
  <w:num w:numId="78">
    <w:abstractNumId w:val="149"/>
  </w:num>
  <w:num w:numId="79">
    <w:abstractNumId w:val="160"/>
  </w:num>
  <w:num w:numId="80">
    <w:abstractNumId w:val="112"/>
  </w:num>
  <w:num w:numId="81">
    <w:abstractNumId w:val="78"/>
  </w:num>
  <w:num w:numId="82">
    <w:abstractNumId w:val="190"/>
  </w:num>
  <w:num w:numId="83">
    <w:abstractNumId w:val="167"/>
  </w:num>
  <w:num w:numId="84">
    <w:abstractNumId w:val="6"/>
  </w:num>
  <w:num w:numId="85">
    <w:abstractNumId w:val="140"/>
  </w:num>
  <w:num w:numId="86">
    <w:abstractNumId w:val="130"/>
  </w:num>
  <w:num w:numId="87">
    <w:abstractNumId w:val="49"/>
  </w:num>
  <w:num w:numId="88">
    <w:abstractNumId w:val="118"/>
  </w:num>
  <w:num w:numId="89">
    <w:abstractNumId w:val="201"/>
    <w:lvlOverride w:ilvl="0">
      <w:startOverride w:val="1"/>
    </w:lvlOverride>
  </w:num>
  <w:num w:numId="90">
    <w:abstractNumId w:val="203"/>
    <w:lvlOverride w:ilvl="0">
      <w:startOverride w:val="1"/>
    </w:lvlOverride>
  </w:num>
  <w:num w:numId="91">
    <w:abstractNumId w:val="7"/>
    <w:lvlOverride w:ilvl="0">
      <w:startOverride w:val="2"/>
    </w:lvlOverride>
  </w:num>
  <w:num w:numId="92">
    <w:abstractNumId w:val="122"/>
    <w:lvlOverride w:ilvl="0">
      <w:startOverride w:val="3"/>
    </w:lvlOverride>
  </w:num>
  <w:num w:numId="93">
    <w:abstractNumId w:val="110"/>
    <w:lvlOverride w:ilvl="0">
      <w:startOverride w:val="1"/>
    </w:lvlOverride>
  </w:num>
  <w:num w:numId="94">
    <w:abstractNumId w:val="155"/>
    <w:lvlOverride w:ilvl="0">
      <w:startOverride w:val="2"/>
    </w:lvlOverride>
  </w:num>
  <w:num w:numId="95">
    <w:abstractNumId w:val="207"/>
    <w:lvlOverride w:ilvl="0">
      <w:startOverride w:val="1"/>
    </w:lvlOverride>
  </w:num>
  <w:num w:numId="96">
    <w:abstractNumId w:val="43"/>
    <w:lvlOverride w:ilvl="0">
      <w:startOverride w:val="2"/>
    </w:lvlOverride>
  </w:num>
  <w:num w:numId="97">
    <w:abstractNumId w:val="1"/>
    <w:lvlOverride w:ilvl="0">
      <w:lvl w:ilvl="0">
        <w:numFmt w:val="decimal"/>
        <w:lvlText w:val=""/>
        <w:legacy w:legacy="1" w:legacySpace="0" w:legacyIndent="283"/>
        <w:lvlJc w:val="left"/>
        <w:pPr>
          <w:ind w:left="283" w:hanging="283"/>
        </w:pPr>
        <w:rPr>
          <w:rFonts w:ascii="Symbol" w:hAnsi="Symbol" w:hint="default"/>
          <w:sz w:val="24"/>
        </w:rPr>
      </w:lvl>
    </w:lvlOverride>
  </w:num>
  <w:num w:numId="98">
    <w:abstractNumId w:val="41"/>
    <w:lvlOverride w:ilvl="0">
      <w:startOverride w:val="3"/>
    </w:lvlOverride>
  </w:num>
  <w:num w:numId="99">
    <w:abstractNumId w:val="158"/>
    <w:lvlOverride w:ilvl="0">
      <w:startOverride w:val="4"/>
    </w:lvlOverride>
  </w:num>
  <w:num w:numId="100">
    <w:abstractNumId w:val="24"/>
    <w:lvlOverride w:ilvl="0">
      <w:startOverride w:val="5"/>
    </w:lvlOverride>
  </w:num>
  <w:num w:numId="101">
    <w:abstractNumId w:val="9"/>
    <w:lvlOverride w:ilvl="0">
      <w:startOverride w:val="6"/>
    </w:lvlOverride>
  </w:num>
  <w:num w:numId="102">
    <w:abstractNumId w:val="66"/>
    <w:lvlOverride w:ilvl="0">
      <w:startOverride w:val="1"/>
    </w:lvlOverride>
  </w:num>
  <w:num w:numId="103">
    <w:abstractNumId w:val="183"/>
    <w:lvlOverride w:ilvl="0">
      <w:startOverride w:val="3"/>
    </w:lvlOverride>
  </w:num>
  <w:num w:numId="104">
    <w:abstractNumId w:val="171"/>
    <w:lvlOverride w:ilvl="0">
      <w:startOverride w:val="1"/>
    </w:lvlOverride>
  </w:num>
  <w:num w:numId="105">
    <w:abstractNumId w:val="75"/>
    <w:lvlOverride w:ilvl="0">
      <w:startOverride w:val="1"/>
    </w:lvlOverride>
  </w:num>
  <w:num w:numId="106">
    <w:abstractNumId w:val="14"/>
    <w:lvlOverride w:ilvl="0">
      <w:startOverride w:val="1"/>
    </w:lvlOverride>
  </w:num>
  <w:num w:numId="107">
    <w:abstractNumId w:val="184"/>
    <w:lvlOverride w:ilvl="0">
      <w:startOverride w:val="2"/>
    </w:lvlOverride>
  </w:num>
  <w:num w:numId="108">
    <w:abstractNumId w:val="37"/>
    <w:lvlOverride w:ilvl="0">
      <w:startOverride w:val="1"/>
    </w:lvlOverride>
  </w:num>
  <w:num w:numId="109">
    <w:abstractNumId w:val="35"/>
    <w:lvlOverride w:ilvl="0">
      <w:startOverride w:val="3"/>
    </w:lvlOverride>
  </w:num>
  <w:num w:numId="110">
    <w:abstractNumId w:val="115"/>
    <w:lvlOverride w:ilvl="0">
      <w:startOverride w:val="1"/>
    </w:lvlOverride>
  </w:num>
  <w:num w:numId="111">
    <w:abstractNumId w:val="137"/>
    <w:lvlOverride w:ilvl="0">
      <w:startOverride w:val="4"/>
    </w:lvlOverride>
  </w:num>
  <w:num w:numId="112">
    <w:abstractNumId w:val="95"/>
    <w:lvlOverride w:ilvl="0">
      <w:startOverride w:val="1"/>
    </w:lvlOverride>
  </w:num>
  <w:num w:numId="113">
    <w:abstractNumId w:val="103"/>
    <w:lvlOverride w:ilvl="0">
      <w:startOverride w:val="5"/>
    </w:lvlOverride>
  </w:num>
  <w:num w:numId="114">
    <w:abstractNumId w:val="12"/>
    <w:lvlOverride w:ilvl="0">
      <w:startOverride w:val="1"/>
    </w:lvlOverride>
  </w:num>
  <w:num w:numId="115">
    <w:abstractNumId w:val="105"/>
    <w:lvlOverride w:ilvl="0">
      <w:startOverride w:val="6"/>
    </w:lvlOverride>
  </w:num>
  <w:num w:numId="116">
    <w:abstractNumId w:val="206"/>
    <w:lvlOverride w:ilvl="0">
      <w:startOverride w:val="7"/>
    </w:lvlOverride>
  </w:num>
  <w:num w:numId="117">
    <w:abstractNumId w:val="179"/>
    <w:lvlOverride w:ilvl="0">
      <w:startOverride w:val="1"/>
    </w:lvlOverride>
  </w:num>
  <w:num w:numId="118">
    <w:abstractNumId w:val="163"/>
    <w:lvlOverride w:ilvl="0">
      <w:startOverride w:val="2"/>
    </w:lvlOverride>
  </w:num>
  <w:num w:numId="119">
    <w:abstractNumId w:val="157"/>
    <w:lvlOverride w:ilvl="0">
      <w:startOverride w:val="3"/>
    </w:lvlOverride>
  </w:num>
  <w:num w:numId="120">
    <w:abstractNumId w:val="172"/>
    <w:lvlOverride w:ilvl="0">
      <w:startOverride w:val="8"/>
    </w:lvlOverride>
  </w:num>
  <w:num w:numId="121">
    <w:abstractNumId w:val="65"/>
    <w:lvlOverride w:ilvl="0">
      <w:startOverride w:val="1"/>
    </w:lvlOverride>
  </w:num>
  <w:num w:numId="122">
    <w:abstractNumId w:val="25"/>
    <w:lvlOverride w:ilvl="0">
      <w:startOverride w:val="2"/>
    </w:lvlOverride>
  </w:num>
  <w:num w:numId="123">
    <w:abstractNumId w:val="107"/>
    <w:lvlOverride w:ilvl="0">
      <w:startOverride w:val="3"/>
    </w:lvlOverride>
  </w:num>
  <w:num w:numId="124">
    <w:abstractNumId w:val="153"/>
    <w:lvlOverride w:ilvl="0">
      <w:startOverride w:val="4"/>
    </w:lvlOverride>
  </w:num>
  <w:num w:numId="125">
    <w:abstractNumId w:val="181"/>
    <w:lvlOverride w:ilvl="0">
      <w:startOverride w:val="5"/>
    </w:lvlOverride>
  </w:num>
  <w:num w:numId="126">
    <w:abstractNumId w:val="173"/>
    <w:lvlOverride w:ilvl="0">
      <w:startOverride w:val="9"/>
    </w:lvlOverride>
  </w:num>
  <w:num w:numId="127">
    <w:abstractNumId w:val="189"/>
    <w:lvlOverride w:ilvl="0">
      <w:startOverride w:val="1"/>
    </w:lvlOverride>
  </w:num>
  <w:num w:numId="128">
    <w:abstractNumId w:val="144"/>
    <w:lvlOverride w:ilvl="0">
      <w:startOverride w:val="2"/>
    </w:lvlOverride>
  </w:num>
  <w:num w:numId="129">
    <w:abstractNumId w:val="168"/>
    <w:lvlOverride w:ilvl="0">
      <w:startOverride w:val="10"/>
    </w:lvlOverride>
  </w:num>
  <w:num w:numId="130">
    <w:abstractNumId w:val="124"/>
    <w:lvlOverride w:ilvl="0">
      <w:startOverride w:val="1"/>
    </w:lvlOverride>
  </w:num>
  <w:num w:numId="131">
    <w:abstractNumId w:val="117"/>
    <w:lvlOverride w:ilvl="0">
      <w:startOverride w:val="2"/>
    </w:lvlOverride>
  </w:num>
  <w:num w:numId="132">
    <w:abstractNumId w:val="114"/>
    <w:lvlOverride w:ilvl="0">
      <w:startOverride w:val="11"/>
    </w:lvlOverride>
  </w:num>
  <w:num w:numId="133">
    <w:abstractNumId w:val="27"/>
    <w:lvlOverride w:ilvl="0">
      <w:startOverride w:val="12"/>
    </w:lvlOverride>
  </w:num>
  <w:num w:numId="134">
    <w:abstractNumId w:val="194"/>
    <w:lvlOverride w:ilvl="0">
      <w:startOverride w:val="1"/>
    </w:lvlOverride>
  </w:num>
  <w:num w:numId="135">
    <w:abstractNumId w:val="170"/>
    <w:lvlOverride w:ilvl="0">
      <w:startOverride w:val="2"/>
    </w:lvlOverride>
  </w:num>
  <w:num w:numId="136">
    <w:abstractNumId w:val="53"/>
    <w:lvlOverride w:ilvl="0">
      <w:startOverride w:val="1"/>
    </w:lvlOverride>
  </w:num>
  <w:num w:numId="137">
    <w:abstractNumId w:val="45"/>
    <w:lvlOverride w:ilvl="0">
      <w:startOverride w:val="1"/>
    </w:lvlOverride>
  </w:num>
  <w:num w:numId="138">
    <w:abstractNumId w:val="127"/>
    <w:lvlOverride w:ilvl="0">
      <w:startOverride w:val="1"/>
    </w:lvlOverride>
  </w:num>
  <w:num w:numId="139">
    <w:abstractNumId w:val="176"/>
    <w:lvlOverride w:ilvl="0">
      <w:startOverride w:val="2"/>
    </w:lvlOverride>
  </w:num>
  <w:num w:numId="140">
    <w:abstractNumId w:val="34"/>
    <w:lvlOverride w:ilvl="0">
      <w:startOverride w:val="1"/>
    </w:lvlOverride>
  </w:num>
  <w:num w:numId="141">
    <w:abstractNumId w:val="29"/>
    <w:lvlOverride w:ilvl="0">
      <w:startOverride w:val="2"/>
    </w:lvlOverride>
  </w:num>
  <w:num w:numId="142">
    <w:abstractNumId w:val="166"/>
    <w:lvlOverride w:ilvl="0">
      <w:startOverride w:val="3"/>
    </w:lvlOverride>
  </w:num>
  <w:num w:numId="143">
    <w:abstractNumId w:val="93"/>
    <w:lvlOverride w:ilvl="0">
      <w:startOverride w:val="1"/>
    </w:lvlOverride>
  </w:num>
  <w:num w:numId="144">
    <w:abstractNumId w:val="1"/>
    <w:lvlOverride w:ilvl="0">
      <w:lvl w:ilvl="0">
        <w:numFmt w:val="decimal"/>
        <w:lvlText w:val=""/>
        <w:legacy w:legacy="1" w:legacySpace="0" w:legacyIndent="283"/>
        <w:lvlJc w:val="left"/>
        <w:pPr>
          <w:ind w:left="567" w:hanging="283"/>
        </w:pPr>
        <w:rPr>
          <w:rFonts w:ascii="Symbol" w:hAnsi="Symbol" w:hint="default"/>
        </w:rPr>
      </w:lvl>
    </w:lvlOverride>
  </w:num>
  <w:num w:numId="145">
    <w:abstractNumId w:val="93"/>
    <w:lvlOverride w:ilvl="0">
      <w:lvl w:ilvl="0">
        <w:start w:val="1"/>
        <w:numFmt w:val="decimal"/>
        <w:lvlText w:val="%1)"/>
        <w:legacy w:legacy="1" w:legacySpace="0" w:legacyIndent="283"/>
        <w:lvlJc w:val="left"/>
        <w:pPr>
          <w:ind w:left="283" w:hanging="283"/>
        </w:pPr>
      </w:lvl>
    </w:lvlOverride>
  </w:num>
  <w:num w:numId="146">
    <w:abstractNumId w:val="4"/>
    <w:lvlOverride w:ilvl="0">
      <w:startOverride w:val="4"/>
    </w:lvlOverride>
  </w:num>
  <w:num w:numId="147">
    <w:abstractNumId w:val="57"/>
    <w:lvlOverride w:ilvl="0">
      <w:startOverride w:val="5"/>
    </w:lvlOverride>
  </w:num>
  <w:num w:numId="148">
    <w:abstractNumId w:val="161"/>
    <w:lvlOverride w:ilvl="0">
      <w:startOverride w:val="6"/>
    </w:lvlOverride>
  </w:num>
  <w:num w:numId="149">
    <w:abstractNumId w:val="116"/>
    <w:lvlOverride w:ilvl="0">
      <w:startOverride w:val="7"/>
    </w:lvlOverride>
  </w:num>
  <w:num w:numId="150">
    <w:abstractNumId w:val="186"/>
    <w:lvlOverride w:ilvl="0">
      <w:startOverride w:val="8"/>
    </w:lvlOverride>
  </w:num>
  <w:num w:numId="151">
    <w:abstractNumId w:val="85"/>
    <w:lvlOverride w:ilvl="0">
      <w:startOverride w:val="1"/>
    </w:lvlOverride>
  </w:num>
  <w:num w:numId="152">
    <w:abstractNumId w:val="192"/>
    <w:lvlOverride w:ilvl="0">
      <w:startOverride w:val="2"/>
    </w:lvlOverride>
  </w:num>
  <w:num w:numId="153">
    <w:abstractNumId w:val="159"/>
    <w:lvlOverride w:ilvl="0">
      <w:startOverride w:val="3"/>
    </w:lvlOverride>
  </w:num>
  <w:num w:numId="154">
    <w:abstractNumId w:val="191"/>
    <w:lvlOverride w:ilvl="0">
      <w:startOverride w:val="4"/>
    </w:lvlOverride>
  </w:num>
  <w:num w:numId="155">
    <w:abstractNumId w:val="109"/>
    <w:lvlOverride w:ilvl="0">
      <w:startOverride w:val="5"/>
    </w:lvlOverride>
  </w:num>
  <w:num w:numId="156">
    <w:abstractNumId w:val="79"/>
    <w:lvlOverride w:ilvl="0">
      <w:startOverride w:val="6"/>
    </w:lvlOverride>
  </w:num>
  <w:num w:numId="157">
    <w:abstractNumId w:val="143"/>
    <w:lvlOverride w:ilvl="0">
      <w:startOverride w:val="9"/>
    </w:lvlOverride>
  </w:num>
  <w:num w:numId="158">
    <w:abstractNumId w:val="72"/>
    <w:lvlOverride w:ilvl="0">
      <w:startOverride w:val="1"/>
    </w:lvlOverride>
  </w:num>
  <w:num w:numId="159">
    <w:abstractNumId w:val="135"/>
    <w:lvlOverride w:ilvl="0">
      <w:startOverride w:val="1"/>
    </w:lvlOverride>
  </w:num>
  <w:num w:numId="160">
    <w:abstractNumId w:val="131"/>
    <w:lvlOverride w:ilvl="0">
      <w:startOverride w:val="2"/>
    </w:lvlOverride>
  </w:num>
  <w:num w:numId="161">
    <w:abstractNumId w:val="3"/>
    <w:lvlOverride w:ilvl="0">
      <w:startOverride w:val="3"/>
    </w:lvlOverride>
  </w:num>
  <w:num w:numId="162">
    <w:abstractNumId w:val="111"/>
    <w:lvlOverride w:ilvl="0">
      <w:startOverride w:val="10"/>
    </w:lvlOverride>
  </w:num>
  <w:num w:numId="163">
    <w:abstractNumId w:val="156"/>
    <w:lvlOverride w:ilvl="0">
      <w:startOverride w:val="1"/>
    </w:lvlOverride>
  </w:num>
  <w:num w:numId="164">
    <w:abstractNumId w:val="64"/>
    <w:lvlOverride w:ilvl="0">
      <w:startOverride w:val="2"/>
    </w:lvlOverride>
  </w:num>
  <w:num w:numId="165">
    <w:abstractNumId w:val="120"/>
    <w:lvlOverride w:ilvl="0">
      <w:startOverride w:val="1"/>
    </w:lvlOverride>
  </w:num>
  <w:num w:numId="166">
    <w:abstractNumId w:val="88"/>
    <w:lvlOverride w:ilvl="0">
      <w:startOverride w:val="3"/>
    </w:lvlOverride>
  </w:num>
  <w:num w:numId="167">
    <w:abstractNumId w:val="174"/>
    <w:lvlOverride w:ilvl="0">
      <w:startOverride w:val="1"/>
    </w:lvlOverride>
  </w:num>
  <w:num w:numId="168">
    <w:abstractNumId w:val="46"/>
    <w:lvlOverride w:ilvl="0">
      <w:startOverride w:val="4"/>
    </w:lvlOverride>
  </w:num>
  <w:num w:numId="169">
    <w:abstractNumId w:val="52"/>
    <w:lvlOverride w:ilvl="0">
      <w:startOverride w:val="5"/>
    </w:lvlOverride>
  </w:num>
  <w:num w:numId="170">
    <w:abstractNumId w:val="50"/>
    <w:lvlOverride w:ilvl="0">
      <w:startOverride w:val="6"/>
    </w:lvlOverride>
  </w:num>
  <w:num w:numId="171">
    <w:abstractNumId w:val="119"/>
    <w:lvlOverride w:ilvl="0">
      <w:startOverride w:val="1"/>
    </w:lvlOverride>
  </w:num>
  <w:num w:numId="172">
    <w:abstractNumId w:val="146"/>
    <w:lvlOverride w:ilvl="0">
      <w:startOverride w:val="2"/>
    </w:lvlOverride>
  </w:num>
  <w:num w:numId="173">
    <w:abstractNumId w:val="198"/>
    <w:lvlOverride w:ilvl="0">
      <w:startOverride w:val="3"/>
    </w:lvlOverride>
  </w:num>
  <w:num w:numId="174">
    <w:abstractNumId w:val="208"/>
    <w:lvlOverride w:ilvl="0">
      <w:startOverride w:val="4"/>
    </w:lvlOverride>
  </w:num>
  <w:num w:numId="175">
    <w:abstractNumId w:val="204"/>
    <w:lvlOverride w:ilvl="0">
      <w:startOverride w:val="7"/>
    </w:lvlOverride>
  </w:num>
  <w:num w:numId="176">
    <w:abstractNumId w:val="147"/>
    <w:lvlOverride w:ilvl="0">
      <w:startOverride w:val="1"/>
    </w:lvlOverride>
  </w:num>
  <w:num w:numId="177">
    <w:abstractNumId w:val="136"/>
    <w:lvlOverride w:ilvl="0">
      <w:startOverride w:val="8"/>
    </w:lvlOverride>
  </w:num>
  <w:num w:numId="178">
    <w:abstractNumId w:val="69"/>
    <w:lvlOverride w:ilvl="0">
      <w:startOverride w:val="9"/>
    </w:lvlOverride>
  </w:num>
  <w:num w:numId="179">
    <w:abstractNumId w:val="165"/>
    <w:lvlOverride w:ilvl="0">
      <w:startOverride w:val="1"/>
    </w:lvlOverride>
  </w:num>
  <w:num w:numId="180">
    <w:abstractNumId w:val="180"/>
    <w:lvlOverride w:ilvl="0">
      <w:startOverride w:val="2"/>
    </w:lvlOverride>
  </w:num>
  <w:num w:numId="181">
    <w:abstractNumId w:val="92"/>
    <w:lvlOverride w:ilvl="0">
      <w:startOverride w:val="3"/>
    </w:lvlOverride>
  </w:num>
  <w:num w:numId="182">
    <w:abstractNumId w:val="178"/>
    <w:lvlOverride w:ilvl="0">
      <w:startOverride w:val="4"/>
    </w:lvlOverride>
  </w:num>
  <w:num w:numId="183">
    <w:abstractNumId w:val="62"/>
    <w:lvlOverride w:ilvl="0">
      <w:startOverride w:val="5"/>
    </w:lvlOverride>
  </w:num>
  <w:num w:numId="184">
    <w:abstractNumId w:val="123"/>
    <w:lvlOverride w:ilvl="0">
      <w:startOverride w:val="10"/>
    </w:lvlOverride>
  </w:num>
  <w:num w:numId="185">
    <w:abstractNumId w:val="8"/>
    <w:lvlOverride w:ilvl="0">
      <w:startOverride w:val="1"/>
    </w:lvlOverride>
  </w:num>
  <w:num w:numId="186">
    <w:abstractNumId w:val="77"/>
    <w:lvlOverride w:ilvl="0">
      <w:startOverride w:val="1"/>
    </w:lvlOverride>
  </w:num>
  <w:num w:numId="187">
    <w:abstractNumId w:val="61"/>
    <w:lvlOverride w:ilvl="0">
      <w:startOverride w:val="2"/>
    </w:lvlOverride>
  </w:num>
  <w:num w:numId="188">
    <w:abstractNumId w:val="74"/>
    <w:lvlOverride w:ilvl="0">
      <w:startOverride w:val="3"/>
    </w:lvlOverride>
  </w:num>
  <w:num w:numId="189">
    <w:abstractNumId w:val="134"/>
    <w:lvlOverride w:ilvl="0">
      <w:startOverride w:val="4"/>
    </w:lvlOverride>
  </w:num>
  <w:num w:numId="190">
    <w:abstractNumId w:val="84"/>
    <w:lvlOverride w:ilvl="0">
      <w:startOverride w:val="53"/>
    </w:lvlOverride>
  </w:num>
  <w:num w:numId="191">
    <w:abstractNumId w:val="1"/>
    <w:lvlOverride w:ilvl="0">
      <w:lvl w:ilvl="0">
        <w:numFmt w:val="bullet"/>
        <w:lvlText w:val=""/>
        <w:legacy w:legacy="1" w:legacySpace="0" w:legacyIndent="283"/>
        <w:lvlJc w:val="left"/>
        <w:pPr>
          <w:ind w:left="328" w:hanging="283"/>
        </w:pPr>
        <w:rPr>
          <w:rFonts w:ascii="Symbol" w:hAnsi="Symbol" w:hint="default"/>
          <w:sz w:val="20"/>
        </w:rPr>
      </w:lvl>
    </w:lvlOverride>
  </w:num>
  <w:num w:numId="192">
    <w:abstractNumId w:val="21"/>
    <w:lvlOverride w:ilvl="0">
      <w:startOverride w:val="1"/>
    </w:lvlOverride>
  </w:num>
  <w:num w:numId="193">
    <w:abstractNumId w:val="17"/>
    <w:lvlOverride w:ilvl="0">
      <w:startOverride w:val="1"/>
    </w:lvlOverride>
  </w:num>
  <w:num w:numId="194">
    <w:abstractNumId w:val="30"/>
    <w:lvlOverride w:ilvl="0">
      <w:startOverride w:val="1"/>
    </w:lvlOverride>
  </w:num>
  <w:num w:numId="195">
    <w:abstractNumId w:val="10"/>
  </w:num>
  <w:num w:numId="196">
    <w:abstractNumId w:val="36"/>
  </w:num>
  <w:num w:numId="197">
    <w:abstractNumId w:val="82"/>
  </w:num>
  <w:num w:numId="198">
    <w:abstractNumId w:val="188"/>
  </w:num>
  <w:num w:numId="199">
    <w:abstractNumId w:val="71"/>
  </w:num>
  <w:num w:numId="200">
    <w:abstractNumId w:val="38"/>
  </w:num>
  <w:num w:numId="201">
    <w:abstractNumId w:val="31"/>
  </w:num>
  <w:num w:numId="202">
    <w:abstractNumId w:val="67"/>
  </w:num>
  <w:num w:numId="203">
    <w:abstractNumId w:val="81"/>
  </w:num>
  <w:num w:numId="204">
    <w:abstractNumId w:val="42"/>
  </w:num>
  <w:num w:numId="205">
    <w:abstractNumId w:val="150"/>
  </w:num>
  <w:num w:numId="206">
    <w:abstractNumId w:val="94"/>
  </w:num>
  <w:num w:numId="207">
    <w:abstractNumId w:val="148"/>
  </w:num>
  <w:num w:numId="208">
    <w:abstractNumId w:val="195"/>
  </w:num>
  <w:num w:numId="209">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33"/>
    <w:lvlOverride w:ilvl="0">
      <w:lvl w:ilvl="0">
        <w:start w:val="1"/>
        <w:numFmt w:val="decimal"/>
        <w:lvlText w:val="1.4.%1. "/>
        <w:legacy w:legacy="1" w:legacySpace="0" w:legacyIndent="283"/>
        <w:lvlJc w:val="left"/>
        <w:pPr>
          <w:ind w:left="283" w:hanging="283"/>
        </w:pPr>
        <w:rPr>
          <w:rFonts w:cs="Times New Roman"/>
          <w:b/>
          <w:i w:val="0"/>
          <w:sz w:val="20"/>
        </w:rPr>
      </w:lvl>
    </w:lvlOverride>
  </w:num>
  <w:num w:numId="213">
    <w:abstractNumId w:val="1"/>
    <w:lvlOverride w:ilvl="0">
      <w:lvl w:ilvl="0">
        <w:numFmt w:val="decimal"/>
        <w:lvlText w:val=""/>
        <w:legacy w:legacy="1" w:legacySpace="0" w:legacyIndent="283"/>
        <w:lvlJc w:val="left"/>
        <w:pPr>
          <w:ind w:left="283" w:hanging="283"/>
        </w:pPr>
        <w:rPr>
          <w:rFonts w:ascii="Symbol" w:hAnsi="Symbol" w:hint="default"/>
        </w:rPr>
      </w:lvl>
    </w:lvlOverride>
  </w:num>
  <w:num w:numId="214">
    <w:abstractNumId w:val="133"/>
    <w:lvlOverride w:ilvl="0">
      <w:startOverride w:val="5"/>
    </w:lvlOverride>
  </w:num>
  <w:num w:numId="215">
    <w:abstractNumId w:val="15"/>
    <w:lvlOverride w:ilvl="0">
      <w:startOverride w:val="1"/>
    </w:lvlOverride>
  </w:num>
  <w:num w:numId="216">
    <w:abstractNumId w:val="1"/>
    <w:lvlOverride w:ilvl="0">
      <w:lvl w:ilvl="0">
        <w:numFmt w:val="decimal"/>
        <w:lvlText w:val="-"/>
        <w:legacy w:legacy="1" w:legacySpace="0" w:legacyIndent="283"/>
        <w:lvlJc w:val="left"/>
        <w:pPr>
          <w:ind w:left="0" w:firstLine="0"/>
        </w:pPr>
        <w:rPr>
          <w:rFonts w:ascii="Bookman Old Style" w:hAnsi="Bookman Old Style" w:hint="default"/>
          <w:sz w:val="24"/>
        </w:rPr>
      </w:lvl>
    </w:lvlOverride>
  </w:num>
  <w:num w:numId="217">
    <w:abstractNumId w:val="141"/>
    <w:lvlOverride w:ilvl="0">
      <w:startOverride w:val="8"/>
    </w:lvlOverride>
  </w:num>
  <w:num w:numId="218">
    <w:abstractNumId w:val="91"/>
    <w:lvlOverride w:ilvl="0">
      <w:startOverride w:val="9"/>
    </w:lvlOverride>
  </w:num>
  <w:num w:numId="219">
    <w:abstractNumId w:val="13"/>
    <w:lvlOverride w:ilvl="0">
      <w:startOverride w:val="1"/>
    </w:lvlOverride>
  </w:num>
  <w:num w:numId="220">
    <w:abstractNumId w:val="98"/>
    <w:lvlOverride w:ilvl="0">
      <w:startOverride w:val="1"/>
    </w:lvlOverride>
  </w:num>
  <w:num w:numId="221">
    <w:abstractNumId w:val="63"/>
    <w:lvlOverride w:ilvl="0">
      <w:startOverride w:val="1"/>
    </w:lvlOverride>
  </w:num>
  <w:num w:numId="222">
    <w:abstractNumId w:val="96"/>
    <w:lvlOverride w:ilvl="0">
      <w:startOverride w:val="14"/>
    </w:lvlOverride>
  </w:num>
  <w:num w:numId="223">
    <w:abstractNumId w:val="151"/>
    <w:lvlOverride w:ilvl="0">
      <w:startOverride w:val="1"/>
    </w:lvlOverride>
  </w:num>
  <w:num w:numId="224">
    <w:abstractNumId w:val="177"/>
    <w:lvlOverride w:ilvl="0">
      <w:startOverride w:val="1"/>
    </w:lvlOverride>
  </w:num>
  <w:num w:numId="225">
    <w:abstractNumId w:val="187"/>
    <w:lvlOverride w:ilvl="0">
      <w:startOverride w:val="2"/>
    </w:lvlOverride>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7C6"/>
    <w:rsid w:val="000A3041"/>
    <w:rsid w:val="002122BD"/>
    <w:rsid w:val="00216C9A"/>
    <w:rsid w:val="00234EE1"/>
    <w:rsid w:val="004327C6"/>
    <w:rsid w:val="004940FC"/>
    <w:rsid w:val="0051730D"/>
    <w:rsid w:val="00537CA2"/>
    <w:rsid w:val="0058374A"/>
    <w:rsid w:val="005E49B3"/>
    <w:rsid w:val="006341C3"/>
    <w:rsid w:val="00656459"/>
    <w:rsid w:val="00675564"/>
    <w:rsid w:val="00683496"/>
    <w:rsid w:val="008028C9"/>
    <w:rsid w:val="00896AAE"/>
    <w:rsid w:val="00A36FDB"/>
    <w:rsid w:val="00A46F82"/>
    <w:rsid w:val="00AE1813"/>
    <w:rsid w:val="00B718AA"/>
    <w:rsid w:val="00D36192"/>
    <w:rsid w:val="00E07AC4"/>
    <w:rsid w:val="00E3297D"/>
    <w:rsid w:val="00E52B27"/>
    <w:rsid w:val="00ED0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shapelayout v:ext="edit">
      <o:idmap v:ext="edit" data="1"/>
    </o:shapelayout>
  </w:shapeDefaults>
  <w:decimalSymbol w:val=","/>
  <w:listSeparator w:val=";"/>
  <w15:docId w15:val="{E9069797-A2C6-4168-89DC-52B0A1B5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27C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52B27"/>
    <w:pPr>
      <w:keepNext/>
      <w:keepLines/>
      <w:suppressAutoHyphens/>
      <w:spacing w:before="120" w:after="120"/>
      <w:jc w:val="both"/>
      <w:outlineLvl w:val="0"/>
    </w:pPr>
    <w:rPr>
      <w:b/>
      <w:caps/>
      <w:kern w:val="28"/>
    </w:rPr>
  </w:style>
  <w:style w:type="paragraph" w:styleId="Nagwek2">
    <w:name w:val="heading 2"/>
    <w:basedOn w:val="Normalny"/>
    <w:next w:val="Normalny"/>
    <w:link w:val="Nagwek2Znak"/>
    <w:uiPriority w:val="9"/>
    <w:qFormat/>
    <w:rsid w:val="00E52B27"/>
    <w:pPr>
      <w:keepNext/>
      <w:spacing w:before="120" w:after="120"/>
      <w:jc w:val="both"/>
      <w:outlineLvl w:val="1"/>
    </w:pPr>
    <w:rPr>
      <w:b/>
    </w:rPr>
  </w:style>
  <w:style w:type="paragraph" w:styleId="Nagwek3">
    <w:name w:val="heading 3"/>
    <w:basedOn w:val="Normalny"/>
    <w:next w:val="Normalny"/>
    <w:link w:val="Nagwek3Znak"/>
    <w:uiPriority w:val="9"/>
    <w:qFormat/>
    <w:rsid w:val="00E52B27"/>
    <w:pPr>
      <w:keepNext/>
      <w:spacing w:before="60" w:after="60"/>
      <w:jc w:val="both"/>
      <w:outlineLvl w:val="2"/>
    </w:pPr>
  </w:style>
  <w:style w:type="paragraph" w:styleId="Nagwek4">
    <w:name w:val="heading 4"/>
    <w:basedOn w:val="Normalny"/>
    <w:next w:val="Normalny"/>
    <w:link w:val="Nagwek4Znak"/>
    <w:uiPriority w:val="9"/>
    <w:unhideWhenUsed/>
    <w:qFormat/>
    <w:rsid w:val="0051730D"/>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51730D"/>
    <w:pPr>
      <w:keepNext/>
      <w:jc w:val="center"/>
      <w:outlineLvl w:val="4"/>
    </w:pPr>
    <w:rPr>
      <w:sz w:val="40"/>
      <w:lang w:val="x-none" w:eastAsia="x-none"/>
    </w:rPr>
  </w:style>
  <w:style w:type="paragraph" w:styleId="Nagwek6">
    <w:name w:val="heading 6"/>
    <w:basedOn w:val="Normalny"/>
    <w:next w:val="Normalny"/>
    <w:link w:val="Nagwek6Znak"/>
    <w:qFormat/>
    <w:rsid w:val="0051730D"/>
    <w:pPr>
      <w:spacing w:before="120"/>
      <w:jc w:val="center"/>
      <w:outlineLvl w:val="5"/>
    </w:pPr>
    <w:rPr>
      <w:rFonts w:ascii="Arial" w:hAnsi="Arial"/>
      <w:b/>
      <w:sz w:val="24"/>
      <w:lang w:val="x-none" w:eastAsia="x-none"/>
    </w:rPr>
  </w:style>
  <w:style w:type="paragraph" w:styleId="Nagwek7">
    <w:name w:val="heading 7"/>
    <w:basedOn w:val="Normalny"/>
    <w:next w:val="Normalny"/>
    <w:link w:val="Nagwek7Znak"/>
    <w:qFormat/>
    <w:rsid w:val="0051730D"/>
    <w:pPr>
      <w:keepNext/>
      <w:jc w:val="both"/>
      <w:outlineLvl w:val="6"/>
    </w:pPr>
    <w:rPr>
      <w:b/>
      <w:bCs/>
      <w:sz w:val="24"/>
      <w:szCs w:val="24"/>
      <w:lang w:val="x-none" w:eastAsia="x-none"/>
    </w:rPr>
  </w:style>
  <w:style w:type="paragraph" w:styleId="Nagwek8">
    <w:name w:val="heading 8"/>
    <w:basedOn w:val="Normalny"/>
    <w:next w:val="Normalny"/>
    <w:link w:val="Nagwek8Znak"/>
    <w:qFormat/>
    <w:rsid w:val="0051730D"/>
    <w:pPr>
      <w:keepNext/>
      <w:numPr>
        <w:numId w:val="32"/>
      </w:numPr>
      <w:jc w:val="right"/>
      <w:outlineLvl w:val="7"/>
    </w:pPr>
    <w:rPr>
      <w:rFonts w:ascii="Arial" w:hAnsi="Arial"/>
      <w:sz w:val="24"/>
      <w:lang w:val="x-none" w:eastAsia="x-none"/>
    </w:rPr>
  </w:style>
  <w:style w:type="paragraph" w:styleId="Nagwek9">
    <w:name w:val="heading 9"/>
    <w:basedOn w:val="Normalny"/>
    <w:next w:val="Normalny"/>
    <w:link w:val="Nagwek9Znak"/>
    <w:qFormat/>
    <w:rsid w:val="0051730D"/>
    <w:pPr>
      <w:keepNext/>
      <w:ind w:left="3780"/>
      <w:jc w:val="both"/>
      <w:outlineLvl w:val="8"/>
    </w:pPr>
    <w:rPr>
      <w:b/>
      <w:b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2B2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E52B2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52B27"/>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uiPriority w:val="9"/>
    <w:rsid w:val="0051730D"/>
    <w:rPr>
      <w:rFonts w:ascii="Calibri" w:eastAsia="Times New Roman" w:hAnsi="Calibri" w:cs="Times New Roman"/>
      <w:b/>
      <w:bCs/>
      <w:sz w:val="28"/>
      <w:szCs w:val="28"/>
      <w:lang w:val="x-none" w:eastAsia="x-none"/>
    </w:rPr>
  </w:style>
  <w:style w:type="character" w:customStyle="1" w:styleId="Nagwek5Znak">
    <w:name w:val="Nagłówek 5 Znak"/>
    <w:basedOn w:val="Domylnaczcionkaakapitu"/>
    <w:link w:val="Nagwek5"/>
    <w:rsid w:val="0051730D"/>
    <w:rPr>
      <w:rFonts w:ascii="Times New Roman" w:eastAsia="Times New Roman" w:hAnsi="Times New Roman" w:cs="Times New Roman"/>
      <w:sz w:val="40"/>
      <w:szCs w:val="20"/>
      <w:lang w:val="x-none" w:eastAsia="x-none"/>
    </w:rPr>
  </w:style>
  <w:style w:type="character" w:customStyle="1" w:styleId="Nagwek6Znak">
    <w:name w:val="Nagłówek 6 Znak"/>
    <w:basedOn w:val="Domylnaczcionkaakapitu"/>
    <w:link w:val="Nagwek6"/>
    <w:rsid w:val="0051730D"/>
    <w:rPr>
      <w:rFonts w:ascii="Arial" w:eastAsia="Times New Roman" w:hAnsi="Arial" w:cs="Times New Roman"/>
      <w:b/>
      <w:sz w:val="24"/>
      <w:szCs w:val="20"/>
      <w:lang w:val="x-none" w:eastAsia="x-none"/>
    </w:rPr>
  </w:style>
  <w:style w:type="character" w:customStyle="1" w:styleId="Nagwek7Znak">
    <w:name w:val="Nagłówek 7 Znak"/>
    <w:basedOn w:val="Domylnaczcionkaakapitu"/>
    <w:link w:val="Nagwek7"/>
    <w:rsid w:val="0051730D"/>
    <w:rPr>
      <w:rFonts w:ascii="Times New Roman" w:eastAsia="Times New Roman" w:hAnsi="Times New Roman" w:cs="Times New Roman"/>
      <w:b/>
      <w:bCs/>
      <w:sz w:val="24"/>
      <w:szCs w:val="24"/>
      <w:lang w:val="x-none" w:eastAsia="x-none"/>
    </w:rPr>
  </w:style>
  <w:style w:type="character" w:customStyle="1" w:styleId="Nagwek8Znak">
    <w:name w:val="Nagłówek 8 Znak"/>
    <w:basedOn w:val="Domylnaczcionkaakapitu"/>
    <w:link w:val="Nagwek8"/>
    <w:rsid w:val="0051730D"/>
    <w:rPr>
      <w:rFonts w:ascii="Arial" w:eastAsia="Times New Roman" w:hAnsi="Arial" w:cs="Times New Roman"/>
      <w:sz w:val="24"/>
      <w:szCs w:val="20"/>
      <w:lang w:val="x-none" w:eastAsia="x-none"/>
    </w:rPr>
  </w:style>
  <w:style w:type="character" w:customStyle="1" w:styleId="Nagwek9Znak">
    <w:name w:val="Nagłówek 9 Znak"/>
    <w:basedOn w:val="Domylnaczcionkaakapitu"/>
    <w:link w:val="Nagwek9"/>
    <w:rsid w:val="0051730D"/>
    <w:rPr>
      <w:rFonts w:ascii="Times New Roman" w:eastAsia="Times New Roman" w:hAnsi="Times New Roman" w:cs="Times New Roman"/>
      <w:b/>
      <w:bCs/>
      <w:sz w:val="24"/>
      <w:szCs w:val="24"/>
      <w:lang w:val="x-none" w:eastAsia="x-none"/>
    </w:rPr>
  </w:style>
  <w:style w:type="paragraph" w:customStyle="1" w:styleId="tekstost">
    <w:name w:val="tekst ost"/>
    <w:basedOn w:val="Normalny"/>
    <w:rsid w:val="00E52B27"/>
    <w:pPr>
      <w:jc w:val="both"/>
    </w:pPr>
  </w:style>
  <w:style w:type="paragraph" w:customStyle="1" w:styleId="Standardowytekst">
    <w:name w:val="Standardowy.tekst"/>
    <w:rsid w:val="00E52B27"/>
    <w:pPr>
      <w:spacing w:after="0" w:line="240" w:lineRule="auto"/>
      <w:jc w:val="both"/>
    </w:pPr>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E52B27"/>
    <w:pPr>
      <w:tabs>
        <w:tab w:val="center" w:pos="4536"/>
        <w:tab w:val="right" w:pos="9072"/>
      </w:tabs>
    </w:pPr>
  </w:style>
  <w:style w:type="character" w:customStyle="1" w:styleId="StopkaZnak">
    <w:name w:val="Stopka Znak"/>
    <w:basedOn w:val="Domylnaczcionkaakapitu"/>
    <w:link w:val="Stopka"/>
    <w:uiPriority w:val="99"/>
    <w:rsid w:val="00E52B27"/>
    <w:rPr>
      <w:rFonts w:ascii="Times New Roman" w:eastAsia="Times New Roman" w:hAnsi="Times New Roman" w:cs="Times New Roman"/>
      <w:sz w:val="20"/>
      <w:szCs w:val="20"/>
      <w:lang w:eastAsia="pl-PL"/>
    </w:rPr>
  </w:style>
  <w:style w:type="paragraph" w:styleId="Bezodstpw">
    <w:name w:val="No Spacing"/>
    <w:basedOn w:val="Normalny"/>
    <w:link w:val="BezodstpwZnak"/>
    <w:uiPriority w:val="1"/>
    <w:qFormat/>
    <w:rsid w:val="00E52B27"/>
    <w:pPr>
      <w:ind w:firstLine="697"/>
      <w:jc w:val="both"/>
    </w:pPr>
    <w:rPr>
      <w:rFonts w:eastAsia="Calibri"/>
      <w:sz w:val="24"/>
      <w:szCs w:val="24"/>
      <w:lang w:eastAsia="en-US"/>
    </w:rPr>
  </w:style>
  <w:style w:type="character" w:customStyle="1" w:styleId="BezodstpwZnak">
    <w:name w:val="Bez odstępów Znak"/>
    <w:basedOn w:val="Domylnaczcionkaakapitu"/>
    <w:link w:val="Bezodstpw"/>
    <w:rsid w:val="00E52B27"/>
    <w:rPr>
      <w:rFonts w:ascii="Times New Roman" w:eastAsia="Calibri" w:hAnsi="Times New Roman" w:cs="Times New Roman"/>
      <w:sz w:val="24"/>
      <w:szCs w:val="24"/>
    </w:rPr>
  </w:style>
  <w:style w:type="paragraph" w:styleId="Akapitzlist">
    <w:name w:val="List Paragraph"/>
    <w:basedOn w:val="Normalny"/>
    <w:uiPriority w:val="1"/>
    <w:qFormat/>
    <w:rsid w:val="00E52B27"/>
    <w:pPr>
      <w:ind w:left="720"/>
      <w:contextualSpacing/>
    </w:pPr>
  </w:style>
  <w:style w:type="paragraph" w:styleId="Nagwek">
    <w:name w:val="header"/>
    <w:basedOn w:val="Normalny"/>
    <w:link w:val="NagwekZnak"/>
    <w:uiPriority w:val="99"/>
    <w:unhideWhenUsed/>
    <w:rsid w:val="00E52B27"/>
    <w:pPr>
      <w:tabs>
        <w:tab w:val="center" w:pos="4536"/>
        <w:tab w:val="right" w:pos="9072"/>
      </w:tabs>
    </w:pPr>
  </w:style>
  <w:style w:type="character" w:customStyle="1" w:styleId="NagwekZnak">
    <w:name w:val="Nagłówek Znak"/>
    <w:basedOn w:val="Domylnaczcionkaakapitu"/>
    <w:link w:val="Nagwek"/>
    <w:uiPriority w:val="99"/>
    <w:rsid w:val="00E52B27"/>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rsid w:val="00E52B27"/>
    <w:rPr>
      <w:rFonts w:ascii="Tahoma" w:eastAsia="Times New Roman" w:hAnsi="Tahoma" w:cs="Tahoma"/>
      <w:sz w:val="16"/>
      <w:szCs w:val="16"/>
      <w:lang w:eastAsia="pl-PL"/>
    </w:rPr>
  </w:style>
  <w:style w:type="paragraph" w:styleId="Tekstdymka">
    <w:name w:val="Balloon Text"/>
    <w:basedOn w:val="Normalny"/>
    <w:link w:val="TekstdymkaZnak"/>
    <w:unhideWhenUsed/>
    <w:rsid w:val="00E52B27"/>
    <w:rPr>
      <w:rFonts w:ascii="Tahoma" w:hAnsi="Tahoma" w:cs="Tahoma"/>
      <w:sz w:val="16"/>
      <w:szCs w:val="16"/>
    </w:rPr>
  </w:style>
  <w:style w:type="character" w:customStyle="1" w:styleId="TekstkomentarzaZnak">
    <w:name w:val="Tekst komentarza Znak"/>
    <w:basedOn w:val="Domylnaczcionkaakapitu"/>
    <w:link w:val="Tekstkomentarza"/>
    <w:uiPriority w:val="99"/>
    <w:rsid w:val="00E52B2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E52B27"/>
  </w:style>
  <w:style w:type="character" w:customStyle="1" w:styleId="TematkomentarzaZnak">
    <w:name w:val="Temat komentarza Znak"/>
    <w:basedOn w:val="TekstkomentarzaZnak"/>
    <w:link w:val="Tematkomentarza"/>
    <w:rsid w:val="00E52B27"/>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nhideWhenUsed/>
    <w:rsid w:val="00E52B27"/>
    <w:rPr>
      <w:b/>
      <w:bCs/>
    </w:rPr>
  </w:style>
  <w:style w:type="paragraph" w:customStyle="1" w:styleId="FooterOdd">
    <w:name w:val="Footer Odd"/>
    <w:basedOn w:val="Normalny"/>
    <w:qFormat/>
    <w:rsid w:val="00E52B27"/>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Cs w:val="23"/>
      <w:lang w:eastAsia="ja-JP"/>
    </w:rPr>
  </w:style>
  <w:style w:type="paragraph" w:customStyle="1" w:styleId="HeaderEven">
    <w:name w:val="Header Even"/>
    <w:basedOn w:val="Bezodstpw"/>
    <w:qFormat/>
    <w:rsid w:val="00E52B27"/>
    <w:pPr>
      <w:pBdr>
        <w:bottom w:val="single" w:sz="4" w:space="1" w:color="4F81BD" w:themeColor="accent1"/>
      </w:pBdr>
      <w:ind w:firstLine="0"/>
      <w:jc w:val="left"/>
    </w:pPr>
    <w:rPr>
      <w:rFonts w:asciiTheme="minorHAnsi" w:eastAsiaTheme="minorEastAsia" w:hAnsiTheme="minorHAnsi" w:cstheme="minorBidi"/>
      <w:b/>
      <w:bCs/>
      <w:color w:val="1F497D" w:themeColor="text2"/>
      <w:sz w:val="20"/>
      <w:szCs w:val="23"/>
      <w:lang w:eastAsia="ja-JP"/>
    </w:rPr>
  </w:style>
  <w:style w:type="character" w:styleId="Numerstrony">
    <w:name w:val="page number"/>
    <w:basedOn w:val="Domylnaczcionkaakapitu"/>
    <w:rsid w:val="00E52B27"/>
  </w:style>
  <w:style w:type="paragraph" w:styleId="Tekstpodstawowywcity">
    <w:name w:val="Body Text Indent"/>
    <w:basedOn w:val="Normalny"/>
    <w:link w:val="TekstpodstawowywcityZnak"/>
    <w:uiPriority w:val="99"/>
    <w:rsid w:val="00E52B27"/>
    <w:pPr>
      <w:spacing w:line="360" w:lineRule="auto"/>
      <w:ind w:left="390"/>
    </w:pPr>
    <w:rPr>
      <w:rFonts w:ascii="Arial" w:hAnsi="Arial"/>
      <w:sz w:val="22"/>
    </w:rPr>
  </w:style>
  <w:style w:type="character" w:customStyle="1" w:styleId="TekstpodstawowywcityZnak">
    <w:name w:val="Tekst podstawowy wcięty Znak"/>
    <w:basedOn w:val="Domylnaczcionkaakapitu"/>
    <w:link w:val="Tekstpodstawowywcity"/>
    <w:uiPriority w:val="99"/>
    <w:rsid w:val="00E52B27"/>
    <w:rPr>
      <w:rFonts w:ascii="Arial" w:eastAsia="Times New Roman" w:hAnsi="Arial" w:cs="Times New Roman"/>
      <w:szCs w:val="20"/>
      <w:lang w:eastAsia="pl-PL"/>
    </w:rPr>
  </w:style>
  <w:style w:type="paragraph" w:customStyle="1" w:styleId="Styl2">
    <w:name w:val="Styl2"/>
    <w:basedOn w:val="Normalny"/>
    <w:next w:val="Normalny"/>
    <w:autoRedefine/>
    <w:qFormat/>
    <w:rsid w:val="0051730D"/>
    <w:pPr>
      <w:numPr>
        <w:ilvl w:val="12"/>
      </w:numPr>
      <w:jc w:val="both"/>
    </w:pPr>
    <w:rPr>
      <w:b/>
      <w:i/>
      <w:sz w:val="22"/>
      <w:szCs w:val="22"/>
    </w:rPr>
  </w:style>
  <w:style w:type="paragraph" w:styleId="Tekstpodstawowy2">
    <w:name w:val="Body Text 2"/>
    <w:basedOn w:val="Normalny"/>
    <w:link w:val="Tekstpodstawowy2Znak"/>
    <w:uiPriority w:val="99"/>
    <w:rsid w:val="0051730D"/>
    <w:pPr>
      <w:tabs>
        <w:tab w:val="left" w:pos="0"/>
      </w:tabs>
      <w:spacing w:line="360" w:lineRule="auto"/>
      <w:jc w:val="both"/>
    </w:pPr>
    <w:rPr>
      <w:sz w:val="22"/>
    </w:rPr>
  </w:style>
  <w:style w:type="character" w:customStyle="1" w:styleId="Tekstpodstawowy2Znak">
    <w:name w:val="Tekst podstawowy 2 Znak"/>
    <w:basedOn w:val="Domylnaczcionkaakapitu"/>
    <w:link w:val="Tekstpodstawowy2"/>
    <w:uiPriority w:val="99"/>
    <w:rsid w:val="0051730D"/>
    <w:rPr>
      <w:rFonts w:ascii="Times New Roman" w:eastAsia="Times New Roman" w:hAnsi="Times New Roman" w:cs="Times New Roman"/>
      <w:szCs w:val="20"/>
      <w:lang w:eastAsia="pl-PL"/>
    </w:rPr>
  </w:style>
  <w:style w:type="character" w:customStyle="1" w:styleId="MapadokumentuZnak">
    <w:name w:val="Mapa dokumentu Znak"/>
    <w:aliases w:val="Plan dokumentu Znak"/>
    <w:basedOn w:val="Domylnaczcionkaakapitu"/>
    <w:link w:val="Mapadokumentu"/>
    <w:semiHidden/>
    <w:rsid w:val="0051730D"/>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51730D"/>
    <w:pPr>
      <w:shd w:val="clear" w:color="auto" w:fill="000080"/>
    </w:pPr>
    <w:rPr>
      <w:rFonts w:ascii="Tahoma" w:hAnsi="Tahoma" w:cs="Tahoma"/>
    </w:rPr>
  </w:style>
  <w:style w:type="paragraph" w:customStyle="1" w:styleId="Styl1">
    <w:name w:val="Styl1"/>
    <w:basedOn w:val="Normalny"/>
    <w:qFormat/>
    <w:rsid w:val="0051730D"/>
    <w:pPr>
      <w:spacing w:line="360" w:lineRule="auto"/>
    </w:pPr>
    <w:rPr>
      <w:rFonts w:ascii="Arial" w:hAnsi="Arial"/>
      <w:b/>
      <w:sz w:val="22"/>
      <w:szCs w:val="21"/>
    </w:rPr>
  </w:style>
  <w:style w:type="paragraph" w:customStyle="1" w:styleId="Styl3">
    <w:name w:val="Styl3"/>
    <w:basedOn w:val="Nagwek1"/>
    <w:autoRedefine/>
    <w:rsid w:val="0051730D"/>
    <w:pPr>
      <w:spacing w:line="360" w:lineRule="auto"/>
    </w:pPr>
    <w:rPr>
      <w:color w:val="FF0000"/>
      <w:sz w:val="22"/>
      <w:szCs w:val="21"/>
    </w:rPr>
  </w:style>
  <w:style w:type="paragraph" w:styleId="Spistreci1">
    <w:name w:val="toc 1"/>
    <w:basedOn w:val="Normalny"/>
    <w:next w:val="Normalny"/>
    <w:uiPriority w:val="39"/>
    <w:rsid w:val="0051730D"/>
    <w:pPr>
      <w:tabs>
        <w:tab w:val="right" w:leader="dot" w:pos="7371"/>
      </w:tabs>
      <w:overflowPunct w:val="0"/>
      <w:autoSpaceDE w:val="0"/>
      <w:autoSpaceDN w:val="0"/>
      <w:adjustRightInd w:val="0"/>
      <w:spacing w:before="120" w:after="120"/>
      <w:textAlignment w:val="baseline"/>
    </w:pPr>
    <w:rPr>
      <w:b/>
      <w:caps/>
    </w:rPr>
  </w:style>
  <w:style w:type="paragraph" w:customStyle="1" w:styleId="StylIwony">
    <w:name w:val="Styl Iwony"/>
    <w:basedOn w:val="Normalny"/>
    <w:rsid w:val="0051730D"/>
    <w:pPr>
      <w:overflowPunct w:val="0"/>
      <w:autoSpaceDE w:val="0"/>
      <w:autoSpaceDN w:val="0"/>
      <w:adjustRightInd w:val="0"/>
      <w:spacing w:before="120" w:after="120"/>
      <w:jc w:val="both"/>
      <w:textAlignment w:val="baseline"/>
    </w:pPr>
    <w:rPr>
      <w:rFonts w:ascii="Bookman Old Style" w:hAnsi="Bookman Old Style"/>
      <w:sz w:val="24"/>
    </w:rPr>
  </w:style>
  <w:style w:type="paragraph" w:styleId="Tekstprzypisudolnego">
    <w:name w:val="footnote text"/>
    <w:basedOn w:val="Normalny"/>
    <w:link w:val="TekstprzypisudolnegoZnak"/>
    <w:rsid w:val="0051730D"/>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rsid w:val="0051730D"/>
    <w:rPr>
      <w:rFonts w:ascii="Times New Roman" w:eastAsia="Times New Roman" w:hAnsi="Times New Roman" w:cs="Times New Roman"/>
      <w:sz w:val="20"/>
      <w:szCs w:val="20"/>
      <w:lang w:eastAsia="pl-PL"/>
    </w:rPr>
  </w:style>
  <w:style w:type="paragraph" w:customStyle="1" w:styleId="Default">
    <w:name w:val="Default"/>
    <w:rsid w:val="0051730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aliases w:val="a2, Znak Znak, Znak"/>
    <w:basedOn w:val="Normalny"/>
    <w:link w:val="TekstpodstawowyZnak"/>
    <w:uiPriority w:val="1"/>
    <w:qFormat/>
    <w:rsid w:val="0051730D"/>
    <w:pPr>
      <w:spacing w:after="120"/>
    </w:pPr>
  </w:style>
  <w:style w:type="character" w:customStyle="1" w:styleId="TekstpodstawowyZnak">
    <w:name w:val="Tekst podstawowy Znak"/>
    <w:aliases w:val="a2 Znak1, Znak Znak Znak1, Znak Znak1"/>
    <w:basedOn w:val="Domylnaczcionkaakapitu"/>
    <w:link w:val="Tekstpodstawowy"/>
    <w:rsid w:val="0051730D"/>
    <w:rPr>
      <w:rFonts w:ascii="Times New Roman" w:eastAsia="Times New Roman" w:hAnsi="Times New Roman" w:cs="Times New Roman"/>
      <w:sz w:val="20"/>
      <w:szCs w:val="20"/>
      <w:lang w:eastAsia="pl-PL"/>
    </w:rPr>
  </w:style>
  <w:style w:type="paragraph" w:customStyle="1" w:styleId="Standardowy1">
    <w:name w:val="Standardowy1"/>
    <w:rsid w:val="0051730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BodySingle">
    <w:name w:val="Body Single"/>
    <w:rsid w:val="0051730D"/>
    <w:pPr>
      <w:keepLines/>
      <w:overflowPunct w:val="0"/>
      <w:autoSpaceDE w:val="0"/>
      <w:autoSpaceDN w:val="0"/>
      <w:adjustRightInd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pl-PL"/>
    </w:rPr>
  </w:style>
  <w:style w:type="paragraph" w:customStyle="1" w:styleId="Bullet">
    <w:name w:val="Bullet"/>
    <w:rsid w:val="0051730D"/>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 w:type="paragraph" w:customStyle="1" w:styleId="Bullet1">
    <w:name w:val="Bullet 1"/>
    <w:rsid w:val="0051730D"/>
    <w:pPr>
      <w:overflowPunct w:val="0"/>
      <w:autoSpaceDE w:val="0"/>
      <w:autoSpaceDN w:val="0"/>
      <w:adjustRightInd w:val="0"/>
      <w:spacing w:after="43" w:line="240" w:lineRule="auto"/>
      <w:ind w:left="453" w:hanging="453"/>
      <w:jc w:val="both"/>
      <w:textAlignment w:val="baseline"/>
    </w:pPr>
    <w:rPr>
      <w:rFonts w:ascii="Times New Roman" w:eastAsia="Times New Roman" w:hAnsi="Times New Roman" w:cs="Times New Roman"/>
      <w:color w:val="000000"/>
      <w:sz w:val="24"/>
      <w:szCs w:val="20"/>
      <w:lang w:eastAsia="pl-PL"/>
    </w:rPr>
  </w:style>
  <w:style w:type="paragraph" w:customStyle="1" w:styleId="Subhead">
    <w:name w:val="Subhead"/>
    <w:rsid w:val="0051730D"/>
    <w:pPr>
      <w:overflowPunct w:val="0"/>
      <w:autoSpaceDE w:val="0"/>
      <w:autoSpaceDN w:val="0"/>
      <w:adjustRightInd w:val="0"/>
      <w:spacing w:after="288" w:line="240" w:lineRule="auto"/>
      <w:ind w:left="567" w:hanging="567"/>
      <w:jc w:val="both"/>
      <w:textAlignment w:val="baseline"/>
    </w:pPr>
    <w:rPr>
      <w:rFonts w:ascii="Times New Roman" w:eastAsia="Times New Roman" w:hAnsi="Times New Roman" w:cs="Times New Roman"/>
      <w:b/>
      <w:color w:val="000000"/>
      <w:sz w:val="24"/>
      <w:szCs w:val="20"/>
      <w:lang w:eastAsia="pl-PL"/>
    </w:rPr>
  </w:style>
  <w:style w:type="paragraph" w:styleId="Tytu">
    <w:name w:val="Title"/>
    <w:basedOn w:val="Standardowy1"/>
    <w:link w:val="TytuZnak"/>
    <w:qFormat/>
    <w:rsid w:val="0051730D"/>
    <w:pPr>
      <w:keepNext/>
      <w:keepLines/>
      <w:spacing w:after="669"/>
      <w:ind w:left="1655" w:hanging="1655"/>
      <w:jc w:val="both"/>
    </w:pPr>
    <w:rPr>
      <w:b/>
      <w:caps/>
      <w:color w:val="000000"/>
      <w:sz w:val="28"/>
      <w:lang w:val="x-none" w:eastAsia="x-none"/>
    </w:rPr>
  </w:style>
  <w:style w:type="character" w:customStyle="1" w:styleId="TytuZnak">
    <w:name w:val="Tytuł Znak"/>
    <w:basedOn w:val="Domylnaczcionkaakapitu"/>
    <w:link w:val="Tytu"/>
    <w:rsid w:val="0051730D"/>
    <w:rPr>
      <w:rFonts w:ascii="Times New Roman" w:eastAsia="Times New Roman" w:hAnsi="Times New Roman" w:cs="Times New Roman"/>
      <w:b/>
      <w:caps/>
      <w:color w:val="000000"/>
      <w:sz w:val="28"/>
      <w:szCs w:val="20"/>
      <w:lang w:val="x-none" w:eastAsia="x-none"/>
    </w:rPr>
  </w:style>
  <w:style w:type="paragraph" w:customStyle="1" w:styleId="Nagwekstrony">
    <w:name w:val="Nag³ówek strony"/>
    <w:basedOn w:val="Standardowy1"/>
    <w:rsid w:val="0051730D"/>
    <w:pPr>
      <w:tabs>
        <w:tab w:val="center" w:pos="4536"/>
        <w:tab w:val="right" w:pos="9072"/>
      </w:tabs>
    </w:pPr>
  </w:style>
  <w:style w:type="paragraph" w:customStyle="1" w:styleId="TableText">
    <w:name w:val="Table Text"/>
    <w:rsid w:val="0051730D"/>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0"/>
      <w:lang w:eastAsia="pl-PL"/>
    </w:rPr>
  </w:style>
  <w:style w:type="paragraph" w:customStyle="1" w:styleId="Bullet2">
    <w:name w:val="Bullet2"/>
    <w:basedOn w:val="Bullet"/>
    <w:rsid w:val="0051730D"/>
    <w:pPr>
      <w:ind w:left="1304" w:hanging="510"/>
    </w:pPr>
    <w:rPr>
      <w:b w:val="0"/>
    </w:rPr>
  </w:style>
  <w:style w:type="paragraph" w:customStyle="1" w:styleId="Bullet3">
    <w:name w:val="Bullet3"/>
    <w:basedOn w:val="Bullet2"/>
    <w:rsid w:val="0051730D"/>
    <w:pPr>
      <w:ind w:left="1701"/>
    </w:pPr>
  </w:style>
  <w:style w:type="paragraph" w:customStyle="1" w:styleId="Bullet0">
    <w:name w:val="Bullet0"/>
    <w:basedOn w:val="Bullet"/>
    <w:rsid w:val="0051730D"/>
    <w:pPr>
      <w:tabs>
        <w:tab w:val="center" w:pos="4513"/>
      </w:tabs>
      <w:suppressAutoHyphens/>
    </w:pPr>
    <w:rPr>
      <w:b w:val="0"/>
    </w:rPr>
  </w:style>
  <w:style w:type="paragraph" w:customStyle="1" w:styleId="BULLET4">
    <w:name w:val="BULLET"/>
    <w:basedOn w:val="Bullet0"/>
    <w:rsid w:val="0051730D"/>
    <w:pPr>
      <w:ind w:left="0" w:firstLine="0"/>
    </w:pPr>
  </w:style>
  <w:style w:type="paragraph" w:customStyle="1" w:styleId="Tekstpodstawowy21">
    <w:name w:val="Tekst podstawowy 21"/>
    <w:basedOn w:val="Standardowy1"/>
    <w:rsid w:val="0051730D"/>
    <w:pPr>
      <w:jc w:val="center"/>
    </w:pPr>
    <w:rPr>
      <w:sz w:val="22"/>
    </w:rPr>
  </w:style>
  <w:style w:type="character" w:styleId="Hipercze">
    <w:name w:val="Hyperlink"/>
    <w:uiPriority w:val="99"/>
    <w:rsid w:val="0051730D"/>
    <w:rPr>
      <w:color w:val="0000FF"/>
      <w:u w:val="single"/>
    </w:rPr>
  </w:style>
  <w:style w:type="paragraph" w:styleId="Tekstpodstawowywcity2">
    <w:name w:val="Body Text Indent 2"/>
    <w:basedOn w:val="Normalny"/>
    <w:link w:val="Tekstpodstawowywcity2Znak"/>
    <w:uiPriority w:val="99"/>
    <w:rsid w:val="0051730D"/>
    <w:pPr>
      <w:ind w:left="720" w:hanging="360"/>
    </w:pPr>
    <w:rPr>
      <w:sz w:val="24"/>
      <w:szCs w:val="24"/>
      <w:lang w:val="x-none" w:eastAsia="x-none"/>
    </w:rPr>
  </w:style>
  <w:style w:type="character" w:customStyle="1" w:styleId="Tekstpodstawowywcity2Znak">
    <w:name w:val="Tekst podstawowy wcięty 2 Znak"/>
    <w:basedOn w:val="Domylnaczcionkaakapitu"/>
    <w:link w:val="Tekstpodstawowywcity2"/>
    <w:uiPriority w:val="99"/>
    <w:rsid w:val="0051730D"/>
    <w:rPr>
      <w:rFonts w:ascii="Times New Roman" w:eastAsia="Times New Roman" w:hAnsi="Times New Roman" w:cs="Times New Roman"/>
      <w:sz w:val="24"/>
      <w:szCs w:val="24"/>
      <w:lang w:val="x-none" w:eastAsia="x-none"/>
    </w:rPr>
  </w:style>
  <w:style w:type="character" w:styleId="UyteHipercze">
    <w:name w:val="FollowedHyperlink"/>
    <w:rsid w:val="0051730D"/>
    <w:rPr>
      <w:color w:val="800080"/>
      <w:u w:val="single"/>
    </w:rPr>
  </w:style>
  <w:style w:type="paragraph" w:styleId="NormalnyWeb">
    <w:name w:val="Normal (Web)"/>
    <w:basedOn w:val="Normalny"/>
    <w:rsid w:val="0051730D"/>
    <w:pPr>
      <w:spacing w:before="100" w:beforeAutospacing="1" w:after="100" w:afterAutospacing="1"/>
    </w:pPr>
    <w:rPr>
      <w:sz w:val="24"/>
      <w:szCs w:val="24"/>
    </w:rPr>
  </w:style>
  <w:style w:type="character" w:styleId="Uwydatnienie">
    <w:name w:val="Emphasis"/>
    <w:qFormat/>
    <w:rsid w:val="0051730D"/>
    <w:rPr>
      <w:i/>
      <w:iCs/>
    </w:rPr>
  </w:style>
  <w:style w:type="paragraph" w:styleId="Tekstpodstawowywcity3">
    <w:name w:val="Body Text Indent 3"/>
    <w:basedOn w:val="Normalny"/>
    <w:link w:val="Tekstpodstawowywcity3Znak"/>
    <w:rsid w:val="0051730D"/>
    <w:pPr>
      <w:ind w:left="360"/>
    </w:pPr>
    <w:rPr>
      <w:sz w:val="24"/>
      <w:lang w:val="x-none" w:eastAsia="x-none"/>
    </w:rPr>
  </w:style>
  <w:style w:type="character" w:customStyle="1" w:styleId="Tekstpodstawowywcity3Znak">
    <w:name w:val="Tekst podstawowy wcięty 3 Znak"/>
    <w:basedOn w:val="Domylnaczcionkaakapitu"/>
    <w:link w:val="Tekstpodstawowywcity3"/>
    <w:rsid w:val="0051730D"/>
    <w:rPr>
      <w:rFonts w:ascii="Times New Roman" w:eastAsia="Times New Roman" w:hAnsi="Times New Roman" w:cs="Times New Roman"/>
      <w:sz w:val="24"/>
      <w:szCs w:val="20"/>
      <w:lang w:val="x-none" w:eastAsia="x-none"/>
    </w:rPr>
  </w:style>
  <w:style w:type="character" w:customStyle="1" w:styleId="tekstdokbold">
    <w:name w:val="tekst dok. bold"/>
    <w:rsid w:val="0051730D"/>
    <w:rPr>
      <w:b/>
    </w:rPr>
  </w:style>
  <w:style w:type="paragraph" w:customStyle="1" w:styleId="zacznik">
    <w:name w:val="załącznik"/>
    <w:basedOn w:val="Tekstpodstawowy"/>
    <w:autoRedefine/>
    <w:rsid w:val="0051730D"/>
    <w:pPr>
      <w:tabs>
        <w:tab w:val="left" w:pos="1701"/>
      </w:tabs>
      <w:spacing w:after="0"/>
      <w:ind w:left="1701" w:hanging="1701"/>
      <w:jc w:val="both"/>
    </w:pPr>
    <w:rPr>
      <w:iCs/>
      <w:sz w:val="24"/>
    </w:rPr>
  </w:style>
  <w:style w:type="paragraph" w:styleId="Zwykytekst">
    <w:name w:val="Plain Text"/>
    <w:basedOn w:val="Normalny"/>
    <w:link w:val="ZwykytekstZnak"/>
    <w:rsid w:val="0051730D"/>
    <w:rPr>
      <w:rFonts w:ascii="Courier New" w:hAnsi="Courier New"/>
      <w:lang w:val="x-none" w:eastAsia="x-none"/>
    </w:rPr>
  </w:style>
  <w:style w:type="character" w:customStyle="1" w:styleId="ZwykytekstZnak">
    <w:name w:val="Zwykły tekst Znak"/>
    <w:basedOn w:val="Domylnaczcionkaakapitu"/>
    <w:link w:val="Zwykytekst"/>
    <w:rsid w:val="0051730D"/>
    <w:rPr>
      <w:rFonts w:ascii="Courier New" w:eastAsia="Times New Roman" w:hAnsi="Courier New" w:cs="Times New Roman"/>
      <w:sz w:val="20"/>
      <w:szCs w:val="20"/>
      <w:lang w:val="x-none" w:eastAsia="x-none"/>
    </w:rPr>
  </w:style>
  <w:style w:type="paragraph" w:styleId="Podtytu">
    <w:name w:val="Subtitle"/>
    <w:basedOn w:val="Normalny"/>
    <w:link w:val="PodtytuZnak"/>
    <w:qFormat/>
    <w:rsid w:val="0051730D"/>
    <w:pPr>
      <w:spacing w:line="360" w:lineRule="auto"/>
      <w:jc w:val="center"/>
    </w:pPr>
    <w:rPr>
      <w:rFonts w:ascii="Tahoma" w:hAnsi="Tahoma"/>
      <w:b/>
      <w:szCs w:val="24"/>
      <w:lang w:val="x-none" w:eastAsia="x-none"/>
    </w:rPr>
  </w:style>
  <w:style w:type="character" w:customStyle="1" w:styleId="PodtytuZnak">
    <w:name w:val="Podtytuł Znak"/>
    <w:basedOn w:val="Domylnaczcionkaakapitu"/>
    <w:link w:val="Podtytu"/>
    <w:rsid w:val="0051730D"/>
    <w:rPr>
      <w:rFonts w:ascii="Tahoma" w:eastAsia="Times New Roman" w:hAnsi="Tahoma" w:cs="Times New Roman"/>
      <w:b/>
      <w:sz w:val="20"/>
      <w:szCs w:val="24"/>
      <w:lang w:val="x-none" w:eastAsia="x-none"/>
    </w:rPr>
  </w:style>
  <w:style w:type="character" w:customStyle="1" w:styleId="dane1">
    <w:name w:val="dane1"/>
    <w:rsid w:val="0051730D"/>
    <w:rPr>
      <w:color w:val="0000CD"/>
    </w:rPr>
  </w:style>
  <w:style w:type="paragraph" w:customStyle="1" w:styleId="Tekstpodstawowywcity31">
    <w:name w:val="Tekst podstawowy wcięty 31"/>
    <w:basedOn w:val="Normalny"/>
    <w:rsid w:val="0051730D"/>
    <w:pPr>
      <w:overflowPunct w:val="0"/>
      <w:autoSpaceDE w:val="0"/>
      <w:autoSpaceDN w:val="0"/>
      <w:adjustRightInd w:val="0"/>
      <w:ind w:firstLine="709"/>
      <w:jc w:val="both"/>
    </w:pPr>
  </w:style>
  <w:style w:type="paragraph" w:customStyle="1" w:styleId="rozdzia">
    <w:name w:val="rozdział"/>
    <w:basedOn w:val="Normalny"/>
    <w:autoRedefine/>
    <w:rsid w:val="0051730D"/>
    <w:pPr>
      <w:spacing w:line="360" w:lineRule="auto"/>
      <w:jc w:val="center"/>
    </w:pPr>
    <w:rPr>
      <w:b/>
      <w:caps/>
      <w:spacing w:val="8"/>
      <w:sz w:val="24"/>
    </w:rPr>
  </w:style>
  <w:style w:type="paragraph" w:styleId="Lista">
    <w:name w:val="List"/>
    <w:basedOn w:val="Normalny"/>
    <w:rsid w:val="0051730D"/>
    <w:pPr>
      <w:ind w:left="283" w:hanging="283"/>
    </w:pPr>
    <w:rPr>
      <w:rFonts w:ascii="Arial" w:hAnsi="Arial"/>
      <w:sz w:val="24"/>
    </w:rPr>
  </w:style>
  <w:style w:type="paragraph" w:styleId="Lista2">
    <w:name w:val="List 2"/>
    <w:basedOn w:val="Normalny"/>
    <w:rsid w:val="0051730D"/>
    <w:pPr>
      <w:ind w:left="566" w:hanging="283"/>
    </w:pPr>
    <w:rPr>
      <w:sz w:val="24"/>
      <w:szCs w:val="24"/>
    </w:rPr>
  </w:style>
  <w:style w:type="paragraph" w:styleId="Lista-kontynuacja2">
    <w:name w:val="List Continue 2"/>
    <w:basedOn w:val="Normalny"/>
    <w:rsid w:val="0051730D"/>
    <w:pPr>
      <w:spacing w:after="120"/>
      <w:ind w:left="566"/>
    </w:pPr>
  </w:style>
  <w:style w:type="paragraph" w:styleId="Zagicieodgryformularza">
    <w:name w:val="HTML Top of Form"/>
    <w:basedOn w:val="Normalny"/>
    <w:next w:val="Normalny"/>
    <w:link w:val="ZagicieodgryformularzaZnak"/>
    <w:hidden/>
    <w:rsid w:val="0051730D"/>
    <w:pPr>
      <w:pBdr>
        <w:bottom w:val="single" w:sz="6" w:space="1" w:color="auto"/>
      </w:pBdr>
      <w:jc w:val="center"/>
    </w:pPr>
    <w:rPr>
      <w:rFonts w:ascii="Arial" w:hAnsi="Arial"/>
      <w:vanish/>
      <w:sz w:val="16"/>
      <w:szCs w:val="16"/>
      <w:lang w:val="x-none" w:eastAsia="x-none"/>
    </w:rPr>
  </w:style>
  <w:style w:type="character" w:customStyle="1" w:styleId="ZagicieodgryformularzaZnak">
    <w:name w:val="Zagięcie od góry formularza Znak"/>
    <w:basedOn w:val="Domylnaczcionkaakapitu"/>
    <w:link w:val="Zagicieodgryformularza"/>
    <w:rsid w:val="0051730D"/>
    <w:rPr>
      <w:rFonts w:ascii="Arial" w:eastAsia="Times New Roman" w:hAnsi="Arial" w:cs="Times New Roman"/>
      <w:vanish/>
      <w:sz w:val="16"/>
      <w:szCs w:val="16"/>
      <w:lang w:val="x-none" w:eastAsia="x-none"/>
    </w:rPr>
  </w:style>
  <w:style w:type="paragraph" w:styleId="Zagicieoddouformularza">
    <w:name w:val="HTML Bottom of Form"/>
    <w:basedOn w:val="Normalny"/>
    <w:next w:val="Normalny"/>
    <w:link w:val="ZagicieoddouformularzaZnak"/>
    <w:hidden/>
    <w:rsid w:val="0051730D"/>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basedOn w:val="Domylnaczcionkaakapitu"/>
    <w:link w:val="Zagicieoddouformularza"/>
    <w:rsid w:val="0051730D"/>
    <w:rPr>
      <w:rFonts w:ascii="Arial" w:eastAsia="Times New Roman" w:hAnsi="Arial" w:cs="Times New Roman"/>
      <w:vanish/>
      <w:sz w:val="16"/>
      <w:szCs w:val="16"/>
      <w:lang w:val="x-none" w:eastAsia="x-none"/>
    </w:rPr>
  </w:style>
  <w:style w:type="character" w:customStyle="1" w:styleId="tahoma11black1">
    <w:name w:val="tahoma11black1"/>
    <w:rsid w:val="0051730D"/>
    <w:rPr>
      <w:rFonts w:ascii="Tahoma" w:hAnsi="Tahoma" w:cs="Tahoma" w:hint="default"/>
      <w:b w:val="0"/>
      <w:bCs w:val="0"/>
      <w:i w:val="0"/>
      <w:iCs w:val="0"/>
      <w:color w:val="000000"/>
      <w:sz w:val="17"/>
      <w:szCs w:val="17"/>
    </w:rPr>
  </w:style>
  <w:style w:type="character" w:styleId="Pogrubienie">
    <w:name w:val="Strong"/>
    <w:qFormat/>
    <w:rsid w:val="0051730D"/>
    <w:rPr>
      <w:b/>
      <w:bCs/>
    </w:rPr>
  </w:style>
  <w:style w:type="character" w:customStyle="1" w:styleId="opiszdjecie1">
    <w:name w:val="opiszdjecie1"/>
    <w:rsid w:val="0051730D"/>
    <w:rPr>
      <w:rFonts w:ascii="Tahoma" w:hAnsi="Tahoma" w:cs="Tahoma" w:hint="default"/>
      <w:b w:val="0"/>
      <w:bCs w:val="0"/>
      <w:i w:val="0"/>
      <w:iCs w:val="0"/>
      <w:color w:val="333333"/>
      <w:sz w:val="15"/>
      <w:szCs w:val="15"/>
    </w:rPr>
  </w:style>
  <w:style w:type="character" w:customStyle="1" w:styleId="textfooter1">
    <w:name w:val="textfooter1"/>
    <w:rsid w:val="0051730D"/>
    <w:rPr>
      <w:rFonts w:ascii="Tahoma" w:hAnsi="Tahoma" w:cs="Tahoma" w:hint="default"/>
      <w:i w:val="0"/>
      <w:iCs w:val="0"/>
      <w:color w:val="444444"/>
      <w:sz w:val="17"/>
      <w:szCs w:val="17"/>
    </w:rPr>
  </w:style>
  <w:style w:type="character" w:customStyle="1" w:styleId="textfootermina5">
    <w:name w:val="textfooter mina5"/>
    <w:rsid w:val="0051730D"/>
  </w:style>
  <w:style w:type="paragraph" w:customStyle="1" w:styleId="akapittytul">
    <w:name w:val="akapit_tytul"/>
    <w:basedOn w:val="Normalny"/>
    <w:rsid w:val="0051730D"/>
    <w:pPr>
      <w:spacing w:before="150" w:after="100" w:afterAutospacing="1"/>
      <w:jc w:val="center"/>
    </w:pPr>
    <w:rPr>
      <w:sz w:val="18"/>
      <w:szCs w:val="18"/>
    </w:rPr>
  </w:style>
  <w:style w:type="character" w:customStyle="1" w:styleId="sszaro1">
    <w:name w:val="sszaro1"/>
    <w:rsid w:val="0051730D"/>
    <w:rPr>
      <w:rFonts w:ascii="Trebuchet MS" w:hAnsi="Trebuchet MS" w:hint="default"/>
      <w:color w:val="999999"/>
      <w:sz w:val="18"/>
      <w:szCs w:val="18"/>
    </w:rPr>
  </w:style>
  <w:style w:type="character" w:customStyle="1" w:styleId="sniebiesko1">
    <w:name w:val="sniebiesko1"/>
    <w:rsid w:val="0051730D"/>
    <w:rPr>
      <w:rFonts w:ascii="Trebuchet MS" w:hAnsi="Trebuchet MS" w:hint="default"/>
      <w:color w:val="5382DA"/>
      <w:sz w:val="18"/>
      <w:szCs w:val="18"/>
    </w:rPr>
  </w:style>
  <w:style w:type="character" w:customStyle="1" w:styleId="textprace1">
    <w:name w:val="text_prace1"/>
    <w:rsid w:val="0051730D"/>
    <w:rPr>
      <w:rFonts w:ascii="Verdana" w:hAnsi="Verdana" w:hint="default"/>
      <w:color w:val="000000"/>
      <w:sz w:val="18"/>
      <w:szCs w:val="18"/>
    </w:rPr>
  </w:style>
  <w:style w:type="character" w:customStyle="1" w:styleId="sszaro21">
    <w:name w:val="sszaro21"/>
    <w:rsid w:val="0051730D"/>
    <w:rPr>
      <w:rFonts w:ascii="Trebuchet MS" w:hAnsi="Trebuchet MS" w:hint="default"/>
      <w:color w:val="545454"/>
      <w:sz w:val="18"/>
      <w:szCs w:val="18"/>
    </w:rPr>
  </w:style>
  <w:style w:type="character" w:customStyle="1" w:styleId="mw-headline">
    <w:name w:val="mw-headline"/>
    <w:rsid w:val="0051730D"/>
  </w:style>
  <w:style w:type="character" w:customStyle="1" w:styleId="editsection">
    <w:name w:val="editsection"/>
    <w:rsid w:val="0051730D"/>
  </w:style>
  <w:style w:type="character" w:customStyle="1" w:styleId="text11">
    <w:name w:val="text_11"/>
    <w:rsid w:val="0051730D"/>
  </w:style>
  <w:style w:type="character" w:styleId="Odwoaniedokomentarza">
    <w:name w:val="annotation reference"/>
    <w:rsid w:val="0051730D"/>
    <w:rPr>
      <w:sz w:val="16"/>
      <w:szCs w:val="16"/>
    </w:rPr>
  </w:style>
  <w:style w:type="character" w:customStyle="1" w:styleId="contentheading1">
    <w:name w:val="contentheading1"/>
    <w:rsid w:val="0051730D"/>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51730D"/>
    <w:pPr>
      <w:spacing w:before="100" w:beforeAutospacing="1" w:after="100" w:afterAutospacing="1"/>
    </w:pPr>
    <w:rPr>
      <w:sz w:val="24"/>
      <w:szCs w:val="24"/>
      <w:lang w:val="x-none" w:eastAsia="x-none"/>
    </w:rPr>
  </w:style>
  <w:style w:type="character" w:customStyle="1" w:styleId="Podpise-mailZnak">
    <w:name w:val="Podpis e-mail Znak"/>
    <w:basedOn w:val="Domylnaczcionkaakapitu"/>
    <w:link w:val="Podpise-mail"/>
    <w:rsid w:val="0051730D"/>
    <w:rPr>
      <w:rFonts w:ascii="Times New Roman" w:eastAsia="Times New Roman" w:hAnsi="Times New Roman" w:cs="Times New Roman"/>
      <w:sz w:val="24"/>
      <w:szCs w:val="24"/>
      <w:lang w:val="x-none" w:eastAsia="x-none"/>
    </w:rPr>
  </w:style>
  <w:style w:type="paragraph" w:customStyle="1" w:styleId="Nagwek21">
    <w:name w:val="Nagłówek 21"/>
    <w:basedOn w:val="Normalny"/>
    <w:rsid w:val="0051730D"/>
    <w:pPr>
      <w:spacing w:before="100" w:beforeAutospacing="1" w:after="100" w:afterAutospacing="1"/>
      <w:outlineLvl w:val="2"/>
    </w:pPr>
    <w:rPr>
      <w:color w:val="646497"/>
      <w:sz w:val="38"/>
      <w:szCs w:val="38"/>
    </w:rPr>
  </w:style>
  <w:style w:type="paragraph" w:customStyle="1" w:styleId="NormalnyWeb1">
    <w:name w:val="Normalny (Web)1"/>
    <w:basedOn w:val="Normalny"/>
    <w:rsid w:val="0051730D"/>
    <w:pPr>
      <w:spacing w:before="100" w:beforeAutospacing="1" w:after="100" w:afterAutospacing="1" w:line="312" w:lineRule="atLeast"/>
      <w:jc w:val="both"/>
    </w:pPr>
    <w:rPr>
      <w:color w:val="6C6C00"/>
      <w:sz w:val="26"/>
      <w:szCs w:val="26"/>
    </w:rPr>
  </w:style>
  <w:style w:type="character" w:customStyle="1" w:styleId="HTML-cytat2">
    <w:name w:val="HTML - cytat2"/>
    <w:rsid w:val="0051730D"/>
    <w:rPr>
      <w:i/>
      <w:iCs/>
      <w:color w:val="6C6C00"/>
      <w:sz w:val="26"/>
      <w:szCs w:val="26"/>
    </w:rPr>
  </w:style>
  <w:style w:type="character" w:customStyle="1" w:styleId="HTML-cytat1">
    <w:name w:val="HTML - cytat1"/>
    <w:rsid w:val="0051730D"/>
    <w:rPr>
      <w:i/>
      <w:iCs/>
      <w:color w:val="646497"/>
      <w:spacing w:val="15"/>
      <w:sz w:val="18"/>
      <w:szCs w:val="18"/>
    </w:rPr>
  </w:style>
  <w:style w:type="character" w:customStyle="1" w:styleId="def1">
    <w:name w:val="def1"/>
    <w:rsid w:val="0051730D"/>
    <w:rPr>
      <w:color w:val="646497"/>
    </w:rPr>
  </w:style>
  <w:style w:type="paragraph" w:customStyle="1" w:styleId="khheader">
    <w:name w:val="kh_header"/>
    <w:basedOn w:val="Normalny"/>
    <w:rsid w:val="0051730D"/>
    <w:pPr>
      <w:spacing w:line="420" w:lineRule="atLeast"/>
      <w:jc w:val="center"/>
    </w:pPr>
    <w:rPr>
      <w:sz w:val="28"/>
      <w:szCs w:val="28"/>
    </w:rPr>
  </w:style>
  <w:style w:type="paragraph" w:customStyle="1" w:styleId="khtitle">
    <w:name w:val="kh_title"/>
    <w:basedOn w:val="Normalny"/>
    <w:rsid w:val="0051730D"/>
    <w:pPr>
      <w:spacing w:before="375" w:after="225"/>
    </w:pPr>
    <w:rPr>
      <w:b/>
      <w:bCs/>
      <w:sz w:val="24"/>
      <w:szCs w:val="24"/>
      <w:u w:val="single"/>
    </w:rPr>
  </w:style>
  <w:style w:type="paragraph" w:customStyle="1" w:styleId="stopka0">
    <w:name w:val="stopka"/>
    <w:basedOn w:val="Normalny"/>
    <w:rsid w:val="0051730D"/>
    <w:rPr>
      <w:sz w:val="24"/>
      <w:szCs w:val="24"/>
    </w:rPr>
  </w:style>
  <w:style w:type="paragraph" w:customStyle="1" w:styleId="tytu0">
    <w:name w:val="tytuł"/>
    <w:basedOn w:val="Normalny"/>
    <w:next w:val="Normalny"/>
    <w:autoRedefine/>
    <w:rsid w:val="0051730D"/>
    <w:pPr>
      <w:jc w:val="center"/>
      <w:outlineLvl w:val="0"/>
    </w:pPr>
    <w:rPr>
      <w:b/>
      <w:sz w:val="28"/>
      <w:szCs w:val="28"/>
    </w:rPr>
  </w:style>
  <w:style w:type="paragraph" w:styleId="Tekstpodstawowy3">
    <w:name w:val="Body Text 3"/>
    <w:basedOn w:val="Normalny"/>
    <w:link w:val="Tekstpodstawowy3Znak"/>
    <w:rsid w:val="0051730D"/>
    <w:pPr>
      <w:spacing w:before="120"/>
      <w:jc w:val="both"/>
    </w:pPr>
    <w:rPr>
      <w:i/>
      <w:iCs/>
      <w:sz w:val="24"/>
      <w:szCs w:val="24"/>
      <w:lang w:val="x-none" w:eastAsia="x-none"/>
    </w:rPr>
  </w:style>
  <w:style w:type="character" w:customStyle="1" w:styleId="Tekstpodstawowy3Znak">
    <w:name w:val="Tekst podstawowy 3 Znak"/>
    <w:basedOn w:val="Domylnaczcionkaakapitu"/>
    <w:link w:val="Tekstpodstawowy3"/>
    <w:rsid w:val="0051730D"/>
    <w:rPr>
      <w:rFonts w:ascii="Times New Roman" w:eastAsia="Times New Roman" w:hAnsi="Times New Roman" w:cs="Times New Roman"/>
      <w:i/>
      <w:iCs/>
      <w:sz w:val="24"/>
      <w:szCs w:val="24"/>
      <w:lang w:val="x-none" w:eastAsia="x-none"/>
    </w:rPr>
  </w:style>
  <w:style w:type="paragraph" w:customStyle="1" w:styleId="tekstdokumentu">
    <w:name w:val="tekst dokumentu"/>
    <w:basedOn w:val="Normalny"/>
    <w:autoRedefine/>
    <w:rsid w:val="0051730D"/>
    <w:pPr>
      <w:spacing w:before="120" w:after="120"/>
      <w:ind w:left="1680" w:hanging="1680"/>
      <w:jc w:val="both"/>
    </w:pPr>
    <w:rPr>
      <w:b/>
      <w:bCs/>
      <w:iCs/>
      <w:sz w:val="24"/>
    </w:rPr>
  </w:style>
  <w:style w:type="paragraph" w:customStyle="1" w:styleId="ust">
    <w:name w:val="ust"/>
    <w:rsid w:val="0051730D"/>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
    <w:name w:val="pkt"/>
    <w:basedOn w:val="Normalny"/>
    <w:rsid w:val="0051730D"/>
    <w:pPr>
      <w:overflowPunct w:val="0"/>
      <w:autoSpaceDE w:val="0"/>
      <w:autoSpaceDN w:val="0"/>
      <w:adjustRightInd w:val="0"/>
      <w:spacing w:before="60" w:after="60"/>
      <w:ind w:left="851" w:hanging="295"/>
      <w:jc w:val="both"/>
    </w:pPr>
    <w:rPr>
      <w:sz w:val="24"/>
    </w:rPr>
  </w:style>
  <w:style w:type="paragraph" w:customStyle="1" w:styleId="pkt1">
    <w:name w:val="pkt1"/>
    <w:basedOn w:val="pkt"/>
    <w:rsid w:val="0051730D"/>
    <w:pPr>
      <w:ind w:left="850" w:hanging="425"/>
    </w:pPr>
  </w:style>
  <w:style w:type="paragraph" w:customStyle="1" w:styleId="numerowanie">
    <w:name w:val="numerowanie"/>
    <w:basedOn w:val="Normalny"/>
    <w:autoRedefine/>
    <w:rsid w:val="0051730D"/>
    <w:pPr>
      <w:jc w:val="both"/>
    </w:pPr>
    <w:rPr>
      <w:bCs/>
      <w:sz w:val="24"/>
      <w:szCs w:val="22"/>
    </w:rPr>
  </w:style>
  <w:style w:type="paragraph" w:customStyle="1" w:styleId="Nagwekstrony0">
    <w:name w:val="Nag?—wek strony"/>
    <w:basedOn w:val="Normalny"/>
    <w:rsid w:val="0051730D"/>
    <w:pPr>
      <w:tabs>
        <w:tab w:val="center" w:pos="4153"/>
        <w:tab w:val="right" w:pos="8306"/>
      </w:tabs>
    </w:pPr>
    <w:rPr>
      <w:lang w:val="en-GB"/>
    </w:rPr>
  </w:style>
  <w:style w:type="paragraph" w:customStyle="1" w:styleId="tabulka">
    <w:name w:val="tabulka"/>
    <w:basedOn w:val="Normalny"/>
    <w:rsid w:val="0051730D"/>
    <w:pPr>
      <w:widowControl w:val="0"/>
      <w:spacing w:before="120" w:line="240" w:lineRule="exact"/>
      <w:jc w:val="center"/>
    </w:pPr>
    <w:rPr>
      <w:rFonts w:ascii="Arial" w:hAnsi="Arial"/>
      <w:lang w:val="cs-CZ"/>
    </w:rPr>
  </w:style>
  <w:style w:type="paragraph" w:customStyle="1" w:styleId="A">
    <w:name w:val="A"/>
    <w:rsid w:val="0051730D"/>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51730D"/>
    <w:pPr>
      <w:spacing w:before="120"/>
    </w:pPr>
  </w:style>
  <w:style w:type="paragraph" w:customStyle="1" w:styleId="Text1">
    <w:name w:val="Text_1"/>
    <w:basedOn w:val="Normalny"/>
    <w:rsid w:val="0051730D"/>
    <w:pPr>
      <w:spacing w:after="120"/>
      <w:ind w:left="425" w:hanging="425"/>
      <w:jc w:val="both"/>
    </w:pPr>
    <w:rPr>
      <w:sz w:val="22"/>
    </w:rPr>
  </w:style>
  <w:style w:type="paragraph" w:customStyle="1" w:styleId="B">
    <w:name w:val="B"/>
    <w:rsid w:val="0051730D"/>
    <w:pPr>
      <w:spacing w:before="240" w:after="0" w:line="240" w:lineRule="exact"/>
      <w:ind w:left="720"/>
      <w:jc w:val="both"/>
    </w:pPr>
    <w:rPr>
      <w:rFonts w:ascii="Times New Roman" w:eastAsia="Times New Roman" w:hAnsi="Times New Roman" w:cs="Times New Roman"/>
      <w:sz w:val="24"/>
      <w:szCs w:val="20"/>
      <w:lang w:val="en-GB"/>
    </w:rPr>
  </w:style>
  <w:style w:type="character" w:customStyle="1" w:styleId="a2Znak">
    <w:name w:val="a2 Znak"/>
    <w:aliases w:val=" Znak Znak Znak Znak, Znak Znak Znak"/>
    <w:rsid w:val="0051730D"/>
    <w:rPr>
      <w:rFonts w:ascii="Arial" w:hAnsi="Arial"/>
      <w:sz w:val="24"/>
      <w:lang w:val="pl-PL" w:eastAsia="pl-PL" w:bidi="ar-SA"/>
    </w:rPr>
  </w:style>
  <w:style w:type="paragraph" w:customStyle="1" w:styleId="WP1Tekstpodstawowy">
    <w:name w:val="WP1 Tekst podstawowy"/>
    <w:basedOn w:val="Tekstpodstawowy3"/>
    <w:rsid w:val="0051730D"/>
    <w:rPr>
      <w:rFonts w:ascii="Arial" w:hAnsi="Arial"/>
      <w:i w:val="0"/>
      <w:iCs w:val="0"/>
      <w:sz w:val="20"/>
      <w:szCs w:val="16"/>
    </w:rPr>
  </w:style>
  <w:style w:type="paragraph" w:customStyle="1" w:styleId="Trescznumztab">
    <w:name w:val="Tresc z num. z tab."/>
    <w:basedOn w:val="Normalny"/>
    <w:rsid w:val="0051730D"/>
    <w:pPr>
      <w:widowControl w:val="0"/>
      <w:tabs>
        <w:tab w:val="left" w:pos="567"/>
        <w:tab w:val="left" w:pos="5103"/>
        <w:tab w:val="left" w:pos="6804"/>
        <w:tab w:val="right" w:pos="8505"/>
      </w:tabs>
      <w:spacing w:after="120" w:line="300" w:lineRule="auto"/>
    </w:pPr>
    <w:rPr>
      <w:sz w:val="24"/>
    </w:rPr>
  </w:style>
  <w:style w:type="paragraph" w:customStyle="1" w:styleId="Tresc">
    <w:name w:val="Tresc"/>
    <w:basedOn w:val="Normalny"/>
    <w:rsid w:val="0051730D"/>
    <w:pPr>
      <w:spacing w:after="120" w:line="300" w:lineRule="auto"/>
      <w:jc w:val="both"/>
    </w:pPr>
    <w:rPr>
      <w:sz w:val="24"/>
    </w:rPr>
  </w:style>
  <w:style w:type="paragraph" w:customStyle="1" w:styleId="Annexetitle">
    <w:name w:val="Annexe_title"/>
    <w:basedOn w:val="Nagwek1"/>
    <w:next w:val="Normalny"/>
    <w:autoRedefine/>
    <w:rsid w:val="0051730D"/>
    <w:pPr>
      <w:keepNext w:val="0"/>
      <w:keepLines w:val="0"/>
      <w:suppressAutoHyphens w:val="0"/>
      <w:spacing w:before="0" w:after="0"/>
      <w:jc w:val="center"/>
      <w:outlineLvl w:val="9"/>
    </w:pPr>
    <w:rPr>
      <w:bCs/>
      <w:caps w:val="0"/>
      <w:kern w:val="0"/>
      <w:sz w:val="36"/>
      <w:szCs w:val="24"/>
    </w:rPr>
  </w:style>
  <w:style w:type="paragraph" w:customStyle="1" w:styleId="normaltableau">
    <w:name w:val="normal_tableau"/>
    <w:basedOn w:val="Normalny"/>
    <w:rsid w:val="0051730D"/>
    <w:pPr>
      <w:spacing w:before="120" w:after="120"/>
      <w:jc w:val="both"/>
    </w:pPr>
    <w:rPr>
      <w:rFonts w:ascii="Optima" w:hAnsi="Optima"/>
      <w:sz w:val="22"/>
      <w:lang w:val="en-GB"/>
    </w:rPr>
  </w:style>
  <w:style w:type="paragraph" w:customStyle="1" w:styleId="FR1">
    <w:name w:val="FR1"/>
    <w:rsid w:val="0051730D"/>
    <w:pPr>
      <w:widowControl w:val="0"/>
      <w:autoSpaceDE w:val="0"/>
      <w:autoSpaceDN w:val="0"/>
      <w:adjustRightInd w:val="0"/>
      <w:spacing w:before="120" w:after="0" w:line="240" w:lineRule="auto"/>
    </w:pPr>
    <w:rPr>
      <w:rFonts w:ascii="Arial" w:eastAsia="Times New Roman" w:hAnsi="Arial" w:cs="Arial"/>
      <w:b/>
      <w:bCs/>
      <w:sz w:val="18"/>
      <w:szCs w:val="18"/>
      <w:lang w:eastAsia="pl-PL"/>
    </w:rPr>
  </w:style>
  <w:style w:type="paragraph" w:customStyle="1" w:styleId="H1">
    <w:name w:val="H1"/>
    <w:basedOn w:val="Normalny"/>
    <w:next w:val="Normalny"/>
    <w:rsid w:val="0051730D"/>
    <w:pPr>
      <w:keepNext/>
      <w:spacing w:before="100" w:after="100"/>
      <w:outlineLvl w:val="1"/>
    </w:pPr>
    <w:rPr>
      <w:b/>
      <w:snapToGrid w:val="0"/>
      <w:kern w:val="36"/>
      <w:sz w:val="48"/>
    </w:rPr>
  </w:style>
  <w:style w:type="paragraph" w:customStyle="1" w:styleId="H2">
    <w:name w:val="H2"/>
    <w:basedOn w:val="Normalny"/>
    <w:next w:val="Normalny"/>
    <w:rsid w:val="0051730D"/>
    <w:pPr>
      <w:keepNext/>
      <w:spacing w:before="100" w:after="100"/>
      <w:outlineLvl w:val="2"/>
    </w:pPr>
    <w:rPr>
      <w:b/>
      <w:snapToGrid w:val="0"/>
      <w:sz w:val="36"/>
    </w:rPr>
  </w:style>
  <w:style w:type="paragraph" w:styleId="Spistreci6">
    <w:name w:val="toc 6"/>
    <w:basedOn w:val="Normalny"/>
    <w:next w:val="Normalny"/>
    <w:uiPriority w:val="39"/>
    <w:rsid w:val="0051730D"/>
    <w:pPr>
      <w:tabs>
        <w:tab w:val="right" w:leader="dot" w:pos="7371"/>
      </w:tabs>
      <w:overflowPunct w:val="0"/>
      <w:autoSpaceDE w:val="0"/>
      <w:autoSpaceDN w:val="0"/>
      <w:adjustRightInd w:val="0"/>
      <w:ind w:left="1000"/>
      <w:textAlignment w:val="baseline"/>
    </w:pPr>
    <w:rPr>
      <w:sz w:val="18"/>
    </w:rPr>
  </w:style>
  <w:style w:type="paragraph" w:customStyle="1" w:styleId="Tekstpodstawowy210">
    <w:name w:val="Tekst podstawowy 21"/>
    <w:basedOn w:val="Normalny"/>
    <w:rsid w:val="0051730D"/>
    <w:pPr>
      <w:suppressAutoHyphens/>
      <w:spacing w:before="120"/>
      <w:jc w:val="both"/>
    </w:pPr>
    <w:rPr>
      <w:b/>
      <w:bCs/>
      <w:sz w:val="25"/>
      <w:szCs w:val="24"/>
      <w:lang w:eastAsia="ar-SA"/>
    </w:rPr>
  </w:style>
  <w:style w:type="paragraph" w:customStyle="1" w:styleId="Tekstpodstawowy31">
    <w:name w:val="Tekst podstawowy 31"/>
    <w:basedOn w:val="Normalny"/>
    <w:rsid w:val="0051730D"/>
    <w:pPr>
      <w:suppressAutoHyphens/>
      <w:spacing w:before="120"/>
      <w:jc w:val="both"/>
    </w:pPr>
    <w:rPr>
      <w:i/>
      <w:iCs/>
      <w:sz w:val="24"/>
      <w:szCs w:val="24"/>
      <w:lang w:eastAsia="ar-SA"/>
    </w:rPr>
  </w:style>
  <w:style w:type="paragraph" w:customStyle="1" w:styleId="Zwykytekst1">
    <w:name w:val="Zwykły tekst1"/>
    <w:basedOn w:val="Normalny"/>
    <w:rsid w:val="0051730D"/>
    <w:pPr>
      <w:suppressAutoHyphens/>
    </w:pPr>
    <w:rPr>
      <w:rFonts w:ascii="Courier New" w:hAnsi="Courier New"/>
      <w:lang w:eastAsia="ar-SA"/>
    </w:rPr>
  </w:style>
  <w:style w:type="paragraph" w:styleId="Spistreci3">
    <w:name w:val="toc 3"/>
    <w:basedOn w:val="Normalny"/>
    <w:next w:val="Normalny"/>
    <w:uiPriority w:val="39"/>
    <w:rsid w:val="0051730D"/>
    <w:pPr>
      <w:tabs>
        <w:tab w:val="right" w:leader="dot" w:pos="7371"/>
      </w:tabs>
      <w:overflowPunct w:val="0"/>
      <w:autoSpaceDE w:val="0"/>
      <w:autoSpaceDN w:val="0"/>
      <w:adjustRightInd w:val="0"/>
      <w:ind w:left="400"/>
    </w:pPr>
    <w:rPr>
      <w:i/>
    </w:rPr>
  </w:style>
  <w:style w:type="paragraph" w:customStyle="1" w:styleId="10">
    <w:name w:val="_10"/>
    <w:basedOn w:val="Normalny"/>
    <w:rsid w:val="0051730D"/>
    <w:pPr>
      <w:jc w:val="both"/>
    </w:pPr>
  </w:style>
  <w:style w:type="paragraph" w:customStyle="1" w:styleId="Styl12ptWyjustowany">
    <w:name w:val="Styl 12 pt Wyjustowany"/>
    <w:basedOn w:val="Normalny"/>
    <w:rsid w:val="0051730D"/>
    <w:pPr>
      <w:jc w:val="both"/>
    </w:pPr>
  </w:style>
  <w:style w:type="paragraph" w:customStyle="1" w:styleId="Style1">
    <w:name w:val="Style 1"/>
    <w:uiPriority w:val="99"/>
    <w:rsid w:val="0051730D"/>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8">
    <w:name w:val="Style 8"/>
    <w:uiPriority w:val="99"/>
    <w:rsid w:val="0051730D"/>
    <w:pPr>
      <w:widowControl w:val="0"/>
      <w:autoSpaceDE w:val="0"/>
      <w:autoSpaceDN w:val="0"/>
      <w:spacing w:after="0" w:line="240" w:lineRule="auto"/>
      <w:ind w:left="36"/>
    </w:pPr>
    <w:rPr>
      <w:rFonts w:ascii="Times New Roman" w:eastAsia="Times New Roman" w:hAnsi="Times New Roman" w:cs="Times New Roman"/>
      <w:sz w:val="20"/>
      <w:szCs w:val="20"/>
      <w:lang w:val="en-US" w:eastAsia="pl-PL"/>
    </w:rPr>
  </w:style>
  <w:style w:type="paragraph" w:customStyle="1" w:styleId="Style11">
    <w:name w:val="Style 11"/>
    <w:uiPriority w:val="99"/>
    <w:rsid w:val="0051730D"/>
    <w:pPr>
      <w:widowControl w:val="0"/>
      <w:autoSpaceDE w:val="0"/>
      <w:autoSpaceDN w:val="0"/>
      <w:spacing w:after="0" w:line="240" w:lineRule="auto"/>
      <w:ind w:left="72"/>
    </w:pPr>
    <w:rPr>
      <w:rFonts w:ascii="Times New Roman" w:eastAsia="Times New Roman" w:hAnsi="Times New Roman" w:cs="Times New Roman"/>
      <w:sz w:val="20"/>
      <w:szCs w:val="20"/>
      <w:lang w:val="en-US" w:eastAsia="pl-PL"/>
    </w:rPr>
  </w:style>
  <w:style w:type="character" w:customStyle="1" w:styleId="CharacterStyle4">
    <w:name w:val="Character Style 4"/>
    <w:uiPriority w:val="99"/>
    <w:rsid w:val="0051730D"/>
    <w:rPr>
      <w:sz w:val="20"/>
      <w:szCs w:val="20"/>
    </w:rPr>
  </w:style>
  <w:style w:type="paragraph" w:customStyle="1" w:styleId="Style2">
    <w:name w:val="Style 2"/>
    <w:uiPriority w:val="99"/>
    <w:rsid w:val="0051730D"/>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styleId="Spistreci2">
    <w:name w:val="toc 2"/>
    <w:basedOn w:val="Normalny"/>
    <w:next w:val="Normalny"/>
    <w:autoRedefine/>
    <w:uiPriority w:val="39"/>
    <w:rsid w:val="0051730D"/>
    <w:pPr>
      <w:tabs>
        <w:tab w:val="left" w:pos="9639"/>
      </w:tabs>
      <w:ind w:left="1560" w:right="2" w:hanging="1134"/>
    </w:pPr>
  </w:style>
  <w:style w:type="paragraph" w:styleId="Spistreci4">
    <w:name w:val="toc 4"/>
    <w:basedOn w:val="Normalny"/>
    <w:next w:val="Normalny"/>
    <w:autoRedefine/>
    <w:uiPriority w:val="39"/>
    <w:unhideWhenUsed/>
    <w:rsid w:val="0051730D"/>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51730D"/>
    <w:pPr>
      <w:spacing w:after="100" w:line="276" w:lineRule="auto"/>
      <w:ind w:left="880"/>
    </w:pPr>
    <w:rPr>
      <w:rFonts w:ascii="Calibri" w:hAnsi="Calibri"/>
      <w:sz w:val="22"/>
      <w:szCs w:val="22"/>
    </w:rPr>
  </w:style>
  <w:style w:type="paragraph" w:styleId="Spistreci7">
    <w:name w:val="toc 7"/>
    <w:basedOn w:val="Normalny"/>
    <w:next w:val="Normalny"/>
    <w:autoRedefine/>
    <w:uiPriority w:val="39"/>
    <w:unhideWhenUsed/>
    <w:rsid w:val="0051730D"/>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51730D"/>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51730D"/>
    <w:pPr>
      <w:spacing w:after="100" w:line="276" w:lineRule="auto"/>
      <w:ind w:left="1760"/>
    </w:pPr>
    <w:rPr>
      <w:rFonts w:ascii="Calibri" w:hAnsi="Calibri"/>
      <w:sz w:val="22"/>
      <w:szCs w:val="22"/>
    </w:rPr>
  </w:style>
  <w:style w:type="table" w:customStyle="1" w:styleId="Tabela-Siatka2">
    <w:name w:val="Tabela - Siatka2"/>
    <w:basedOn w:val="Standardowy"/>
    <w:next w:val="Tabela-Siatka"/>
    <w:rsid w:val="0051730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rsid w:val="0051730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rsid w:val="0051730D"/>
  </w:style>
  <w:style w:type="character" w:customStyle="1" w:styleId="TekstprzypisukocowegoZnak">
    <w:name w:val="Tekst przypisu końcowego Znak"/>
    <w:basedOn w:val="Domylnaczcionkaakapitu"/>
    <w:link w:val="Tekstprzypisukocowego"/>
    <w:rsid w:val="0051730D"/>
    <w:rPr>
      <w:rFonts w:ascii="Times New Roman" w:eastAsia="Times New Roman" w:hAnsi="Times New Roman" w:cs="Times New Roman"/>
      <w:sz w:val="20"/>
      <w:szCs w:val="20"/>
      <w:lang w:eastAsia="pl-PL"/>
    </w:rPr>
  </w:style>
  <w:style w:type="character" w:styleId="Odwoanieprzypisukocowego">
    <w:name w:val="endnote reference"/>
    <w:rsid w:val="0051730D"/>
    <w:rPr>
      <w:vertAlign w:val="superscript"/>
    </w:rPr>
  </w:style>
  <w:style w:type="character" w:customStyle="1" w:styleId="FontStyle81">
    <w:name w:val="Font Style81"/>
    <w:uiPriority w:val="99"/>
    <w:rsid w:val="0051730D"/>
    <w:rPr>
      <w:rFonts w:ascii="MS Reference Sans Serif" w:hAnsi="MS Reference Sans Serif" w:cs="MS Reference Sans Serif"/>
      <w:color w:val="000000"/>
      <w:sz w:val="14"/>
      <w:szCs w:val="14"/>
    </w:rPr>
  </w:style>
  <w:style w:type="character" w:customStyle="1" w:styleId="FontStyle43">
    <w:name w:val="Font Style43"/>
    <w:uiPriority w:val="99"/>
    <w:rsid w:val="0051730D"/>
    <w:rPr>
      <w:rFonts w:ascii="Verdana" w:hAnsi="Verdana" w:cs="Verdana" w:hint="default"/>
      <w:sz w:val="16"/>
      <w:szCs w:val="16"/>
    </w:rPr>
  </w:style>
  <w:style w:type="table" w:customStyle="1" w:styleId="Tabela-Siatka1">
    <w:name w:val="Tabela - Siatka1"/>
    <w:basedOn w:val="Standardowy"/>
    <w:next w:val="Tabela-Siatka"/>
    <w:rsid w:val="00683496"/>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683496"/>
    <w:pPr>
      <w:spacing w:after="0" w:line="240" w:lineRule="auto"/>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683496"/>
    <w:pPr>
      <w:suppressAutoHyphens w:val="0"/>
      <w:spacing w:before="480" w:after="0" w:line="276" w:lineRule="auto"/>
      <w:jc w:val="left"/>
      <w:outlineLvl w:val="9"/>
    </w:pPr>
    <w:rPr>
      <w:rFonts w:ascii="Cambria" w:hAnsi="Cambria"/>
      <w:bCs/>
      <w:caps w:val="0"/>
      <w:color w:val="365F91"/>
      <w:kern w:val="0"/>
      <w:sz w:val="28"/>
      <w:szCs w:val="28"/>
      <w:lang w:eastAsia="en-US"/>
    </w:rPr>
  </w:style>
  <w:style w:type="table" w:customStyle="1" w:styleId="TableNormal">
    <w:name w:val="Table Normal"/>
    <w:uiPriority w:val="2"/>
    <w:semiHidden/>
    <w:unhideWhenUsed/>
    <w:qFormat/>
    <w:rsid w:val="002122B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122BD"/>
    <w:pPr>
      <w:widowControl w:val="0"/>
    </w:pPr>
    <w:rPr>
      <w:rFonts w:asciiTheme="minorHAnsi" w:eastAsiaTheme="minorHAnsi" w:hAnsiTheme="minorHAnsi" w:cstheme="minorBidi"/>
      <w:sz w:val="22"/>
      <w:szCs w:val="22"/>
      <w:lang w:val="en-US" w:eastAsia="en-US"/>
    </w:rPr>
  </w:style>
  <w:style w:type="character" w:styleId="Odwoanieprzypisudolnego">
    <w:name w:val="footnote reference"/>
    <w:basedOn w:val="Domylnaczcionkaakapitu"/>
    <w:semiHidden/>
    <w:unhideWhenUsed/>
    <w:rsid w:val="00ED0C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700460">
      <w:bodyDiv w:val="1"/>
      <w:marLeft w:val="0"/>
      <w:marRight w:val="0"/>
      <w:marTop w:val="0"/>
      <w:marBottom w:val="0"/>
      <w:divBdr>
        <w:top w:val="none" w:sz="0" w:space="0" w:color="auto"/>
        <w:left w:val="none" w:sz="0" w:space="0" w:color="auto"/>
        <w:bottom w:val="none" w:sz="0" w:space="0" w:color="auto"/>
        <w:right w:val="none" w:sz="0" w:space="0" w:color="auto"/>
      </w:divBdr>
    </w:div>
    <w:div w:id="761953544">
      <w:bodyDiv w:val="1"/>
      <w:marLeft w:val="0"/>
      <w:marRight w:val="0"/>
      <w:marTop w:val="0"/>
      <w:marBottom w:val="0"/>
      <w:divBdr>
        <w:top w:val="none" w:sz="0" w:space="0" w:color="auto"/>
        <w:left w:val="none" w:sz="0" w:space="0" w:color="auto"/>
        <w:bottom w:val="none" w:sz="0" w:space="0" w:color="auto"/>
        <w:right w:val="none" w:sz="0" w:space="0" w:color="auto"/>
      </w:divBdr>
    </w:div>
    <w:div w:id="921140873">
      <w:bodyDiv w:val="1"/>
      <w:marLeft w:val="0"/>
      <w:marRight w:val="0"/>
      <w:marTop w:val="0"/>
      <w:marBottom w:val="0"/>
      <w:divBdr>
        <w:top w:val="none" w:sz="0" w:space="0" w:color="auto"/>
        <w:left w:val="none" w:sz="0" w:space="0" w:color="auto"/>
        <w:bottom w:val="none" w:sz="0" w:space="0" w:color="auto"/>
        <w:right w:val="none" w:sz="0" w:space="0" w:color="auto"/>
      </w:divBdr>
    </w:div>
    <w:div w:id="1487940880">
      <w:bodyDiv w:val="1"/>
      <w:marLeft w:val="0"/>
      <w:marRight w:val="0"/>
      <w:marTop w:val="0"/>
      <w:marBottom w:val="0"/>
      <w:divBdr>
        <w:top w:val="none" w:sz="0" w:space="0" w:color="auto"/>
        <w:left w:val="none" w:sz="0" w:space="0" w:color="auto"/>
        <w:bottom w:val="none" w:sz="0" w:space="0" w:color="auto"/>
        <w:right w:val="none" w:sz="0" w:space="0" w:color="auto"/>
      </w:divBdr>
    </w:div>
    <w:div w:id="191635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oleObject" Target="embeddings/oleObject1.bin"/><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1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AF9A9-5816-4EE1-A860-0CF6085D2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255</Pages>
  <Words>102490</Words>
  <Characters>614946</Characters>
  <Application>Microsoft Office Word</Application>
  <DocSecurity>0</DocSecurity>
  <Lines>5124</Lines>
  <Paragraphs>1432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ProNad</dc:creator>
  <cp:lastModifiedBy>Mariusz</cp:lastModifiedBy>
  <cp:revision>2</cp:revision>
  <cp:lastPrinted>2019-08-06T18:29:00Z</cp:lastPrinted>
  <dcterms:created xsi:type="dcterms:W3CDTF">2019-08-06T19:06:00Z</dcterms:created>
  <dcterms:modified xsi:type="dcterms:W3CDTF">2019-08-06T19:06:00Z</dcterms:modified>
</cp:coreProperties>
</file>