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F77E8">
        <w:rPr>
          <w:rFonts w:ascii="Times New Roman" w:hAnsi="Times New Roman" w:cs="Times New Roman"/>
          <w:b/>
          <w:bCs/>
          <w:sz w:val="20"/>
          <w:szCs w:val="20"/>
        </w:rPr>
        <w:t>Objaśnienia przyjętych wartości do Wieloletniej Prognozy Finansowej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Do opracowania WPF wykorzystano historyczne materiały źródłowe (zweryfikowane dane budżetowe będące wynikiem analizy danych dotyczących wykonania budżetu za ostatnie 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o planowanych zamierzeniach wynikających z różnych dokumentów obowiązujących na terenie gminy.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Na kalkulację ważniejszych pozycji dochodów miały wpływ: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Informacja Ministra Finansów, ustalająca planowaną kwotę subwencji na 201</w:t>
      </w:r>
      <w:r w:rsidR="00031F98">
        <w:rPr>
          <w:rFonts w:ascii="Times New Roman" w:hAnsi="Times New Roman" w:cs="Times New Roman"/>
          <w:sz w:val="20"/>
          <w:szCs w:val="20"/>
        </w:rPr>
        <w:t>9</w:t>
      </w:r>
      <w:r w:rsidRPr="000F77E8">
        <w:rPr>
          <w:rFonts w:ascii="Times New Roman" w:hAnsi="Times New Roman" w:cs="Times New Roman"/>
          <w:sz w:val="20"/>
          <w:szCs w:val="20"/>
        </w:rPr>
        <w:t xml:space="preserve">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Decyzja Wojewody Mazowieckiego, ustalająca ostateczne kwoty dotacji celowych na zadania własne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i zlecone gminy.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Informacja Krajowego Biura Wyborczego w Warszawie dot. dotacji celowej na finansowanie kosztów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prowadzenia i aktualizacji stałego rejestru wyborców.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Przy szacowaniu wydatków kierowano się zasadą niezbędnej racjonalizacji wydatków.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dochodów.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31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dochodach bieżących wykorzystano sprawozdania z wykonania budżetów i sprawozdania Rb-PDP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z wykonania dochodów podatkowych. Założono wpływy podatków w wielkościach określonych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w projektach uchwał </w:t>
      </w:r>
      <w:r w:rsidR="00031F98">
        <w:rPr>
          <w:rFonts w:ascii="Times New Roman" w:hAnsi="Times New Roman" w:cs="Times New Roman"/>
          <w:sz w:val="20"/>
          <w:szCs w:val="20"/>
        </w:rPr>
        <w:t>podatkowych na 2019</w:t>
      </w:r>
      <w:r w:rsidRPr="000F77E8">
        <w:rPr>
          <w:rFonts w:ascii="Times New Roman" w:hAnsi="Times New Roman" w:cs="Times New Roman"/>
          <w:sz w:val="20"/>
          <w:szCs w:val="20"/>
        </w:rPr>
        <w:t xml:space="preserve"> r., szacując wykonanie w odniesieniu do podstawy opodatkowania na dzień 31.10.201</w:t>
      </w:r>
      <w:r w:rsidR="00031F98">
        <w:rPr>
          <w:rFonts w:ascii="Times New Roman" w:hAnsi="Times New Roman" w:cs="Times New Roman"/>
          <w:sz w:val="20"/>
          <w:szCs w:val="20"/>
        </w:rPr>
        <w:t>8</w:t>
      </w:r>
      <w:r w:rsidRPr="000F77E8">
        <w:rPr>
          <w:rFonts w:ascii="Times New Roman" w:hAnsi="Times New Roman" w:cs="Times New Roman"/>
          <w:sz w:val="20"/>
          <w:szCs w:val="20"/>
        </w:rPr>
        <w:t xml:space="preserve"> r. oraz uwzględniając wpływy z należności wymagalnych. Szacując wysokość planowanych dochodów budżetowych na lata kolejne uwzględniono zwiększenia dotacji celowych dokonywane w ciągu roku oraz dotację na zadania przedszkolne. W roku 2019 r. zaplanowano wzrost dochodów bieżących z tytułu opłaty planistycznej i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adiacenckiej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 xml:space="preserve"> od nieruchomości usytuowanych w Specjalnej Strefie Ekonomicznej w Olsztynie, Podstrefa Pomiechówek. Od roku 20</w:t>
      </w:r>
      <w:r w:rsidR="00722649">
        <w:rPr>
          <w:rFonts w:ascii="Times New Roman" w:hAnsi="Times New Roman" w:cs="Times New Roman"/>
          <w:sz w:val="20"/>
          <w:szCs w:val="20"/>
        </w:rPr>
        <w:t>20</w:t>
      </w:r>
      <w:r w:rsidRPr="000F77E8">
        <w:rPr>
          <w:rFonts w:ascii="Times New Roman" w:hAnsi="Times New Roman" w:cs="Times New Roman"/>
          <w:sz w:val="20"/>
          <w:szCs w:val="20"/>
        </w:rPr>
        <w:t xml:space="preserve"> planuje się również wzrost podatku od nieruchomości pod działalność gospodarczą, podatników w Specjalnej Strefie Ekonomicznej w Olsztynie, Podstrefa Pomiechówek. Pozostałe zwiększenia dochodów zaplanowano w sposób minimalny, tak aby utrzymać realność dochodów </w:t>
      </w:r>
      <w:r w:rsidR="00722649">
        <w:rPr>
          <w:rFonts w:ascii="Times New Roman" w:hAnsi="Times New Roman" w:cs="Times New Roman"/>
          <w:sz w:val="20"/>
          <w:szCs w:val="20"/>
        </w:rPr>
        <w:br/>
      </w:r>
      <w:r w:rsidRPr="000F77E8">
        <w:rPr>
          <w:rFonts w:ascii="Times New Roman" w:hAnsi="Times New Roman" w:cs="Times New Roman"/>
          <w:sz w:val="20"/>
          <w:szCs w:val="20"/>
        </w:rPr>
        <w:t>w poszczególnych latach. W roku 2019  zaplanowano dochody majątkowe, które stanowią rozliczenie projektów unijnych realizowanych w latach 2017-201</w:t>
      </w:r>
      <w:r w:rsidR="00031F98">
        <w:rPr>
          <w:rFonts w:ascii="Times New Roman" w:hAnsi="Times New Roman" w:cs="Times New Roman"/>
          <w:sz w:val="20"/>
          <w:szCs w:val="20"/>
        </w:rPr>
        <w:t>9</w:t>
      </w:r>
      <w:r w:rsidRPr="000F77E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wydatków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Przy planowaniu wydatków bieżących wzięto pod uwagę wykonanie za lata ubiegłe oraz oszacowano wzrost kosztów nowych zadań statutowych gminy . Zachowano podobne relacje w</w:t>
      </w:r>
      <w:r w:rsidR="00722649">
        <w:rPr>
          <w:rFonts w:ascii="Times New Roman" w:hAnsi="Times New Roman" w:cs="Times New Roman"/>
          <w:sz w:val="20"/>
          <w:szCs w:val="20"/>
        </w:rPr>
        <w:t xml:space="preserve"> poszczególnych latach </w:t>
      </w:r>
      <w:r w:rsidR="00722649">
        <w:rPr>
          <w:rFonts w:ascii="Times New Roman" w:hAnsi="Times New Roman" w:cs="Times New Roman"/>
          <w:sz w:val="20"/>
          <w:szCs w:val="20"/>
        </w:rPr>
        <w:br/>
        <w:t>tj. 2019</w:t>
      </w:r>
      <w:r w:rsidRPr="000F77E8">
        <w:rPr>
          <w:rFonts w:ascii="Times New Roman" w:hAnsi="Times New Roman" w:cs="Times New Roman"/>
          <w:sz w:val="20"/>
          <w:szCs w:val="20"/>
        </w:rPr>
        <w:t xml:space="preserve">-2032 w wielkościach dotyczących wynagrodzeń i pochodnych oraz w wydatkach związanych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z funkcjonowaniem organów Gminy. W założeniach wydatków bieżących zakłada się niewielki wzrost między wartościami w poszczególnych latach na poziomie wzrostu dochodów od 0,5-1,00%, przy zachowaniu zasady racjonalnego gospodarowania środkami finansowymi. Wydatki na obsługę długu zaplanowano na podstawie stawki WIBOR 3M i 1M powiększoną o marże dla inwestorów.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Default="00722649" w:rsidP="00722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 roku 2019</w:t>
      </w:r>
      <w:r w:rsidR="000F77E8" w:rsidRPr="000F77E8">
        <w:rPr>
          <w:rFonts w:ascii="Times New Roman" w:hAnsi="Times New Roman" w:cs="Times New Roman"/>
          <w:sz w:val="20"/>
          <w:szCs w:val="20"/>
        </w:rPr>
        <w:t xml:space="preserve"> zaplanowano budżet </w:t>
      </w:r>
      <w:r>
        <w:rPr>
          <w:rFonts w:ascii="Times New Roman" w:hAnsi="Times New Roman" w:cs="Times New Roman"/>
          <w:sz w:val="20"/>
          <w:szCs w:val="20"/>
        </w:rPr>
        <w:t>nadwyżkowy. Nadwyżkę przeznacza się na spłatę wcześniej zaciągniętych zobowiązań z tytułu kredytów, pożyczek i emisji papierów wartościowych.</w:t>
      </w:r>
      <w:r w:rsidR="000F77E8" w:rsidRPr="000F77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 xml:space="preserve">Rozchody </w:t>
      </w:r>
    </w:p>
    <w:p w:rsidR="000F77E8" w:rsidRPr="000F77E8" w:rsidRDefault="000F77E8" w:rsidP="002071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W latach 201</w:t>
      </w:r>
      <w:r w:rsidR="00722649">
        <w:rPr>
          <w:rFonts w:ascii="Times New Roman" w:hAnsi="Times New Roman" w:cs="Times New Roman"/>
          <w:sz w:val="20"/>
          <w:szCs w:val="20"/>
        </w:rPr>
        <w:t>9</w:t>
      </w:r>
      <w:r w:rsidRPr="000F77E8">
        <w:rPr>
          <w:rFonts w:ascii="Times New Roman" w:hAnsi="Times New Roman" w:cs="Times New Roman"/>
          <w:sz w:val="20"/>
          <w:szCs w:val="20"/>
        </w:rPr>
        <w:t xml:space="preserve">-2032 zaplanowano spłatę rat pożyczek i kredytów oraz wykup papierów wartościowych </w:t>
      </w:r>
      <w:r w:rsidRPr="000F77E8">
        <w:rPr>
          <w:rFonts w:ascii="Times New Roman" w:hAnsi="Times New Roman" w:cs="Times New Roman"/>
          <w:sz w:val="20"/>
          <w:szCs w:val="20"/>
        </w:rPr>
        <w:br/>
        <w:t>wg harmonogramów ich spłat określonych w zawartych umowach</w:t>
      </w:r>
      <w:r w:rsidR="002071B5">
        <w:rPr>
          <w:rFonts w:ascii="Times New Roman" w:hAnsi="Times New Roman" w:cs="Times New Roman"/>
          <w:sz w:val="20"/>
          <w:szCs w:val="20"/>
        </w:rPr>
        <w:t xml:space="preserve"> oraz wg planowanych zmian do harmonogramów</w:t>
      </w:r>
      <w:r w:rsidRPr="000F77E8">
        <w:rPr>
          <w:rFonts w:ascii="Times New Roman" w:hAnsi="Times New Roman" w:cs="Times New Roman"/>
          <w:sz w:val="20"/>
          <w:szCs w:val="20"/>
        </w:rPr>
        <w:t>. Prognozowane nadwyżki budżetowe w poszczególnych latach przeznacza się na spłatę kredytów, pożyczek i wykup papierów wartościowych. Gmina Pomiechówek w latach 201</w:t>
      </w:r>
      <w:r w:rsidR="00722649">
        <w:rPr>
          <w:rFonts w:ascii="Times New Roman" w:hAnsi="Times New Roman" w:cs="Times New Roman"/>
          <w:sz w:val="20"/>
          <w:szCs w:val="20"/>
        </w:rPr>
        <w:t>9</w:t>
      </w:r>
      <w:r w:rsidRPr="000F77E8">
        <w:rPr>
          <w:rFonts w:ascii="Times New Roman" w:hAnsi="Times New Roman" w:cs="Times New Roman"/>
          <w:sz w:val="20"/>
          <w:szCs w:val="20"/>
        </w:rPr>
        <w:t xml:space="preserve">-2032 spełnia wskaźnik spłaty zobowiązań określony w art. 243 ustawy o finansach publicznych.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Przedsięwzięcia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W latach 201</w:t>
      </w:r>
      <w:r w:rsidR="00722649">
        <w:rPr>
          <w:rFonts w:ascii="Times New Roman" w:hAnsi="Times New Roman" w:cs="Times New Roman"/>
          <w:sz w:val="20"/>
          <w:szCs w:val="20"/>
        </w:rPr>
        <w:t>9</w:t>
      </w:r>
      <w:r w:rsidRPr="000F77E8">
        <w:rPr>
          <w:rFonts w:ascii="Times New Roman" w:hAnsi="Times New Roman" w:cs="Times New Roman"/>
          <w:sz w:val="20"/>
          <w:szCs w:val="20"/>
        </w:rPr>
        <w:t>-20</w:t>
      </w:r>
      <w:r w:rsidR="00722649">
        <w:rPr>
          <w:rFonts w:ascii="Times New Roman" w:hAnsi="Times New Roman" w:cs="Times New Roman"/>
          <w:sz w:val="20"/>
          <w:szCs w:val="20"/>
        </w:rPr>
        <w:t>20</w:t>
      </w:r>
      <w:r w:rsidRPr="000F77E8">
        <w:rPr>
          <w:rFonts w:ascii="Times New Roman" w:hAnsi="Times New Roman" w:cs="Times New Roman"/>
          <w:sz w:val="20"/>
          <w:szCs w:val="20"/>
        </w:rPr>
        <w:t xml:space="preserve"> przyjęto limity na przedsięwzięcia zgodnie z planowanymi wydatkami na realizacje zadań wieloletnich, w tym również wydatki majątkowe w formie dotacji, zaplanowane na podstawie podpisanej umowy partnerskiej na realizację projektu „E-usługi między Wisłą a Kampinosem” dot. podniesienia sprawności urzędów w zakresie świadczenia usług elektronicznych oraz uruchomienia elektronicznych e-usług. Wydatki majątkowe w formie dotacji na rok 201</w:t>
      </w:r>
      <w:r w:rsidR="00722649">
        <w:rPr>
          <w:rFonts w:ascii="Times New Roman" w:hAnsi="Times New Roman" w:cs="Times New Roman"/>
          <w:sz w:val="20"/>
          <w:szCs w:val="20"/>
        </w:rPr>
        <w:t>9</w:t>
      </w:r>
      <w:r w:rsidRPr="000F77E8">
        <w:rPr>
          <w:rFonts w:ascii="Times New Roman" w:hAnsi="Times New Roman" w:cs="Times New Roman"/>
          <w:sz w:val="20"/>
          <w:szCs w:val="20"/>
        </w:rPr>
        <w:t xml:space="preserve"> wynoszą </w:t>
      </w:r>
      <w:r w:rsidR="00090B0E">
        <w:rPr>
          <w:rFonts w:ascii="Times New Roman" w:hAnsi="Times New Roman" w:cs="Times New Roman"/>
          <w:sz w:val="20"/>
          <w:szCs w:val="20"/>
        </w:rPr>
        <w:t>285.531,32</w:t>
      </w:r>
      <w:r w:rsidRPr="000F77E8">
        <w:rPr>
          <w:rFonts w:ascii="Times New Roman" w:hAnsi="Times New Roman" w:cs="Times New Roman"/>
          <w:sz w:val="20"/>
          <w:szCs w:val="20"/>
        </w:rPr>
        <w:t xml:space="preserve"> zł. W wykazie przedsięwzięć uwzględniono wydatki dotyczące </w:t>
      </w:r>
      <w:r w:rsidR="00EF360D">
        <w:rPr>
          <w:rFonts w:ascii="Times New Roman" w:hAnsi="Times New Roman" w:cs="Times New Roman"/>
          <w:sz w:val="20"/>
          <w:szCs w:val="20"/>
        </w:rPr>
        <w:t xml:space="preserve">przeniesienia własności zabudowy na działce nr 224/1 położonej w </w:t>
      </w:r>
      <w:r w:rsidR="001D101D">
        <w:rPr>
          <w:rFonts w:ascii="Times New Roman" w:hAnsi="Times New Roman" w:cs="Times New Roman"/>
          <w:sz w:val="20"/>
          <w:szCs w:val="20"/>
        </w:rPr>
        <w:t>Pomiechówku</w:t>
      </w:r>
      <w:r w:rsidRPr="000F77E8">
        <w:rPr>
          <w:rFonts w:ascii="Times New Roman" w:hAnsi="Times New Roman" w:cs="Times New Roman"/>
          <w:sz w:val="20"/>
          <w:szCs w:val="20"/>
        </w:rPr>
        <w:t>, termin</w:t>
      </w:r>
      <w:r w:rsidR="00722649">
        <w:rPr>
          <w:rFonts w:ascii="Times New Roman" w:hAnsi="Times New Roman" w:cs="Times New Roman"/>
          <w:sz w:val="20"/>
          <w:szCs w:val="20"/>
        </w:rPr>
        <w:t xml:space="preserve"> płatności </w:t>
      </w:r>
      <w:r w:rsidR="00433365">
        <w:rPr>
          <w:rFonts w:ascii="Times New Roman" w:hAnsi="Times New Roman" w:cs="Times New Roman"/>
          <w:sz w:val="20"/>
          <w:szCs w:val="20"/>
        </w:rPr>
        <w:t>planowany</w:t>
      </w:r>
      <w:r w:rsidR="00722649">
        <w:rPr>
          <w:rFonts w:ascii="Times New Roman" w:hAnsi="Times New Roman" w:cs="Times New Roman"/>
          <w:sz w:val="20"/>
          <w:szCs w:val="20"/>
        </w:rPr>
        <w:t xml:space="preserve"> na lata 2019</w:t>
      </w:r>
      <w:r w:rsidRPr="000F77E8">
        <w:rPr>
          <w:rFonts w:ascii="Times New Roman" w:hAnsi="Times New Roman" w:cs="Times New Roman"/>
          <w:sz w:val="20"/>
          <w:szCs w:val="20"/>
        </w:rPr>
        <w:t>-20</w:t>
      </w:r>
      <w:r w:rsidR="00722649">
        <w:rPr>
          <w:rFonts w:ascii="Times New Roman" w:hAnsi="Times New Roman" w:cs="Times New Roman"/>
          <w:sz w:val="20"/>
          <w:szCs w:val="20"/>
        </w:rPr>
        <w:t>20</w:t>
      </w:r>
      <w:r w:rsidRPr="000F77E8">
        <w:rPr>
          <w:rFonts w:ascii="Times New Roman" w:hAnsi="Times New Roman" w:cs="Times New Roman"/>
          <w:sz w:val="20"/>
          <w:szCs w:val="20"/>
        </w:rPr>
        <w:t>,</w:t>
      </w:r>
      <w:r w:rsidR="00433365">
        <w:rPr>
          <w:rFonts w:ascii="Times New Roman" w:hAnsi="Times New Roman" w:cs="Times New Roman"/>
          <w:sz w:val="20"/>
          <w:szCs w:val="20"/>
        </w:rPr>
        <w:t>(wydatkowanie środków na podstawie Uchwały rady Gminy Pomiechówek Nr XXXVI/313/2018 z dnia 28 czerwca 2018 r. w sprawie rozwiązania umowy użytkowania wieczystego nieruchomości położonej przy ul. Warszawskiej 7 w Pomiechówku).</w:t>
      </w:r>
      <w:r w:rsidR="002176FE">
        <w:rPr>
          <w:rFonts w:ascii="Times New Roman" w:hAnsi="Times New Roman" w:cs="Times New Roman"/>
          <w:sz w:val="20"/>
          <w:szCs w:val="20"/>
        </w:rPr>
        <w:t xml:space="preserve"> W związku z planowanym rozłożeniem płatności na raty, okres spłaty 201</w:t>
      </w:r>
      <w:r w:rsidR="00090B0E">
        <w:rPr>
          <w:rFonts w:ascii="Times New Roman" w:hAnsi="Times New Roman" w:cs="Times New Roman"/>
          <w:sz w:val="20"/>
          <w:szCs w:val="20"/>
        </w:rPr>
        <w:t>8</w:t>
      </w:r>
      <w:r w:rsidR="002176FE">
        <w:rPr>
          <w:rFonts w:ascii="Times New Roman" w:hAnsi="Times New Roman" w:cs="Times New Roman"/>
          <w:sz w:val="20"/>
          <w:szCs w:val="20"/>
        </w:rPr>
        <w:t xml:space="preserve">-2020, kolejno w roku 2019 i 2020 kwota długu została powiększona o wartości wykazane w Wykazie Przedsięwzięć oraz wykazano wartości, w poz. 14.2 -  kwota długu którego planowana spłata dokona się z wydatków budżetu oraz poz. 14.3 - wydatki zmniejszające dług.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Ponadto  w wykazie przedsięwzięć uwzględnione zostały zadania bieżące, których realizacja wykracza poza rok budżetowy. 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           </w:t>
      </w:r>
    </w:p>
    <w:sectPr w:rsidR="000F77E8" w:rsidRPr="000F77E8" w:rsidSect="009867D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599C7DBC"/>
    <w:multiLevelType w:val="hybridMultilevel"/>
    <w:tmpl w:val="C08E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45BF0"/>
    <w:multiLevelType w:val="hybridMultilevel"/>
    <w:tmpl w:val="7DF0E2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8"/>
    <w:rsid w:val="00031F98"/>
    <w:rsid w:val="000520D3"/>
    <w:rsid w:val="00090B0E"/>
    <w:rsid w:val="000B4D70"/>
    <w:rsid w:val="000D0062"/>
    <w:rsid w:val="000F77E8"/>
    <w:rsid w:val="001511A9"/>
    <w:rsid w:val="001D101D"/>
    <w:rsid w:val="002071B5"/>
    <w:rsid w:val="002176FE"/>
    <w:rsid w:val="0027700D"/>
    <w:rsid w:val="002F47BE"/>
    <w:rsid w:val="00433365"/>
    <w:rsid w:val="00682267"/>
    <w:rsid w:val="006A2F5E"/>
    <w:rsid w:val="006A55B7"/>
    <w:rsid w:val="00722649"/>
    <w:rsid w:val="007A2474"/>
    <w:rsid w:val="007A6748"/>
    <w:rsid w:val="00A556ED"/>
    <w:rsid w:val="00C93FFE"/>
    <w:rsid w:val="00CA680A"/>
    <w:rsid w:val="00CF095E"/>
    <w:rsid w:val="00EF360D"/>
    <w:rsid w:val="00F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573D-1C3E-47D4-8ACB-018D2E8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D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cp:lastPrinted>2018-12-18T09:56:00Z</cp:lastPrinted>
  <dcterms:created xsi:type="dcterms:W3CDTF">2018-12-18T09:58:00Z</dcterms:created>
  <dcterms:modified xsi:type="dcterms:W3CDTF">2018-12-18T09:58:00Z</dcterms:modified>
</cp:coreProperties>
</file>